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6160CB">
            <w:pPr>
              <w:spacing w:before="0"/>
              <w:jc w:val="left"/>
              <w:rPr>
                <w:b/>
                <w:bCs/>
                <w:szCs w:val="24"/>
                <w:lang w:val="fr-CH"/>
              </w:rPr>
            </w:pPr>
            <w:r w:rsidRPr="0033029C">
              <w:rPr>
                <w:b/>
                <w:bCs/>
                <w:szCs w:val="24"/>
                <w:lang w:val="fr-CH"/>
              </w:rPr>
              <w:t>CA</w:t>
            </w:r>
            <w:r w:rsidR="00D20D2A">
              <w:rPr>
                <w:b/>
                <w:bCs/>
                <w:szCs w:val="24"/>
                <w:lang w:val="fr-CH"/>
              </w:rPr>
              <w:t>CE</w:t>
            </w:r>
            <w:r w:rsidRPr="0033029C">
              <w:rPr>
                <w:b/>
                <w:bCs/>
                <w:szCs w:val="24"/>
                <w:lang w:val="fr-CH"/>
              </w:rPr>
              <w:t>/</w:t>
            </w:r>
            <w:r w:rsidR="00D20D2A">
              <w:rPr>
                <w:b/>
                <w:bCs/>
                <w:szCs w:val="24"/>
                <w:lang w:val="fr-CH"/>
              </w:rPr>
              <w:t>753</w:t>
            </w:r>
          </w:p>
        </w:tc>
        <w:tc>
          <w:tcPr>
            <w:tcW w:w="2835" w:type="dxa"/>
            <w:shd w:val="clear" w:color="auto" w:fill="auto"/>
          </w:tcPr>
          <w:p w:rsidR="00E53DCE" w:rsidRPr="0033029C" w:rsidRDefault="00D20D2A" w:rsidP="006160CB">
            <w:pPr>
              <w:spacing w:before="0"/>
              <w:jc w:val="right"/>
              <w:rPr>
                <w:szCs w:val="24"/>
                <w:lang w:val="en-GB"/>
              </w:rPr>
            </w:pPr>
            <w:r>
              <w:rPr>
                <w:bCs/>
                <w:szCs w:val="24"/>
              </w:rPr>
              <w:t>15</w:t>
            </w:r>
            <w:r>
              <w:rPr>
                <w:bCs/>
                <w:szCs w:val="24"/>
                <w:lang w:val="es-ES_tradnl"/>
              </w:rPr>
              <w:t xml:space="preserve"> </w:t>
            </w:r>
            <w:r w:rsidRPr="009B7A2E">
              <w:rPr>
                <w:bCs/>
                <w:szCs w:val="24"/>
                <w:lang w:val="es-ES_tradnl"/>
              </w:rPr>
              <w:t>de septiembre 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3839CF" w:rsidTr="006160CB">
        <w:tc>
          <w:tcPr>
            <w:tcW w:w="9889" w:type="dxa"/>
            <w:gridSpan w:val="3"/>
            <w:shd w:val="clear" w:color="auto" w:fill="auto"/>
          </w:tcPr>
          <w:p w:rsidR="00E53DCE" w:rsidRPr="00D20D2A" w:rsidRDefault="00D20D2A" w:rsidP="006160CB">
            <w:pPr>
              <w:spacing w:before="0"/>
              <w:jc w:val="left"/>
              <w:rPr>
                <w:b/>
                <w:bCs/>
                <w:szCs w:val="24"/>
                <w:lang w:val="es-ES"/>
              </w:rPr>
            </w:pPr>
            <w:r w:rsidRPr="00D20D2A">
              <w:rPr>
                <w:b/>
                <w:bCs/>
                <w:szCs w:val="24"/>
                <w:lang w:val="es-ES"/>
              </w:rPr>
              <w:t>A las Administraciones de los Estados Miembros de la UIT, a los Miembros</w:t>
            </w:r>
            <w:r w:rsidRPr="00D20D2A">
              <w:rPr>
                <w:b/>
                <w:bCs/>
                <w:szCs w:val="24"/>
                <w:lang w:val="es-ES"/>
              </w:rPr>
              <w:br/>
              <w:t>de Sector de Radiocomunicaciones y a los Asociados del UIT-R que participan</w:t>
            </w:r>
            <w:r w:rsidRPr="00D20D2A">
              <w:rPr>
                <w:b/>
                <w:bCs/>
                <w:szCs w:val="24"/>
                <w:lang w:val="es-ES"/>
              </w:rPr>
              <w:br/>
              <w:t>en los trabajos de la Comisión de Estudio 4 de Radiocomunicaciones</w:t>
            </w:r>
          </w:p>
          <w:p w:rsidR="00E53DCE" w:rsidRPr="0033029C" w:rsidRDefault="00E53DCE" w:rsidP="006160CB">
            <w:pPr>
              <w:spacing w:before="0"/>
              <w:jc w:val="left"/>
              <w:rPr>
                <w:b/>
                <w:bCs/>
                <w:szCs w:val="24"/>
                <w:lang w:val="es-ES"/>
              </w:rPr>
            </w:pPr>
          </w:p>
        </w:tc>
      </w:tr>
      <w:tr w:rsidR="00E53DCE" w:rsidRPr="003839CF" w:rsidTr="006160CB">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D20D2A" w:rsidRPr="00D20D2A" w:rsidRDefault="00D20D2A" w:rsidP="00D20D2A">
            <w:pPr>
              <w:tabs>
                <w:tab w:val="clear" w:pos="794"/>
                <w:tab w:val="clear" w:pos="1191"/>
                <w:tab w:val="clear" w:pos="1588"/>
                <w:tab w:val="clear" w:pos="1985"/>
                <w:tab w:val="left" w:pos="459"/>
                <w:tab w:val="left" w:pos="1276"/>
              </w:tabs>
              <w:spacing w:before="0" w:after="120"/>
              <w:ind w:left="459" w:hanging="459"/>
              <w:jc w:val="left"/>
              <w:rPr>
                <w:b/>
                <w:bCs/>
                <w:szCs w:val="24"/>
                <w:lang w:val="es-ES"/>
              </w:rPr>
            </w:pPr>
            <w:r w:rsidRPr="00D20D2A">
              <w:rPr>
                <w:b/>
                <w:szCs w:val="24"/>
                <w:lang w:val="es-ES"/>
              </w:rPr>
              <w:t xml:space="preserve">Comisión de Estudio 4 de Radiocomunicaciones </w:t>
            </w:r>
            <w:r w:rsidRPr="00D20D2A">
              <w:rPr>
                <w:b/>
                <w:bCs/>
                <w:szCs w:val="24"/>
                <w:lang w:val="es-ES"/>
              </w:rPr>
              <w:t>(</w:t>
            </w:r>
            <w:r w:rsidRPr="003E69AA">
              <w:rPr>
                <w:rFonts w:cs="Segoe UI"/>
                <w:b/>
                <w:bCs/>
                <w:szCs w:val="24"/>
                <w:lang w:val="es-ES"/>
              </w:rPr>
              <w:t>Servicios por satélite</w:t>
            </w:r>
            <w:r w:rsidRPr="00D20D2A">
              <w:rPr>
                <w:b/>
                <w:bCs/>
                <w:szCs w:val="24"/>
                <w:lang w:val="es-ES"/>
              </w:rPr>
              <w:t>)</w:t>
            </w:r>
          </w:p>
          <w:p w:rsidR="00E53DCE" w:rsidRPr="00D20D2A" w:rsidRDefault="00D20D2A" w:rsidP="00D20D2A">
            <w:pPr>
              <w:tabs>
                <w:tab w:val="clear" w:pos="1588"/>
                <w:tab w:val="left" w:pos="1560"/>
              </w:tabs>
              <w:spacing w:before="0"/>
              <w:rPr>
                <w:b/>
                <w:bCs/>
                <w:szCs w:val="24"/>
                <w:lang w:val="es-ES"/>
              </w:rPr>
            </w:pPr>
            <w:r w:rsidRPr="00D20D2A">
              <w:rPr>
                <w:szCs w:val="24"/>
                <w:lang w:val="es-ES"/>
              </w:rPr>
              <w:t>–</w:t>
            </w:r>
            <w:r w:rsidRPr="00D20D2A">
              <w:rPr>
                <w:b/>
                <w:bCs/>
                <w:szCs w:val="24"/>
                <w:lang w:val="es-ES"/>
              </w:rPr>
              <w:tab/>
            </w:r>
            <w:r w:rsidRPr="00D20D2A">
              <w:rPr>
                <w:b/>
                <w:szCs w:val="24"/>
                <w:lang w:val="es-ES"/>
              </w:rPr>
              <w:t>Propuesta de aprobación de 1 proyecto de nueva Recomendación UIT-R</w:t>
            </w:r>
          </w:p>
        </w:tc>
      </w:tr>
      <w:tr w:rsidR="00E53DCE" w:rsidRPr="003839CF" w:rsidTr="006160CB">
        <w:tc>
          <w:tcPr>
            <w:tcW w:w="1526" w:type="dxa"/>
            <w:shd w:val="clear" w:color="auto" w:fill="auto"/>
          </w:tcPr>
          <w:p w:rsidR="00E53DCE" w:rsidRPr="00D20D2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D20D2A" w:rsidRDefault="00E53DCE" w:rsidP="006160CB">
            <w:pPr>
              <w:tabs>
                <w:tab w:val="clear" w:pos="1588"/>
                <w:tab w:val="left" w:pos="1560"/>
              </w:tabs>
              <w:spacing w:before="0"/>
              <w:rPr>
                <w:b/>
                <w:bCs/>
                <w:szCs w:val="24"/>
                <w:lang w:val="es-ES"/>
              </w:rPr>
            </w:pPr>
          </w:p>
        </w:tc>
      </w:tr>
      <w:tr w:rsidR="00E53DCE" w:rsidRPr="003839CF" w:rsidTr="006160CB">
        <w:tc>
          <w:tcPr>
            <w:tcW w:w="1526" w:type="dxa"/>
            <w:shd w:val="clear" w:color="auto" w:fill="auto"/>
          </w:tcPr>
          <w:p w:rsidR="00E53DCE" w:rsidRPr="00D20D2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rsidR="00E53DCE" w:rsidRPr="00D20D2A" w:rsidRDefault="00E53DCE" w:rsidP="006160CB">
            <w:pPr>
              <w:tabs>
                <w:tab w:val="clear" w:pos="1588"/>
                <w:tab w:val="left" w:pos="1560"/>
              </w:tabs>
              <w:spacing w:before="0"/>
              <w:rPr>
                <w:b/>
                <w:bCs/>
                <w:szCs w:val="24"/>
                <w:lang w:val="es-ES"/>
              </w:rPr>
            </w:pPr>
          </w:p>
        </w:tc>
      </w:tr>
      <w:tr w:rsidR="00E53DCE" w:rsidRPr="003839CF" w:rsidTr="006160CB">
        <w:tc>
          <w:tcPr>
            <w:tcW w:w="9889" w:type="dxa"/>
            <w:gridSpan w:val="3"/>
            <w:shd w:val="clear" w:color="auto" w:fill="auto"/>
          </w:tcPr>
          <w:p w:rsidR="00E53DCE" w:rsidRPr="00D20D2A" w:rsidRDefault="00E53DCE" w:rsidP="00E53DCE">
            <w:pPr>
              <w:tabs>
                <w:tab w:val="clear" w:pos="1588"/>
                <w:tab w:val="left" w:pos="1560"/>
              </w:tabs>
              <w:spacing w:before="0"/>
              <w:jc w:val="left"/>
              <w:rPr>
                <w:szCs w:val="24"/>
                <w:lang w:val="es-ES"/>
              </w:rPr>
            </w:pPr>
          </w:p>
        </w:tc>
      </w:tr>
      <w:tr w:rsidR="00E53DCE" w:rsidRPr="003839CF" w:rsidTr="006160CB">
        <w:tc>
          <w:tcPr>
            <w:tcW w:w="9889" w:type="dxa"/>
            <w:gridSpan w:val="3"/>
            <w:shd w:val="clear" w:color="auto" w:fill="auto"/>
          </w:tcPr>
          <w:p w:rsidR="00E53DCE" w:rsidRPr="00D20D2A" w:rsidRDefault="00E53DCE" w:rsidP="006160CB">
            <w:pPr>
              <w:spacing w:before="0"/>
              <w:jc w:val="left"/>
              <w:rPr>
                <w:b/>
                <w:bCs/>
                <w:szCs w:val="24"/>
                <w:lang w:val="es-ES"/>
              </w:rPr>
            </w:pPr>
          </w:p>
        </w:tc>
      </w:tr>
    </w:tbl>
    <w:p w:rsidR="00E53DCE" w:rsidRPr="00D20D2A" w:rsidRDefault="00E53DCE" w:rsidP="00E53DCE">
      <w:pPr>
        <w:rPr>
          <w:szCs w:val="24"/>
          <w:lang w:val="es-ES"/>
        </w:rPr>
      </w:pPr>
    </w:p>
    <w:p w:rsidR="00D20D2A" w:rsidRPr="00D20D2A" w:rsidRDefault="00D20D2A" w:rsidP="00DD7009">
      <w:pPr>
        <w:spacing w:before="0"/>
        <w:rPr>
          <w:szCs w:val="24"/>
          <w:lang w:val="es-ES"/>
        </w:rPr>
      </w:pPr>
      <w:r w:rsidRPr="00D20D2A">
        <w:rPr>
          <w:szCs w:val="24"/>
          <w:lang w:val="es-ES"/>
        </w:rPr>
        <w:t>En la reunión de la Comisión de Estudio 4 de Radiocomunica</w:t>
      </w:r>
      <w:r w:rsidR="00DD7009">
        <w:rPr>
          <w:szCs w:val="24"/>
          <w:lang w:val="es-ES"/>
        </w:rPr>
        <w:t>ciones celebrada el 26 de junio</w:t>
      </w:r>
      <w:r w:rsidRPr="00D20D2A">
        <w:rPr>
          <w:szCs w:val="24"/>
          <w:lang w:val="es-ES"/>
        </w:rPr>
        <w:t xml:space="preserve"> de 2015, la Comisión de Estudio decidió solicitar la adopción de </w:t>
      </w:r>
      <w:bookmarkStart w:id="0" w:name="_GoBack"/>
      <w:bookmarkEnd w:id="0"/>
      <w:r w:rsidRPr="00D20D2A">
        <w:rPr>
          <w:szCs w:val="24"/>
          <w:lang w:val="es-ES"/>
        </w:rPr>
        <w:t>1 proyecto de nueva Recomendación UIT-R por correspondencia, de conformidad con el § 10.2.3 de la Re</w:t>
      </w:r>
      <w:r w:rsidR="00DD7009">
        <w:rPr>
          <w:szCs w:val="24"/>
          <w:lang w:val="es-ES"/>
        </w:rPr>
        <w:t>solución UIT-R 1-6.</w:t>
      </w:r>
    </w:p>
    <w:p w:rsidR="00D20D2A" w:rsidRPr="00D20D2A" w:rsidRDefault="00D20D2A" w:rsidP="00D20D2A">
      <w:pPr>
        <w:rPr>
          <w:szCs w:val="24"/>
          <w:lang w:val="es-ES"/>
        </w:rPr>
      </w:pPr>
      <w:r w:rsidRPr="00D20D2A">
        <w:rPr>
          <w:szCs w:val="24"/>
          <w:lang w:val="es-ES"/>
        </w:rPr>
        <w:t xml:space="preserve">Como indica la Circular Administrativa </w:t>
      </w:r>
      <w:r w:rsidRPr="0003008A">
        <w:rPr>
          <w:szCs w:val="24"/>
          <w:lang w:val="es-ES"/>
        </w:rPr>
        <w:t>CACE/738</w:t>
      </w:r>
      <w:r w:rsidRPr="00D20D2A">
        <w:rPr>
          <w:szCs w:val="24"/>
          <w:lang w:val="es-ES"/>
        </w:rPr>
        <w:t xml:space="preserve"> de 10 de julio de 2015, el periodo de </w:t>
      </w:r>
      <w:r w:rsidR="00DD7009">
        <w:rPr>
          <w:szCs w:val="24"/>
          <w:lang w:val="es-ES"/>
        </w:rPr>
        <w:t>consulta para la adopción de la Recomendación</w:t>
      </w:r>
      <w:r w:rsidRPr="00D20D2A">
        <w:rPr>
          <w:szCs w:val="24"/>
          <w:lang w:val="es-ES"/>
        </w:rPr>
        <w:t xml:space="preserve"> finalizó el 10 de septiembre de 2015.</w:t>
      </w:r>
    </w:p>
    <w:p w:rsidR="00D20D2A" w:rsidRPr="00D20D2A" w:rsidRDefault="00D20D2A" w:rsidP="00D20D2A">
      <w:pPr>
        <w:rPr>
          <w:szCs w:val="24"/>
          <w:lang w:val="es-ES"/>
        </w:rPr>
      </w:pPr>
      <w:r w:rsidRPr="00D20D2A">
        <w:rPr>
          <w:szCs w:val="24"/>
          <w:lang w:val="es-ES"/>
        </w:rPr>
        <w:t xml:space="preserve">La Recomendacion ha sido adoptada por la Comisión de Estudio 4 y debe aplicarse el procedimiento de aprobación de la Resolución UIT-R 1-6 § 10.4. El título y </w:t>
      </w:r>
      <w:r w:rsidR="003839CF">
        <w:rPr>
          <w:szCs w:val="24"/>
          <w:lang w:val="es-ES"/>
        </w:rPr>
        <w:t xml:space="preserve">el </w:t>
      </w:r>
      <w:r w:rsidRPr="00D20D2A">
        <w:rPr>
          <w:szCs w:val="24"/>
          <w:lang w:val="es-ES"/>
        </w:rPr>
        <w:t>resumen del proyecto de Recomendación aparece</w:t>
      </w:r>
      <w:r w:rsidR="00DD7009">
        <w:rPr>
          <w:szCs w:val="24"/>
          <w:lang w:val="es-ES"/>
        </w:rPr>
        <w:t>n</w:t>
      </w:r>
      <w:r w:rsidRPr="00D20D2A">
        <w:rPr>
          <w:szCs w:val="24"/>
          <w:lang w:val="es-ES"/>
        </w:rPr>
        <w:t xml:space="preserve"> en el Anexo. </w:t>
      </w:r>
    </w:p>
    <w:p w:rsidR="00D20D2A" w:rsidRPr="00D20D2A" w:rsidRDefault="00D20D2A" w:rsidP="00D20D2A">
      <w:pPr>
        <w:rPr>
          <w:szCs w:val="24"/>
          <w:lang w:val="es-ES"/>
        </w:rPr>
      </w:pPr>
      <w:r w:rsidRPr="00D20D2A">
        <w:rPr>
          <w:szCs w:val="24"/>
          <w:lang w:val="es-ES"/>
        </w:rPr>
        <w:t>Teniendo en cuenta las disposiciones del § 10.4 de la Resolución UIT-R 1-6, se solicita a los Estados Miembros que informen a la Secretaría (</w:t>
      </w:r>
      <w:hyperlink r:id="rId8" w:history="1">
        <w:r w:rsidRPr="00D20D2A">
          <w:rPr>
            <w:rStyle w:val="Hyperlink"/>
            <w:szCs w:val="24"/>
            <w:lang w:val="es-ES"/>
          </w:rPr>
          <w:t>brsgd@itu.int</w:t>
        </w:r>
      </w:hyperlink>
      <w:r w:rsidRPr="00D20D2A">
        <w:rPr>
          <w:szCs w:val="24"/>
          <w:lang w:val="es-ES"/>
        </w:rPr>
        <w:t xml:space="preserve">) a más tardar el </w:t>
      </w:r>
      <w:r w:rsidRPr="00D20D2A">
        <w:rPr>
          <w:szCs w:val="24"/>
          <w:u w:val="single"/>
          <w:lang w:val="es-ES"/>
        </w:rPr>
        <w:t>15 de noviembre de 2015</w:t>
      </w:r>
      <w:r w:rsidRPr="00D20D2A">
        <w:rPr>
          <w:szCs w:val="24"/>
          <w:lang w:val="es-ES"/>
        </w:rPr>
        <w:t xml:space="preserve"> si aprueban o no la anterior propuesta.</w:t>
      </w:r>
    </w:p>
    <w:p w:rsidR="00D20D2A" w:rsidRPr="00D20D2A" w:rsidRDefault="00D20D2A" w:rsidP="00D20D2A">
      <w:pPr>
        <w:rPr>
          <w:szCs w:val="24"/>
          <w:lang w:val="es-ES"/>
        </w:rPr>
      </w:pPr>
      <w:r w:rsidRPr="00D20D2A">
        <w:rPr>
          <w:szCs w:val="24"/>
          <w:lang w:val="es-ES"/>
        </w:rPr>
        <w:t>Se solicita a todo Estado Miembro que se oponga a la aprobación de un proyecto de Recomendación que informe al Director y al Presidente de la Comisión de Estudio de las razones correspondientes.</w:t>
      </w:r>
    </w:p>
    <w:p w:rsidR="00D20D2A" w:rsidRPr="00D20D2A" w:rsidRDefault="00D20D2A" w:rsidP="00D20D2A">
      <w:pPr>
        <w:rPr>
          <w:szCs w:val="24"/>
          <w:lang w:val="es-ES"/>
        </w:rPr>
      </w:pPr>
      <w:r w:rsidRPr="00D20D2A">
        <w:rPr>
          <w:szCs w:val="24"/>
          <w:lang w:val="es-ES"/>
        </w:rPr>
        <w:t>Una vez transcurrido el plazo señalado, se anunciarán los resultados de esta consulta en una Circular Administrativa y las Recomendaciones aprobadas se publicarán a la mayor brevedad posible (véase </w:t>
      </w:r>
      <w:hyperlink r:id="rId9" w:history="1">
        <w:r w:rsidRPr="00D20D2A">
          <w:rPr>
            <w:rStyle w:val="Hyperlink"/>
            <w:szCs w:val="24"/>
            <w:lang w:val="es-ES"/>
          </w:rPr>
          <w:t>http://www.itu.int/pub/R-REC</w:t>
        </w:r>
      </w:hyperlink>
      <w:r w:rsidRPr="00D20D2A">
        <w:rPr>
          <w:szCs w:val="24"/>
          <w:lang w:val="es-ES"/>
        </w:rPr>
        <w:t>).</w:t>
      </w:r>
    </w:p>
    <w:p w:rsidR="00D20D2A" w:rsidRPr="00D20D2A" w:rsidRDefault="00D20D2A" w:rsidP="00D20D2A">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
        </w:rPr>
      </w:pPr>
      <w:r w:rsidRPr="00D20D2A">
        <w:rPr>
          <w:szCs w:val="24"/>
          <w:lang w:val="es-ES"/>
        </w:rPr>
        <w:br w:type="page"/>
      </w:r>
    </w:p>
    <w:p w:rsidR="00D20D2A" w:rsidRPr="00D20D2A" w:rsidRDefault="00D20D2A" w:rsidP="00D20D2A">
      <w:pPr>
        <w:keepNext/>
        <w:rPr>
          <w:szCs w:val="24"/>
          <w:lang w:val="es-ES"/>
        </w:rPr>
      </w:pPr>
      <w:r w:rsidRPr="00D20D2A">
        <w:rPr>
          <w:szCs w:val="24"/>
          <w:lang w:val="es-ES"/>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r>
        <w:rPr>
          <w:szCs w:val="24"/>
          <w:lang w:val="es-ES"/>
        </w:rPr>
        <w:br/>
      </w:r>
      <w:r w:rsidRPr="00D20D2A">
        <w:rPr>
          <w:szCs w:val="24"/>
          <w:lang w:val="es-ES"/>
        </w:rPr>
        <w:t xml:space="preserve">UIT-T/UIT-R/ISO/CEI puede consultarse en </w:t>
      </w:r>
      <w:hyperlink r:id="rId10" w:history="1">
        <w:r w:rsidRPr="00D20D2A">
          <w:rPr>
            <w:rStyle w:val="Hyperlink"/>
            <w:szCs w:val="24"/>
            <w:lang w:val="es-ES"/>
          </w:rPr>
          <w:t>http://www.itu.int/en/ITU-T/ipr/Pages/policy.aspx</w:t>
        </w:r>
      </w:hyperlink>
      <w:r w:rsidRPr="00D20D2A">
        <w:rPr>
          <w:szCs w:val="24"/>
          <w:lang w:val="es-ES"/>
        </w:rPr>
        <w:t>.</w:t>
      </w:r>
    </w:p>
    <w:p w:rsidR="00D20D2A" w:rsidRPr="007C08E6" w:rsidRDefault="00D20D2A" w:rsidP="00D20D2A">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7C08E6">
        <w:rPr>
          <w:rFonts w:asciiTheme="minorHAnsi" w:hAnsiTheme="minorHAnsi"/>
          <w:szCs w:val="24"/>
          <w:lang w:val="es-ES_tradnl"/>
        </w:rPr>
        <w:t>François Rancy</w:t>
      </w:r>
      <w:r w:rsidRPr="007C08E6">
        <w:rPr>
          <w:rFonts w:asciiTheme="minorHAnsi" w:hAnsiTheme="minorHAnsi"/>
          <w:szCs w:val="24"/>
          <w:lang w:val="es-ES_tradnl"/>
        </w:rPr>
        <w:br/>
        <w:t>Director</w:t>
      </w:r>
    </w:p>
    <w:p w:rsidR="00D20D2A" w:rsidRPr="00D20D2A" w:rsidRDefault="00D20D2A" w:rsidP="008516A5">
      <w:pPr>
        <w:tabs>
          <w:tab w:val="clear" w:pos="794"/>
          <w:tab w:val="left" w:pos="851"/>
          <w:tab w:val="left" w:pos="4820"/>
        </w:tabs>
        <w:spacing w:before="840"/>
        <w:ind w:left="1588" w:hanging="1588"/>
        <w:jc w:val="left"/>
        <w:rPr>
          <w:szCs w:val="24"/>
          <w:lang w:val="es-ES"/>
        </w:rPr>
      </w:pPr>
      <w:r w:rsidRPr="00D20D2A">
        <w:rPr>
          <w:b/>
          <w:szCs w:val="24"/>
          <w:lang w:val="es-ES"/>
        </w:rPr>
        <w:t>Anexo</w:t>
      </w:r>
      <w:r w:rsidRPr="00D20D2A">
        <w:rPr>
          <w:bCs/>
          <w:szCs w:val="24"/>
          <w:lang w:val="es-ES"/>
        </w:rPr>
        <w:t>:</w:t>
      </w:r>
      <w:r w:rsidRPr="00D20D2A">
        <w:rPr>
          <w:bCs/>
          <w:szCs w:val="24"/>
          <w:lang w:val="es-ES"/>
        </w:rPr>
        <w:tab/>
      </w:r>
      <w:r w:rsidRPr="00D20D2A">
        <w:rPr>
          <w:bCs/>
          <w:szCs w:val="24"/>
          <w:lang w:val="es-ES"/>
        </w:rPr>
        <w:tab/>
      </w:r>
      <w:r w:rsidR="008516A5">
        <w:rPr>
          <w:bCs/>
          <w:szCs w:val="24"/>
          <w:lang w:val="es-ES"/>
        </w:rPr>
        <w:t>-</w:t>
      </w:r>
      <w:r w:rsidR="008516A5">
        <w:rPr>
          <w:bCs/>
          <w:szCs w:val="24"/>
          <w:lang w:val="es-ES"/>
        </w:rPr>
        <w:tab/>
      </w:r>
      <w:r w:rsidRPr="00D20D2A">
        <w:rPr>
          <w:szCs w:val="24"/>
          <w:lang w:val="es-ES"/>
        </w:rPr>
        <w:t>Título y resumen del proyecto de Recomendación</w:t>
      </w:r>
    </w:p>
    <w:p w:rsidR="00D20D2A" w:rsidRPr="00D20D2A" w:rsidRDefault="00D20D2A" w:rsidP="00D20D2A">
      <w:pPr>
        <w:tabs>
          <w:tab w:val="left" w:pos="4820"/>
        </w:tabs>
        <w:ind w:left="1588" w:hanging="1588"/>
        <w:jc w:val="left"/>
        <w:rPr>
          <w:szCs w:val="24"/>
          <w:lang w:val="es-ES"/>
        </w:rPr>
      </w:pPr>
      <w:r w:rsidRPr="00D20D2A">
        <w:rPr>
          <w:b/>
          <w:bCs/>
          <w:szCs w:val="24"/>
          <w:lang w:val="es-ES"/>
        </w:rPr>
        <w:t>Documento:</w:t>
      </w:r>
      <w:r w:rsidRPr="00D20D2A">
        <w:rPr>
          <w:szCs w:val="24"/>
          <w:lang w:val="es-ES"/>
        </w:rPr>
        <w:tab/>
      </w:r>
      <w:r w:rsidRPr="00D20D2A">
        <w:rPr>
          <w:bCs/>
          <w:szCs w:val="24"/>
          <w:lang w:val="es-ES"/>
        </w:rPr>
        <w:t>Documento</w:t>
      </w:r>
      <w:r w:rsidRPr="00D20D2A">
        <w:rPr>
          <w:szCs w:val="24"/>
          <w:lang w:val="es-ES"/>
        </w:rPr>
        <w:t xml:space="preserve"> 4/BL/8</w:t>
      </w:r>
    </w:p>
    <w:p w:rsidR="00D20D2A" w:rsidRPr="00D20D2A" w:rsidRDefault="003839CF" w:rsidP="005C6891">
      <w:pPr>
        <w:spacing w:before="360"/>
        <w:jc w:val="left"/>
        <w:rPr>
          <w:szCs w:val="24"/>
          <w:lang w:val="es-ES"/>
        </w:rPr>
      </w:pPr>
      <w:r>
        <w:rPr>
          <w:szCs w:val="24"/>
          <w:lang w:val="es-ES"/>
        </w:rPr>
        <w:t>Este documento</w:t>
      </w:r>
      <w:r w:rsidR="005C6891">
        <w:rPr>
          <w:szCs w:val="24"/>
          <w:lang w:val="es-ES"/>
        </w:rPr>
        <w:t xml:space="preserve"> esta</w:t>
      </w:r>
      <w:r w:rsidR="00D20D2A" w:rsidRPr="00D20D2A">
        <w:rPr>
          <w:szCs w:val="24"/>
          <w:lang w:val="es-ES"/>
        </w:rPr>
        <w:t xml:space="preserve"> disponible en formato electrónico en:</w:t>
      </w:r>
      <w:r w:rsidR="00D20D2A" w:rsidRPr="00D20D2A">
        <w:rPr>
          <w:szCs w:val="24"/>
          <w:lang w:val="es-ES"/>
        </w:rPr>
        <w:br/>
      </w:r>
      <w:hyperlink r:id="rId11" w:history="1">
        <w:r w:rsidR="00D20D2A" w:rsidRPr="00917A52">
          <w:rPr>
            <w:color w:val="0000FF"/>
            <w:szCs w:val="24"/>
            <w:u w:val="single"/>
            <w:lang w:val="es-ES"/>
          </w:rPr>
          <w:t>http://www.itu.int/rec/R-REC-M/en</w:t>
        </w:r>
      </w:hyperlink>
    </w:p>
    <w:p w:rsidR="00D20D2A" w:rsidRPr="00D20D2A" w:rsidRDefault="00D20D2A" w:rsidP="005C6891">
      <w:pPr>
        <w:keepNext/>
        <w:tabs>
          <w:tab w:val="left" w:pos="284"/>
          <w:tab w:val="left" w:pos="568"/>
        </w:tabs>
        <w:spacing w:before="6000"/>
        <w:rPr>
          <w:b/>
          <w:bCs/>
          <w:sz w:val="18"/>
          <w:szCs w:val="18"/>
          <w:lang w:val="es-ES"/>
        </w:rPr>
      </w:pPr>
      <w:r w:rsidRPr="00D20D2A">
        <w:rPr>
          <w:b/>
          <w:bCs/>
          <w:sz w:val="18"/>
          <w:szCs w:val="18"/>
          <w:lang w:val="es-ES"/>
        </w:rPr>
        <w:t>Distribución:</w:t>
      </w:r>
    </w:p>
    <w:p w:rsidR="00D20D2A" w:rsidRPr="00D20D2A" w:rsidRDefault="00D20D2A" w:rsidP="00D20D2A">
      <w:pPr>
        <w:tabs>
          <w:tab w:val="left" w:pos="6237"/>
        </w:tabs>
        <w:spacing w:before="0" w:line="240" w:lineRule="auto"/>
        <w:ind w:left="284" w:hanging="284"/>
        <w:rPr>
          <w:sz w:val="18"/>
          <w:szCs w:val="18"/>
          <w:lang w:val="es-ES"/>
        </w:rPr>
      </w:pPr>
      <w:r w:rsidRPr="00D20D2A">
        <w:rPr>
          <w:sz w:val="18"/>
          <w:szCs w:val="18"/>
          <w:lang w:val="es-ES"/>
        </w:rPr>
        <w:t>–</w:t>
      </w:r>
      <w:r w:rsidRPr="00D20D2A">
        <w:rPr>
          <w:sz w:val="18"/>
          <w:szCs w:val="18"/>
          <w:lang w:val="es-ES"/>
        </w:rPr>
        <w:tab/>
        <w:t xml:space="preserve">Administraciones de los Estados Miembros de la UIT y del Sector de Radiocomunicaciones que participan en los trabajos de la Comisión de Estudio 4 de Radiocomunicaciones </w:t>
      </w:r>
    </w:p>
    <w:p w:rsidR="00D20D2A" w:rsidRPr="00D20D2A" w:rsidRDefault="00D20D2A" w:rsidP="00D20D2A">
      <w:pPr>
        <w:tabs>
          <w:tab w:val="left" w:pos="6237"/>
        </w:tabs>
        <w:spacing w:before="0" w:line="240" w:lineRule="auto"/>
        <w:ind w:left="284" w:hanging="284"/>
        <w:rPr>
          <w:sz w:val="18"/>
          <w:szCs w:val="18"/>
          <w:lang w:val="es-ES"/>
        </w:rPr>
      </w:pPr>
      <w:r w:rsidRPr="00D20D2A">
        <w:rPr>
          <w:sz w:val="18"/>
          <w:szCs w:val="18"/>
          <w:lang w:val="es-ES"/>
        </w:rPr>
        <w:t>–</w:t>
      </w:r>
      <w:r w:rsidRPr="00D20D2A">
        <w:rPr>
          <w:sz w:val="18"/>
          <w:szCs w:val="18"/>
          <w:lang w:val="es-ES"/>
        </w:rPr>
        <w:tab/>
        <w:t xml:space="preserve">Asociados del UIT-R que participan en los trabajos de la Comisión de Estudio 4 de Radiocomunicaciones </w:t>
      </w:r>
    </w:p>
    <w:p w:rsidR="00D20D2A" w:rsidRPr="00D20D2A" w:rsidRDefault="00D20D2A" w:rsidP="00D20D2A">
      <w:pPr>
        <w:tabs>
          <w:tab w:val="left" w:pos="6237"/>
        </w:tabs>
        <w:spacing w:before="0" w:line="240" w:lineRule="auto"/>
        <w:ind w:left="284" w:hanging="284"/>
        <w:rPr>
          <w:sz w:val="18"/>
          <w:szCs w:val="18"/>
          <w:lang w:val="es-ES"/>
        </w:rPr>
      </w:pPr>
      <w:r w:rsidRPr="00D20D2A">
        <w:rPr>
          <w:sz w:val="18"/>
          <w:szCs w:val="18"/>
          <w:lang w:val="es-ES"/>
        </w:rPr>
        <w:t>–</w:t>
      </w:r>
      <w:r w:rsidRPr="00D20D2A">
        <w:rPr>
          <w:sz w:val="18"/>
          <w:szCs w:val="18"/>
          <w:lang w:val="es-ES"/>
        </w:rPr>
        <w:tab/>
        <w:t xml:space="preserve">Presidentes y Vicepresidentes de las Comisiones de Estudio de Radiocomunicaciones y Comisión Especial para Asuntos Reglamentarios y de Procedimiento </w:t>
      </w:r>
    </w:p>
    <w:p w:rsidR="00D20D2A" w:rsidRPr="00D20D2A" w:rsidRDefault="00D20D2A" w:rsidP="00D20D2A">
      <w:pPr>
        <w:tabs>
          <w:tab w:val="left" w:pos="6237"/>
        </w:tabs>
        <w:spacing w:before="0" w:line="240" w:lineRule="auto"/>
        <w:ind w:left="284" w:hanging="284"/>
        <w:rPr>
          <w:sz w:val="18"/>
          <w:szCs w:val="18"/>
          <w:lang w:val="es-ES"/>
        </w:rPr>
      </w:pPr>
      <w:r w:rsidRPr="00D20D2A">
        <w:rPr>
          <w:sz w:val="18"/>
          <w:szCs w:val="18"/>
          <w:lang w:val="es-ES"/>
        </w:rPr>
        <w:t>–</w:t>
      </w:r>
      <w:r w:rsidRPr="00D20D2A">
        <w:rPr>
          <w:sz w:val="18"/>
          <w:szCs w:val="18"/>
          <w:lang w:val="es-ES"/>
        </w:rPr>
        <w:tab/>
        <w:t xml:space="preserve">Presidente y Vicepresidentes de la Reunión Preparatoria de la Conferencia </w:t>
      </w:r>
    </w:p>
    <w:p w:rsidR="00D20D2A" w:rsidRPr="00D20D2A" w:rsidRDefault="00D20D2A" w:rsidP="00D20D2A">
      <w:pPr>
        <w:tabs>
          <w:tab w:val="left" w:pos="6237"/>
        </w:tabs>
        <w:spacing w:before="0" w:line="240" w:lineRule="auto"/>
        <w:ind w:left="284" w:hanging="284"/>
        <w:rPr>
          <w:sz w:val="18"/>
          <w:szCs w:val="18"/>
          <w:lang w:val="es-ES"/>
        </w:rPr>
      </w:pPr>
      <w:r w:rsidRPr="00D20D2A">
        <w:rPr>
          <w:sz w:val="18"/>
          <w:szCs w:val="18"/>
          <w:lang w:val="es-ES"/>
        </w:rPr>
        <w:t>–</w:t>
      </w:r>
      <w:r w:rsidRPr="00D20D2A">
        <w:rPr>
          <w:sz w:val="18"/>
          <w:szCs w:val="18"/>
          <w:lang w:val="es-ES"/>
        </w:rPr>
        <w:tab/>
        <w:t xml:space="preserve">Miembros de la Junta del Reglamento de Radiocomunicaciones </w:t>
      </w:r>
    </w:p>
    <w:p w:rsidR="00D20D2A" w:rsidRPr="00D20D2A" w:rsidRDefault="00D20D2A" w:rsidP="00D20D2A">
      <w:pPr>
        <w:tabs>
          <w:tab w:val="left" w:pos="6237"/>
        </w:tabs>
        <w:overflowPunct/>
        <w:autoSpaceDE/>
        <w:autoSpaceDN/>
        <w:adjustRightInd/>
        <w:spacing w:before="0" w:line="240" w:lineRule="auto"/>
        <w:ind w:left="284" w:hanging="284"/>
        <w:textAlignment w:val="auto"/>
        <w:rPr>
          <w:sz w:val="18"/>
          <w:szCs w:val="18"/>
          <w:lang w:val="es-ES"/>
        </w:rPr>
      </w:pPr>
      <w:r w:rsidRPr="00D20D2A">
        <w:rPr>
          <w:sz w:val="18"/>
          <w:szCs w:val="18"/>
          <w:lang w:val="es-ES"/>
        </w:rPr>
        <w:t>–</w:t>
      </w:r>
      <w:r w:rsidRPr="00D20D2A">
        <w:rPr>
          <w:sz w:val="18"/>
          <w:szCs w:val="18"/>
          <w:lang w:val="es-ES"/>
        </w:rPr>
        <w:tab/>
        <w:t>Secretario General de la UIT, Director de la Oficina de Normalización de las Telecomunicaciones, Director de la Oficina de Desarrollo de Telecomunicaciones</w:t>
      </w:r>
    </w:p>
    <w:p w:rsidR="00D20D2A" w:rsidRPr="00630EB7" w:rsidRDefault="00D20D2A" w:rsidP="003839CF">
      <w:pPr>
        <w:pStyle w:val="Annextitle"/>
        <w:rPr>
          <w:rFonts w:asciiTheme="minorHAnsi" w:eastAsia="Times New Roman" w:hAnsiTheme="minorHAnsi" w:cs="Times New Roman"/>
          <w:b w:val="0"/>
          <w:szCs w:val="20"/>
          <w:lang w:val="es-ES_tradnl" w:eastAsia="en-US"/>
        </w:rPr>
      </w:pPr>
      <w:r w:rsidRPr="000D19EB">
        <w:rPr>
          <w:rFonts w:asciiTheme="minorHAnsi" w:hAnsiTheme="minorHAnsi"/>
          <w:lang w:val="es-ES_tradnl"/>
        </w:rPr>
        <w:lastRenderedPageBreak/>
        <w:t>Anexo</w:t>
      </w:r>
      <w:r w:rsidRPr="000D19EB">
        <w:rPr>
          <w:rFonts w:asciiTheme="minorHAnsi" w:hAnsiTheme="minorHAnsi"/>
          <w:lang w:val="es-ES_tradnl"/>
        </w:rPr>
        <w:br/>
      </w:r>
      <w:r w:rsidRPr="000D19EB">
        <w:rPr>
          <w:rFonts w:asciiTheme="minorHAnsi" w:hAnsiTheme="minorHAnsi"/>
          <w:lang w:val="es-ES_tradnl"/>
        </w:rPr>
        <w:br/>
      </w:r>
      <w:r w:rsidRPr="00630EB7">
        <w:rPr>
          <w:rFonts w:asciiTheme="minorHAnsi" w:eastAsia="Times New Roman" w:hAnsiTheme="minorHAnsi" w:cs="Times New Roman"/>
          <w:szCs w:val="20"/>
          <w:lang w:val="es-ES_tradnl" w:eastAsia="en-US"/>
        </w:rPr>
        <w:t>Título y resumen del proyecto de Recomendación</w:t>
      </w:r>
      <w:r w:rsidR="00101275" w:rsidRPr="00101275">
        <w:rPr>
          <w:rFonts w:asciiTheme="minorHAnsi" w:hAnsiTheme="minorHAnsi" w:cstheme="minorHAnsi"/>
          <w:lang w:val="es-ES"/>
        </w:rPr>
        <w:t xml:space="preserve"> adoptado</w:t>
      </w:r>
      <w:r w:rsidR="00101275" w:rsidRPr="00101275">
        <w:rPr>
          <w:rFonts w:asciiTheme="minorHAnsi" w:hAnsiTheme="minorHAnsi" w:cstheme="minorHAnsi"/>
          <w:lang w:val="es-ES"/>
        </w:rPr>
        <w:br/>
        <w:t xml:space="preserve">por la Comisión de Estudio </w:t>
      </w:r>
      <w:r w:rsidR="00101275">
        <w:rPr>
          <w:rFonts w:asciiTheme="minorHAnsi" w:hAnsiTheme="minorHAnsi" w:cstheme="minorHAnsi"/>
          <w:lang w:val="es-ES"/>
        </w:rPr>
        <w:t>4</w:t>
      </w:r>
      <w:r w:rsidR="00101275" w:rsidRPr="00101275">
        <w:rPr>
          <w:rFonts w:asciiTheme="minorHAnsi" w:hAnsiTheme="minorHAnsi" w:cstheme="minorHAnsi"/>
          <w:lang w:val="es-ES"/>
        </w:rPr>
        <w:t xml:space="preserve"> de Radiocomunicaciones</w:t>
      </w:r>
    </w:p>
    <w:p w:rsidR="00D20D2A" w:rsidRPr="00536854" w:rsidRDefault="00D20D2A" w:rsidP="00D20D2A">
      <w:pPr>
        <w:tabs>
          <w:tab w:val="right" w:pos="9639"/>
        </w:tabs>
        <w:spacing w:before="120" w:line="480" w:lineRule="auto"/>
        <w:ind w:left="-426"/>
        <w:rPr>
          <w:rFonts w:cs="Times New Roman"/>
          <w:szCs w:val="24"/>
          <w:lang w:val="es-ES_tradnl"/>
        </w:rPr>
      </w:pPr>
      <w:r w:rsidRPr="00536854">
        <w:rPr>
          <w:rFonts w:cs="Times New Roman"/>
          <w:szCs w:val="24"/>
          <w:u w:val="single"/>
          <w:lang w:val="es-ES_tradnl"/>
        </w:rPr>
        <w:t>Proyecto de nueva Recomendación UIT-R M.[MSS-RDSS-SHARE]</w:t>
      </w:r>
      <w:r w:rsidRPr="00536854">
        <w:rPr>
          <w:rFonts w:cs="Times New Roman"/>
          <w:szCs w:val="24"/>
          <w:lang w:val="es-ES_tradnl"/>
        </w:rPr>
        <w:tab/>
        <w:t xml:space="preserve">Doc. </w:t>
      </w:r>
      <w:r w:rsidRPr="00D20D2A">
        <w:rPr>
          <w:szCs w:val="24"/>
          <w:lang w:val="es-ES"/>
        </w:rPr>
        <w:t>4/BL/8</w:t>
      </w:r>
    </w:p>
    <w:p w:rsidR="00D20D2A" w:rsidRDefault="00D20D2A" w:rsidP="003839CF">
      <w:pPr>
        <w:pStyle w:val="Rectitle"/>
        <w:spacing w:before="120"/>
        <w:rPr>
          <w:lang w:val="es-ES_tradnl"/>
        </w:rPr>
      </w:pPr>
      <w:r w:rsidRPr="00630EB7">
        <w:rPr>
          <w:lang w:val="es-ES_tradnl"/>
        </w:rPr>
        <w:t xml:space="preserve">Coordinación del servicio móvil por satélite y del servicio de radiodeterminación por satélite con el servicio fijo basada en los niveles de densidad de flujo de potencia determinantes de la coordinación </w:t>
      </w:r>
      <w:r w:rsidRPr="00630EB7">
        <w:rPr>
          <w:lang w:val="es-ES_tradnl"/>
        </w:rPr>
        <w:br/>
        <w:t>en la banda 2 483,5-2 500 MHz</w:t>
      </w:r>
    </w:p>
    <w:p w:rsidR="00D20D2A" w:rsidRPr="00536854" w:rsidRDefault="00D20D2A" w:rsidP="00D20D2A">
      <w:pPr>
        <w:pStyle w:val="Normalaftertitle"/>
        <w:rPr>
          <w:szCs w:val="24"/>
          <w:lang w:val="es-ES_tradnl" w:eastAsia="ja-JP"/>
        </w:rPr>
      </w:pPr>
      <w:r w:rsidRPr="00536854">
        <w:rPr>
          <w:szCs w:val="24"/>
          <w:lang w:val="es-ES_tradnl" w:eastAsia="ja-JP"/>
        </w:rPr>
        <w:t xml:space="preserve">En el marco del punto 1.18 de su orden del día, la CMR-12 decidió atribuir la banda </w:t>
      </w:r>
      <w:r w:rsidRPr="00D20D2A">
        <w:rPr>
          <w:szCs w:val="24"/>
          <w:lang w:val="es-ES" w:eastAsia="ja-JP"/>
        </w:rPr>
        <w:br/>
      </w:r>
      <w:r w:rsidRPr="00536854">
        <w:rPr>
          <w:szCs w:val="24"/>
          <w:lang w:val="es-ES_tradnl" w:eastAsia="ja-JP"/>
        </w:rPr>
        <w:t xml:space="preserve">2 483,5-2 500 MHz al servicio de radiodeterminación por satélite a título primario, con sujeción a los niveles umbral de dfp definidos en el Apéndice </w:t>
      </w:r>
      <w:r w:rsidRPr="00536854">
        <w:rPr>
          <w:b/>
          <w:bCs/>
          <w:szCs w:val="24"/>
          <w:lang w:val="es-ES_tradnl" w:eastAsia="ja-JP"/>
        </w:rPr>
        <w:t>5</w:t>
      </w:r>
      <w:r w:rsidRPr="00536854">
        <w:rPr>
          <w:szCs w:val="24"/>
          <w:lang w:val="es-ES_tradnl" w:eastAsia="ja-JP"/>
        </w:rPr>
        <w:t xml:space="preserve"> del RR que determinan la coordinación con los servicios terrenales en la banda. Dado que el SMS también funciona en dicha banda, algunas administraciones que explotan servicios fijos en la misma banda habían expresado su deseo de que se elaborara una Recomendación para ayudar a las posibles coordinaciones que se produjeran entre el SRDS/SMS y el SF en caso de que se propusiera un sistema del SMS o del SRDS que rebasara los niveles de</w:t>
      </w:r>
      <w:r w:rsidRPr="00D20D2A">
        <w:rPr>
          <w:szCs w:val="24"/>
          <w:lang w:val="es-ES" w:eastAsia="ja-JP"/>
        </w:rPr>
        <w:t>terminantes de la coordinación.</w:t>
      </w:r>
    </w:p>
    <w:p w:rsidR="00D20D2A" w:rsidRPr="00536854" w:rsidRDefault="00D20D2A" w:rsidP="00D20D2A">
      <w:pPr>
        <w:rPr>
          <w:szCs w:val="24"/>
          <w:lang w:val="es-ES_tradnl" w:eastAsia="ja-JP"/>
        </w:rPr>
      </w:pPr>
      <w:r w:rsidRPr="00D20D2A">
        <w:rPr>
          <w:szCs w:val="24"/>
          <w:lang w:val="es-ES" w:eastAsia="ja-JP"/>
        </w:rPr>
        <w:t>Así pues, la</w:t>
      </w:r>
      <w:r w:rsidRPr="00536854">
        <w:rPr>
          <w:szCs w:val="24"/>
          <w:lang w:val="es-ES_tradnl" w:eastAsia="ja-JP"/>
        </w:rPr>
        <w:t xml:space="preserve"> </w:t>
      </w:r>
      <w:r w:rsidR="009E4A14">
        <w:rPr>
          <w:szCs w:val="24"/>
          <w:lang w:val="es-ES" w:eastAsia="ja-JP"/>
        </w:rPr>
        <w:t>Comisió</w:t>
      </w:r>
      <w:r w:rsidR="00026D9C">
        <w:rPr>
          <w:szCs w:val="24"/>
          <w:lang w:val="es-ES" w:eastAsia="ja-JP"/>
        </w:rPr>
        <w:t>n de E</w:t>
      </w:r>
      <w:r w:rsidRPr="00D20D2A">
        <w:rPr>
          <w:szCs w:val="24"/>
          <w:lang w:val="es-ES" w:eastAsia="ja-JP"/>
        </w:rPr>
        <w:t>studio 4</w:t>
      </w:r>
      <w:r w:rsidRPr="00536854">
        <w:rPr>
          <w:szCs w:val="24"/>
          <w:lang w:val="es-ES_tradnl" w:eastAsia="ja-JP"/>
        </w:rPr>
        <w:t xml:space="preserve"> elaboró dicha Recomendación, sobre la base de nuevos materiales y estudios recibidos como contribuciones en relación con el punto 1.18 del orden del día de la CMR-12; se pretende que ello facilite el material necesario para ayudar a las administraciones a determinar las repercusiones de los sistemas del SRDS y el SMS sobre sus servicios fijos.</w:t>
      </w:r>
      <w:r w:rsidRPr="00D20D2A">
        <w:rPr>
          <w:szCs w:val="24"/>
          <w:lang w:val="es-ES" w:eastAsia="ja-JP"/>
        </w:rPr>
        <w:t xml:space="preserve"> </w:t>
      </w:r>
      <w:r w:rsidR="00026D9C">
        <w:rPr>
          <w:szCs w:val="24"/>
          <w:lang w:val="es-ES" w:eastAsia="ja-JP"/>
        </w:rPr>
        <w:br/>
      </w:r>
      <w:r w:rsidRPr="00536854">
        <w:rPr>
          <w:szCs w:val="24"/>
          <w:lang w:val="es-ES_tradnl" w:eastAsia="ja-JP"/>
        </w:rPr>
        <w:t xml:space="preserve">Más concretamente, esta Recomendación puede servir de ayuda a la hora de realizar la coordinación en virtud del número </w:t>
      </w:r>
      <w:r w:rsidRPr="00536854">
        <w:rPr>
          <w:b/>
          <w:bCs/>
          <w:szCs w:val="24"/>
          <w:lang w:val="es-ES_tradnl" w:eastAsia="ja-JP"/>
        </w:rPr>
        <w:t>9.14</w:t>
      </w:r>
      <w:r w:rsidRPr="00536854">
        <w:rPr>
          <w:szCs w:val="24"/>
          <w:lang w:val="es-ES_tradnl" w:eastAsia="ja-JP"/>
        </w:rPr>
        <w:t xml:space="preserve"> del RR con administraciones que soliciten explotar sistemas del SRDS y del SMS con niveles de dfp superiores a los umbrales definidos en el Apéndice </w:t>
      </w:r>
      <w:r w:rsidRPr="00536854">
        <w:rPr>
          <w:b/>
          <w:bCs/>
          <w:szCs w:val="24"/>
          <w:lang w:val="es-ES_tradnl" w:eastAsia="ja-JP"/>
        </w:rPr>
        <w:t>5</w:t>
      </w:r>
      <w:r w:rsidRPr="00536854">
        <w:rPr>
          <w:szCs w:val="24"/>
          <w:lang w:val="es-ES_tradnl" w:eastAsia="ja-JP"/>
        </w:rPr>
        <w:t xml:space="preserve"> del RR.</w:t>
      </w:r>
    </w:p>
    <w:p w:rsidR="00D20D2A" w:rsidRPr="00536854" w:rsidRDefault="00D20D2A" w:rsidP="00D20D2A">
      <w:pPr>
        <w:rPr>
          <w:szCs w:val="24"/>
          <w:lang w:val="es-ES_tradnl"/>
        </w:rPr>
      </w:pPr>
      <w:r w:rsidRPr="00536854">
        <w:rPr>
          <w:szCs w:val="24"/>
          <w:lang w:val="es-ES_tradnl"/>
        </w:rPr>
        <w:t xml:space="preserve">En el Anexo 2 se ofrece un ejemplo para ayudar a las administraciones a entender plenamente la Recomendación, pero en una coordinación real se utilizarían los parámetros pertinentes para la coordinación de los sistemas. A partir de aquí, las administraciones determinarían las repercusiones sobre sus sistemas del SF y decidirían por sí mismas si los niveles de dfp de los sistemas del SMS/SRDS propuestos por encima de los niveles del Apéndice </w:t>
      </w:r>
      <w:r w:rsidRPr="00536854">
        <w:rPr>
          <w:b/>
          <w:bCs/>
          <w:szCs w:val="24"/>
          <w:lang w:val="es-ES_tradnl"/>
        </w:rPr>
        <w:t>5</w:t>
      </w:r>
      <w:r w:rsidRPr="00D20D2A">
        <w:rPr>
          <w:szCs w:val="24"/>
          <w:lang w:val="es-ES"/>
        </w:rPr>
        <w:t xml:space="preserve"> </w:t>
      </w:r>
      <w:r w:rsidR="00026D9C">
        <w:rPr>
          <w:szCs w:val="24"/>
          <w:lang w:val="es-ES"/>
        </w:rPr>
        <w:t xml:space="preserve">del RR </w:t>
      </w:r>
      <w:r w:rsidRPr="00D20D2A">
        <w:rPr>
          <w:szCs w:val="24"/>
          <w:lang w:val="es-ES"/>
        </w:rPr>
        <w:t>son aceptables.</w:t>
      </w:r>
    </w:p>
    <w:p w:rsidR="00D20D2A" w:rsidRPr="00536854" w:rsidRDefault="00026D9C" w:rsidP="00026D9C">
      <w:pPr>
        <w:rPr>
          <w:szCs w:val="24"/>
          <w:lang w:val="es-ES_tradnl"/>
        </w:rPr>
      </w:pPr>
      <w:r>
        <w:rPr>
          <w:szCs w:val="24"/>
          <w:lang w:val="es-ES_tradnl"/>
        </w:rPr>
        <w:t xml:space="preserve">El material elaborado por </w:t>
      </w:r>
      <w:r w:rsidR="00D20D2A" w:rsidRPr="00D20D2A">
        <w:rPr>
          <w:szCs w:val="24"/>
          <w:lang w:val="es-ES"/>
        </w:rPr>
        <w:t>la Comisi</w:t>
      </w:r>
      <w:r w:rsidR="009E4A14">
        <w:rPr>
          <w:szCs w:val="24"/>
          <w:lang w:val="es-ES"/>
        </w:rPr>
        <w:t>ó</w:t>
      </w:r>
      <w:r>
        <w:rPr>
          <w:szCs w:val="24"/>
          <w:lang w:val="es-ES"/>
        </w:rPr>
        <w:t>n de E</w:t>
      </w:r>
      <w:r w:rsidR="00D20D2A" w:rsidRPr="00D20D2A">
        <w:rPr>
          <w:szCs w:val="24"/>
          <w:lang w:val="es-ES"/>
        </w:rPr>
        <w:t>studio 4</w:t>
      </w:r>
      <w:r w:rsidR="00D20D2A" w:rsidRPr="00536854">
        <w:rPr>
          <w:szCs w:val="24"/>
          <w:lang w:val="es-ES_tradnl"/>
        </w:rPr>
        <w:t xml:space="preserve"> adopta un enfoque similar al descrito en la Recomendación UIT-R SF.674-3 para la banda de frecuencias 11,7-12,2 GHz.</w:t>
      </w:r>
    </w:p>
    <w:p w:rsidR="00D20D2A" w:rsidRPr="00235D49" w:rsidRDefault="00D20D2A" w:rsidP="00D20D2A">
      <w:pPr>
        <w:pStyle w:val="AnnexNoTitle"/>
        <w:rPr>
          <w:lang w:val="es-ES_tradnl"/>
        </w:rPr>
      </w:pPr>
      <w:r w:rsidRPr="00416AFB">
        <w:rPr>
          <w:rFonts w:ascii="Times New Roman" w:hAnsi="Times New Roman" w:cs="Times New Roman"/>
          <w:szCs w:val="20"/>
          <w:lang w:val="es-ES_tradnl"/>
        </w:rPr>
        <w:t>______________</w:t>
      </w:r>
    </w:p>
    <w:sectPr w:rsidR="00D20D2A" w:rsidRPr="00235D49"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2A" w:rsidRDefault="00D20D2A">
      <w:r>
        <w:separator/>
      </w:r>
    </w:p>
  </w:endnote>
  <w:endnote w:type="continuationSeparator" w:id="0">
    <w:p w:rsidR="00D20D2A" w:rsidRDefault="00D2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20D2A">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2A" w:rsidRDefault="00D20D2A">
      <w:r>
        <w:t>____________________</w:t>
      </w:r>
    </w:p>
  </w:footnote>
  <w:footnote w:type="continuationSeparator" w:id="0">
    <w:p w:rsidR="00D20D2A" w:rsidRDefault="00D2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20D2A">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03008A">
      <w:rPr>
        <w:rStyle w:val="PageNumber"/>
        <w:noProof/>
        <w:sz w:val="18"/>
        <w:szCs w:val="16"/>
      </w:rPr>
      <w:t>2</w:t>
    </w:r>
    <w:r w:rsidR="001B42C9" w:rsidRPr="00D239B4">
      <w:rPr>
        <w:rStyle w:val="PageNumber"/>
        <w:sz w:val="18"/>
        <w:szCs w:val="16"/>
      </w:rPr>
      <w:fldChar w:fldCharType="end"/>
    </w:r>
    <w:r w:rsidR="00D20D2A">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0D2A" w:rsidRDefault="00E915AF">
    <w:pPr>
      <w:pStyle w:val="Header"/>
      <w:rPr>
        <w:iCs/>
        <w:sz w:val="18"/>
        <w:szCs w:val="18"/>
      </w:rPr>
    </w:pPr>
    <w:r>
      <w:tab/>
    </w:r>
    <w:r>
      <w:tab/>
    </w:r>
    <w:r w:rsidR="00D20D2A">
      <w:t xml:space="preserve">- </w:t>
    </w:r>
    <w:r w:rsidR="001B42C9" w:rsidRPr="00D20D2A">
      <w:rPr>
        <w:iCs/>
        <w:sz w:val="18"/>
        <w:szCs w:val="18"/>
      </w:rPr>
      <w:fldChar w:fldCharType="begin"/>
    </w:r>
    <w:r w:rsidRPr="00D20D2A">
      <w:rPr>
        <w:iCs/>
        <w:sz w:val="18"/>
        <w:szCs w:val="18"/>
      </w:rPr>
      <w:instrText xml:space="preserve"> PAGE  \* MERGEFORMAT </w:instrText>
    </w:r>
    <w:r w:rsidR="001B42C9" w:rsidRPr="00D20D2A">
      <w:rPr>
        <w:iCs/>
        <w:sz w:val="18"/>
        <w:szCs w:val="18"/>
      </w:rPr>
      <w:fldChar w:fldCharType="separate"/>
    </w:r>
    <w:r w:rsidR="0003008A">
      <w:rPr>
        <w:iCs/>
        <w:noProof/>
        <w:sz w:val="18"/>
        <w:szCs w:val="18"/>
      </w:rPr>
      <w:t>3</w:t>
    </w:r>
    <w:r w:rsidR="001B42C9" w:rsidRPr="00D20D2A">
      <w:rPr>
        <w:iCs/>
        <w:sz w:val="18"/>
        <w:szCs w:val="18"/>
      </w:rPr>
      <w:fldChar w:fldCharType="end"/>
    </w:r>
    <w:r w:rsidR="00D20D2A">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297D40">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20D2A"/>
    <w:rsid w:val="00006A31"/>
    <w:rsid w:val="00006C82"/>
    <w:rsid w:val="00010E30"/>
    <w:rsid w:val="00015C76"/>
    <w:rsid w:val="00026CF8"/>
    <w:rsid w:val="00026D9C"/>
    <w:rsid w:val="0003008A"/>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275"/>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839CF"/>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6891"/>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16A5"/>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14"/>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0D2A"/>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A4037"/>
    <w:rsid w:val="00DD700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939D96F-07FA-46B6-A537-A97E15DD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20D2A"/>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D20D2A"/>
    <w:rPr>
      <w:rFonts w:ascii="Times New Roman" w:hAnsi="Times New Roman" w:cs="Times New Roman"/>
      <w:sz w:val="24"/>
      <w:lang w:val="en-US" w:eastAsia="en-US"/>
    </w:rPr>
  </w:style>
  <w:style w:type="character" w:customStyle="1" w:styleId="NormalaftertitleChar">
    <w:name w:val="Normal_after_title Char"/>
    <w:basedOn w:val="DefaultParagraphFont"/>
    <w:link w:val="Normalaftertitle"/>
    <w:rsid w:val="00D20D2A"/>
    <w:rPr>
      <w:sz w:val="24"/>
      <w:szCs w:val="22"/>
      <w:lang w:val="en-US" w:eastAsia="en-US"/>
    </w:rPr>
  </w:style>
  <w:style w:type="character" w:customStyle="1" w:styleId="AnnexNoTitleChar">
    <w:name w:val="Annex_NoTitle Char"/>
    <w:basedOn w:val="DefaultParagraphFont"/>
    <w:link w:val="AnnexNoTitle"/>
    <w:locked/>
    <w:rsid w:val="00D20D2A"/>
    <w:rPr>
      <w:b/>
      <w:sz w:val="24"/>
      <w:szCs w:val="22"/>
      <w:lang w:val="en-US" w:eastAsia="en-US"/>
    </w:rPr>
  </w:style>
  <w:style w:type="character" w:customStyle="1" w:styleId="RectitleChar">
    <w:name w:val="Rec_title Char"/>
    <w:link w:val="Rectitle"/>
    <w:rsid w:val="00D20D2A"/>
    <w:rPr>
      <w:b/>
      <w:sz w:val="28"/>
      <w:szCs w:val="22"/>
      <w:lang w:val="en-US" w:eastAsia="en-US"/>
    </w:rPr>
  </w:style>
  <w:style w:type="paragraph" w:customStyle="1" w:styleId="Annextitle">
    <w:name w:val="Annex_title"/>
    <w:basedOn w:val="Normal"/>
    <w:next w:val="Normal"/>
    <w:rsid w:val="00D20D2A"/>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59" w:lineRule="auto"/>
      <w:jc w:val="center"/>
      <w:textAlignment w:val="auto"/>
    </w:pPr>
    <w:rPr>
      <w:rFonts w:ascii="Times New Roman Bold" w:eastAsiaTheme="minorEastAsia" w:hAnsi="Times New Roman Bold" w:cstheme="minorBidi"/>
      <w:b/>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841C-720D-4A68-A143-FC8F0C2B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9</TotalTime>
  <Pages>3</Pages>
  <Words>873</Words>
  <Characters>4972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10</cp:revision>
  <cp:lastPrinted>2013-03-08T10:15:00Z</cp:lastPrinted>
  <dcterms:created xsi:type="dcterms:W3CDTF">2015-09-09T13:06:00Z</dcterms:created>
  <dcterms:modified xsi:type="dcterms:W3CDTF">2015-09-15T14:25:00Z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