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BC3784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BC3784" w:rsidTr="00EA15B3">
        <w:tc>
          <w:tcPr>
            <w:tcW w:w="9889" w:type="dxa"/>
            <w:gridSpan w:val="5"/>
          </w:tcPr>
          <w:p w:rsidR="00EA15B3" w:rsidRPr="00BC3784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BC3784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BC3784" w:rsidTr="00EA15B3">
        <w:tc>
          <w:tcPr>
            <w:tcW w:w="9889" w:type="dxa"/>
            <w:gridSpan w:val="5"/>
          </w:tcPr>
          <w:p w:rsidR="00EA15B3" w:rsidRPr="00BC3784" w:rsidRDefault="00EA15B3" w:rsidP="00EA15B3">
            <w:pPr>
              <w:jc w:val="left"/>
            </w:pPr>
          </w:p>
        </w:tc>
      </w:tr>
      <w:tr w:rsidR="00651777" w:rsidRPr="00BC3784" w:rsidTr="00651777">
        <w:tc>
          <w:tcPr>
            <w:tcW w:w="5353" w:type="dxa"/>
            <w:gridSpan w:val="4"/>
          </w:tcPr>
          <w:p w:rsidR="00651777" w:rsidRPr="00C445F4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>Circular Administrativa</w:t>
            </w:r>
            <w:r w:rsidRPr="00C445F4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445F4">
              <w:rPr>
                <w:b/>
                <w:bCs/>
                <w:sz w:val="24"/>
                <w:szCs w:val="24"/>
              </w:rPr>
              <w:t>CACE/</w:t>
            </w:r>
            <w:r w:rsidR="005B3441" w:rsidRPr="00C445F4">
              <w:rPr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4536" w:type="dxa"/>
          </w:tcPr>
          <w:p w:rsidR="00651777" w:rsidRPr="00BC3784" w:rsidRDefault="005B3441" w:rsidP="005B3441">
            <w:pPr>
              <w:jc w:val="right"/>
            </w:pPr>
            <w:r>
              <w:rPr>
                <w:sz w:val="24"/>
                <w:szCs w:val="24"/>
              </w:rPr>
              <w:t>27</w:t>
            </w:r>
            <w:r w:rsidRPr="00946CC3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 xml:space="preserve">noviembre </w:t>
            </w:r>
            <w:r w:rsidRPr="00946CC3">
              <w:rPr>
                <w:sz w:val="24"/>
                <w:szCs w:val="24"/>
              </w:rPr>
              <w:t>de 2014</w:t>
            </w:r>
          </w:p>
        </w:tc>
      </w:tr>
      <w:tr w:rsidR="00D2339B" w:rsidRPr="00BC3784" w:rsidTr="00D2339B">
        <w:tc>
          <w:tcPr>
            <w:tcW w:w="1384" w:type="dxa"/>
          </w:tcPr>
          <w:p w:rsidR="00D2339B" w:rsidRPr="00BC3784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BC3784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BC3784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BC3784" w:rsidRDefault="00D2339B" w:rsidP="00651777">
            <w:pPr>
              <w:spacing w:before="0"/>
            </w:pPr>
          </w:p>
        </w:tc>
      </w:tr>
      <w:tr w:rsidR="00D2339B" w:rsidRPr="00BC3784" w:rsidTr="00EA15B3">
        <w:tc>
          <w:tcPr>
            <w:tcW w:w="9889" w:type="dxa"/>
            <w:gridSpan w:val="5"/>
          </w:tcPr>
          <w:p w:rsidR="00D2339B" w:rsidRPr="00F562F6" w:rsidRDefault="00455FBC" w:rsidP="005B3441">
            <w:pPr>
              <w:jc w:val="left"/>
              <w:rPr>
                <w:b/>
                <w:sz w:val="24"/>
                <w:szCs w:val="24"/>
              </w:rPr>
            </w:pPr>
            <w:r w:rsidRPr="00F562F6">
              <w:rPr>
                <w:b/>
                <w:bCs/>
                <w:sz w:val="24"/>
                <w:szCs w:val="24"/>
              </w:rPr>
              <w:t>A las Administraciones de los Estados Miembros de la UIT, a los Miembros</w:t>
            </w:r>
            <w:r w:rsidRPr="00F562F6">
              <w:rPr>
                <w:b/>
                <w:bCs/>
                <w:sz w:val="24"/>
                <w:szCs w:val="24"/>
              </w:rPr>
              <w:br/>
              <w:t>del Sector de Radiocomunicaciones y a los Asociados del UIT-R que participan</w:t>
            </w:r>
            <w:r w:rsidRPr="00F562F6">
              <w:rPr>
                <w:b/>
                <w:bCs/>
                <w:sz w:val="24"/>
                <w:szCs w:val="24"/>
              </w:rPr>
              <w:br/>
              <w:t xml:space="preserve">en los trabajos de la Comisión de Estudio </w:t>
            </w:r>
            <w:r w:rsidR="005B3441" w:rsidRPr="00F562F6">
              <w:rPr>
                <w:b/>
                <w:bCs/>
                <w:sz w:val="24"/>
                <w:szCs w:val="24"/>
              </w:rPr>
              <w:t>5</w:t>
            </w:r>
            <w:r w:rsidRPr="00F562F6">
              <w:rPr>
                <w:b/>
                <w:bCs/>
                <w:sz w:val="24"/>
                <w:szCs w:val="24"/>
              </w:rPr>
              <w:t xml:space="preserve"> de Radiocomunicaciones</w:t>
            </w:r>
          </w:p>
          <w:p w:rsidR="00CD0E47" w:rsidRPr="00BC3784" w:rsidRDefault="00CD0E47" w:rsidP="00CD0E47">
            <w:pPr>
              <w:jc w:val="left"/>
            </w:pP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F562F6" w:rsidRDefault="00086444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F562F6">
              <w:rPr>
                <w:sz w:val="24"/>
                <w:szCs w:val="24"/>
              </w:rPr>
              <w:t>Asunto</w:t>
            </w:r>
            <w:r w:rsidR="006C04E0" w:rsidRPr="00F562F6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F562F6" w:rsidRDefault="00455FBC" w:rsidP="005B34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F562F6">
              <w:rPr>
                <w:b/>
                <w:sz w:val="24"/>
                <w:szCs w:val="24"/>
              </w:rPr>
              <w:t xml:space="preserve">Comisión de Estudio </w:t>
            </w:r>
            <w:r w:rsidR="005B3441" w:rsidRPr="00F562F6">
              <w:rPr>
                <w:b/>
                <w:sz w:val="24"/>
                <w:szCs w:val="24"/>
              </w:rPr>
              <w:t>5</w:t>
            </w:r>
            <w:r w:rsidRPr="00F562F6">
              <w:rPr>
                <w:b/>
                <w:sz w:val="24"/>
                <w:szCs w:val="24"/>
              </w:rPr>
              <w:t xml:space="preserve"> de Radiocomunicaciones </w:t>
            </w:r>
            <w:r w:rsidR="005B3441" w:rsidRPr="00F562F6">
              <w:rPr>
                <w:b/>
                <w:sz w:val="24"/>
                <w:szCs w:val="24"/>
              </w:rPr>
              <w:t>(Servicios terrenales)</w:t>
            </w:r>
          </w:p>
          <w:p w:rsidR="00CD0E47" w:rsidRPr="00BC3784" w:rsidRDefault="00CD0E47" w:rsidP="005B344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F562F6">
              <w:rPr>
                <w:sz w:val="24"/>
                <w:szCs w:val="24"/>
              </w:rPr>
              <w:t>–</w:t>
            </w:r>
            <w:r w:rsidRPr="00F562F6">
              <w:rPr>
                <w:b/>
                <w:bCs/>
                <w:sz w:val="24"/>
                <w:szCs w:val="24"/>
              </w:rPr>
              <w:tab/>
            </w:r>
            <w:r w:rsidR="00455FBC" w:rsidRPr="00F562F6">
              <w:rPr>
                <w:b/>
                <w:bCs/>
                <w:sz w:val="24"/>
                <w:szCs w:val="24"/>
              </w:rPr>
              <w:t xml:space="preserve">Propuesta de aprobación de </w:t>
            </w:r>
            <w:r w:rsidR="005B3441" w:rsidRPr="00F562F6">
              <w:rPr>
                <w:b/>
                <w:bCs/>
                <w:sz w:val="24"/>
                <w:szCs w:val="24"/>
              </w:rPr>
              <w:t>3</w:t>
            </w:r>
            <w:r w:rsidR="00455FBC" w:rsidRPr="00F562F6">
              <w:rPr>
                <w:b/>
                <w:bCs/>
                <w:sz w:val="24"/>
                <w:szCs w:val="24"/>
              </w:rPr>
              <w:t xml:space="preserve"> proyectos de nueva Recomendación UIT-R y </w:t>
            </w:r>
            <w:r w:rsidR="005B3441" w:rsidRPr="00F562F6">
              <w:rPr>
                <w:b/>
                <w:bCs/>
                <w:sz w:val="24"/>
                <w:szCs w:val="24"/>
              </w:rPr>
              <w:br/>
              <w:t xml:space="preserve">4 </w:t>
            </w:r>
            <w:r w:rsidR="00455FBC" w:rsidRPr="00F562F6">
              <w:rPr>
                <w:b/>
                <w:sz w:val="24"/>
                <w:szCs w:val="24"/>
              </w:rPr>
              <w:t>proyectos de Recomendación UIT-R revisada</w:t>
            </w: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C378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C3784" w:rsidTr="00471EDA">
        <w:tc>
          <w:tcPr>
            <w:tcW w:w="1526" w:type="dxa"/>
            <w:gridSpan w:val="2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BC3784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BC3784" w:rsidTr="00471EDA">
        <w:tc>
          <w:tcPr>
            <w:tcW w:w="9889" w:type="dxa"/>
            <w:gridSpan w:val="5"/>
            <w:shd w:val="clear" w:color="auto" w:fill="auto"/>
          </w:tcPr>
          <w:p w:rsidR="00CD0E47" w:rsidRPr="00BC3784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455FBC" w:rsidRPr="005B3441" w:rsidRDefault="00455FBC" w:rsidP="00C445F4">
      <w:pPr>
        <w:spacing w:before="600"/>
        <w:rPr>
          <w:sz w:val="24"/>
          <w:szCs w:val="24"/>
        </w:rPr>
      </w:pPr>
      <w:r w:rsidRPr="005B3441">
        <w:rPr>
          <w:sz w:val="24"/>
          <w:szCs w:val="24"/>
        </w:rPr>
        <w:t>En la reu</w:t>
      </w:r>
      <w:r w:rsidR="005B3441" w:rsidRPr="005B3441">
        <w:rPr>
          <w:sz w:val="24"/>
          <w:szCs w:val="24"/>
        </w:rPr>
        <w:t xml:space="preserve">nión de la Comisión de Estudio 5 del UIT-R celebrada del </w:t>
      </w:r>
      <w:r w:rsidR="00F562F6">
        <w:rPr>
          <w:sz w:val="24"/>
          <w:szCs w:val="24"/>
        </w:rPr>
        <w:t>10 al 11</w:t>
      </w:r>
      <w:r w:rsidRPr="005B3441">
        <w:rPr>
          <w:sz w:val="24"/>
          <w:szCs w:val="24"/>
        </w:rPr>
        <w:t xml:space="preserve"> del </w:t>
      </w:r>
      <w:r w:rsidR="005B3441" w:rsidRPr="005B3441">
        <w:rPr>
          <w:sz w:val="24"/>
          <w:szCs w:val="24"/>
        </w:rPr>
        <w:t>noviembre 2014</w:t>
      </w:r>
      <w:r w:rsidRPr="005B3441">
        <w:rPr>
          <w:sz w:val="24"/>
          <w:szCs w:val="24"/>
        </w:rPr>
        <w:t xml:space="preserve">, la Comisión de Estudio </w:t>
      </w:r>
      <w:r w:rsidR="00C445F4">
        <w:rPr>
          <w:sz w:val="24"/>
          <w:szCs w:val="24"/>
        </w:rPr>
        <w:t>adoptó los</w:t>
      </w:r>
      <w:r w:rsidR="005B3441" w:rsidRPr="005B3441">
        <w:rPr>
          <w:sz w:val="24"/>
          <w:szCs w:val="24"/>
        </w:rPr>
        <w:t xml:space="preserve"> texto</w:t>
      </w:r>
      <w:r w:rsidR="00C445F4">
        <w:rPr>
          <w:sz w:val="24"/>
          <w:szCs w:val="24"/>
        </w:rPr>
        <w:t>s</w:t>
      </w:r>
      <w:r w:rsidR="005B3441" w:rsidRPr="005B3441">
        <w:rPr>
          <w:sz w:val="24"/>
          <w:szCs w:val="24"/>
        </w:rPr>
        <w:t xml:space="preserve"> de 3</w:t>
      </w:r>
      <w:r w:rsidRPr="005B3441">
        <w:rPr>
          <w:sz w:val="24"/>
          <w:szCs w:val="24"/>
        </w:rPr>
        <w:t xml:space="preserve"> proyectos de nueva Recomendación UIT-R y de </w:t>
      </w:r>
      <w:r w:rsidR="005B3441" w:rsidRPr="005B3441">
        <w:rPr>
          <w:sz w:val="24"/>
          <w:szCs w:val="24"/>
        </w:rPr>
        <w:t>4</w:t>
      </w:r>
      <w:r w:rsidRPr="005B3441">
        <w:rPr>
          <w:sz w:val="24"/>
          <w:szCs w:val="24"/>
        </w:rPr>
        <w:t xml:space="preserve"> proyectos de Recomendación UIT-R revisada y acordó aplicar el procedimiento de la Resolución </w:t>
      </w:r>
      <w:r w:rsidR="00C445F4">
        <w:rPr>
          <w:sz w:val="24"/>
          <w:szCs w:val="24"/>
        </w:rPr>
        <w:br/>
      </w:r>
      <w:r w:rsidRPr="005B3441">
        <w:rPr>
          <w:sz w:val="24"/>
          <w:szCs w:val="24"/>
        </w:rPr>
        <w:t>UIT-R 1-6 (véase el §</w:t>
      </w:r>
      <w:r w:rsidR="00BA6804" w:rsidRPr="005B3441">
        <w:rPr>
          <w:sz w:val="24"/>
          <w:szCs w:val="24"/>
        </w:rPr>
        <w:t> </w:t>
      </w:r>
      <w:r w:rsidRPr="005B3441">
        <w:rPr>
          <w:sz w:val="24"/>
          <w:szCs w:val="24"/>
        </w:rPr>
        <w:t>10.4.5) para la aprobación de Re</w:t>
      </w:r>
      <w:r w:rsidR="005B3441" w:rsidRPr="005B3441">
        <w:rPr>
          <w:sz w:val="24"/>
          <w:szCs w:val="24"/>
        </w:rPr>
        <w:t xml:space="preserve">comendaciones por consulta. </w:t>
      </w:r>
      <w:r w:rsidRPr="005B3441">
        <w:rPr>
          <w:sz w:val="24"/>
          <w:szCs w:val="24"/>
        </w:rPr>
        <w:t>Los título</w:t>
      </w:r>
      <w:r w:rsidR="00C445F4">
        <w:rPr>
          <w:sz w:val="24"/>
          <w:szCs w:val="24"/>
        </w:rPr>
        <w:t xml:space="preserve">s y </w:t>
      </w:r>
      <w:r w:rsidR="00C445F4" w:rsidRPr="00314C01">
        <w:rPr>
          <w:sz w:val="24"/>
          <w:szCs w:val="24"/>
        </w:rPr>
        <w:t>res</w:t>
      </w:r>
      <w:r w:rsidR="00C445F4">
        <w:rPr>
          <w:sz w:val="24"/>
          <w:szCs w:val="24"/>
        </w:rPr>
        <w:t>ú</w:t>
      </w:r>
      <w:r w:rsidR="00C445F4" w:rsidRPr="00314C01">
        <w:rPr>
          <w:sz w:val="24"/>
          <w:szCs w:val="24"/>
        </w:rPr>
        <w:t>menes</w:t>
      </w:r>
      <w:r w:rsidRPr="005B3441">
        <w:rPr>
          <w:sz w:val="24"/>
          <w:szCs w:val="24"/>
        </w:rPr>
        <w:t xml:space="preserve"> de los proyectos de Recomendación figuran en el </w:t>
      </w:r>
      <w:r w:rsidR="00C445F4">
        <w:rPr>
          <w:sz w:val="24"/>
          <w:szCs w:val="24"/>
        </w:rPr>
        <w:t>A</w:t>
      </w:r>
      <w:r w:rsidRPr="005B3441">
        <w:rPr>
          <w:sz w:val="24"/>
          <w:szCs w:val="24"/>
        </w:rPr>
        <w:t>nexo a la presente</w:t>
      </w:r>
      <w:r w:rsidR="00C445F4">
        <w:rPr>
          <w:sz w:val="24"/>
          <w:szCs w:val="24"/>
        </w:rPr>
        <w:t xml:space="preserve"> carta</w:t>
      </w:r>
      <w:r w:rsidRPr="005B3441">
        <w:rPr>
          <w:sz w:val="24"/>
          <w:szCs w:val="24"/>
        </w:rPr>
        <w:t xml:space="preserve">. </w:t>
      </w:r>
    </w:p>
    <w:p w:rsidR="00455FBC" w:rsidRPr="005B3441" w:rsidRDefault="00455FBC" w:rsidP="005B3441">
      <w:pPr>
        <w:rPr>
          <w:sz w:val="24"/>
          <w:szCs w:val="24"/>
        </w:rPr>
      </w:pPr>
      <w:r w:rsidRPr="005B3441">
        <w:rPr>
          <w:sz w:val="24"/>
          <w:szCs w:val="24"/>
        </w:rPr>
        <w:t>Con respecto a las disposiciones del § 10.4.5.1 de la Resolución UIT-R 1-6, se solicita a los Estados Miembros que informen a la Secretaría (</w:t>
      </w:r>
      <w:hyperlink r:id="rId8" w:history="1">
        <w:r w:rsidRPr="005B3441">
          <w:rPr>
            <w:color w:val="0000FF"/>
            <w:sz w:val="24"/>
            <w:szCs w:val="24"/>
            <w:u w:val="single"/>
          </w:rPr>
          <w:t>brsgd@itu.int</w:t>
        </w:r>
      </w:hyperlink>
      <w:r w:rsidRPr="005B3441">
        <w:rPr>
          <w:sz w:val="24"/>
          <w:szCs w:val="24"/>
        </w:rPr>
        <w:t xml:space="preserve">) antes del </w:t>
      </w:r>
      <w:r w:rsidR="005B3441" w:rsidRPr="005B3441">
        <w:rPr>
          <w:sz w:val="24"/>
          <w:szCs w:val="24"/>
          <w:u w:val="single"/>
        </w:rPr>
        <w:t>27 de enero de 201</w:t>
      </w:r>
      <w:r w:rsidR="00F562F6">
        <w:rPr>
          <w:sz w:val="24"/>
          <w:szCs w:val="24"/>
          <w:u w:val="single"/>
        </w:rPr>
        <w:t>5</w:t>
      </w:r>
      <w:r w:rsidRPr="005B3441">
        <w:rPr>
          <w:sz w:val="24"/>
          <w:szCs w:val="24"/>
        </w:rPr>
        <w:t xml:space="preserve"> si aprueban o no la</w:t>
      </w:r>
      <w:r w:rsidR="00C445F4">
        <w:rPr>
          <w:sz w:val="24"/>
          <w:szCs w:val="24"/>
        </w:rPr>
        <w:t>s</w:t>
      </w:r>
      <w:r w:rsidRPr="005B3441">
        <w:rPr>
          <w:sz w:val="24"/>
          <w:szCs w:val="24"/>
        </w:rPr>
        <w:t xml:space="preserve"> propuesta</w:t>
      </w:r>
      <w:r w:rsidR="00C445F4">
        <w:rPr>
          <w:sz w:val="24"/>
          <w:szCs w:val="24"/>
        </w:rPr>
        <w:t>s</w:t>
      </w:r>
      <w:r w:rsidRPr="005B3441">
        <w:rPr>
          <w:sz w:val="24"/>
          <w:szCs w:val="24"/>
        </w:rPr>
        <w:t xml:space="preserve"> anterior</w:t>
      </w:r>
      <w:r w:rsidR="00C445F4">
        <w:rPr>
          <w:sz w:val="24"/>
          <w:szCs w:val="24"/>
        </w:rPr>
        <w:t>es</w:t>
      </w:r>
      <w:r w:rsidRPr="005B3441">
        <w:rPr>
          <w:sz w:val="24"/>
          <w:szCs w:val="24"/>
        </w:rPr>
        <w:t>.</w:t>
      </w:r>
    </w:p>
    <w:p w:rsidR="00455FBC" w:rsidRPr="005B3441" w:rsidRDefault="00455FBC" w:rsidP="00455FBC">
      <w:pPr>
        <w:rPr>
          <w:sz w:val="24"/>
          <w:szCs w:val="24"/>
        </w:rPr>
      </w:pPr>
      <w:r w:rsidRPr="005B3441">
        <w:rPr>
          <w:sz w:val="24"/>
          <w:szCs w:val="24"/>
        </w:rPr>
        <w:t>Todo Estado Miembro que objete la aprobación de un proyecto de Recomendación debe informar al Director y al Presidente de la Comisión de Estudio de los motivos de dicha objeción.</w:t>
      </w:r>
    </w:p>
    <w:p w:rsidR="00BE79D9" w:rsidRPr="005B3441" w:rsidRDefault="00455FBC" w:rsidP="00455FBC">
      <w:pPr>
        <w:jc w:val="left"/>
        <w:rPr>
          <w:sz w:val="24"/>
          <w:szCs w:val="24"/>
        </w:rPr>
      </w:pPr>
      <w:r w:rsidRPr="005B3441">
        <w:rPr>
          <w:sz w:val="24"/>
          <w:szCs w:val="24"/>
        </w:rPr>
        <w:t xml:space="preserve">Tras la fecha límite mencionada, los resultados de esta consulta se comunicarán mediante Circular Administrativa y las Recomendaciones aprobadas se publicarán tan pronto como sea posible (véase </w:t>
      </w:r>
      <w:hyperlink r:id="rId9" w:history="1">
        <w:r w:rsidRPr="005B3441">
          <w:rPr>
            <w:color w:val="0000FF"/>
            <w:sz w:val="24"/>
            <w:szCs w:val="24"/>
            <w:u w:val="single"/>
          </w:rPr>
          <w:t>http://www.itu.int/pub/R-REC</w:t>
        </w:r>
      </w:hyperlink>
      <w:r w:rsidRPr="005B3441">
        <w:rPr>
          <w:sz w:val="24"/>
          <w:szCs w:val="24"/>
        </w:rPr>
        <w:t>).</w:t>
      </w:r>
    </w:p>
    <w:p w:rsidR="005B3441" w:rsidRDefault="005B344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6804" w:rsidRPr="005B3441" w:rsidRDefault="00BA6804" w:rsidP="005B3441">
      <w:pPr>
        <w:rPr>
          <w:sz w:val="24"/>
          <w:szCs w:val="24"/>
        </w:rPr>
      </w:pPr>
      <w:r w:rsidRPr="005B3441">
        <w:rPr>
          <w:sz w:val="24"/>
          <w:szCs w:val="24"/>
        </w:rPr>
        <w:lastRenderedPageBreak/>
        <w:t xml:space="preserve"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UIT-T/UIT-R/ISO/CEI puede consultarse en </w:t>
      </w:r>
      <w:hyperlink r:id="rId10" w:history="1">
        <w:r w:rsidR="005B3441" w:rsidRPr="00946CC3">
          <w:rPr>
            <w:rStyle w:val="Hyperlink"/>
            <w:sz w:val="24"/>
            <w:szCs w:val="24"/>
          </w:rPr>
          <w:t>http://www.itu.int/en/ITU</w:t>
        </w:r>
        <w:r w:rsidR="005B3441" w:rsidRPr="00946CC3">
          <w:rPr>
            <w:rStyle w:val="Hyperlink"/>
            <w:sz w:val="24"/>
            <w:szCs w:val="24"/>
          </w:rPr>
          <w:noBreakHyphen/>
          <w:t>T/ipr/Pages/policy.aspx</w:t>
        </w:r>
      </w:hyperlink>
      <w:r w:rsidR="005B3441" w:rsidRPr="00946CC3">
        <w:rPr>
          <w:sz w:val="24"/>
          <w:szCs w:val="24"/>
        </w:rPr>
        <w:t>.</w:t>
      </w:r>
    </w:p>
    <w:p w:rsidR="002E1472" w:rsidRPr="00C445F4" w:rsidRDefault="00CD0E47" w:rsidP="005B344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18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445F4">
        <w:rPr>
          <w:rFonts w:asciiTheme="minorHAnsi" w:hAnsiTheme="minorHAnsi"/>
          <w:szCs w:val="24"/>
          <w:lang w:val="es-ES_tradnl"/>
        </w:rPr>
        <w:t>François Rancy</w:t>
      </w:r>
      <w:r w:rsidRPr="00C445F4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445F4">
        <w:rPr>
          <w:rFonts w:asciiTheme="minorHAnsi" w:hAnsiTheme="minorHAnsi"/>
          <w:szCs w:val="24"/>
          <w:lang w:val="es-ES_tradnl"/>
        </w:rPr>
        <w:br/>
      </w:r>
    </w:p>
    <w:p w:rsidR="00BE79D9" w:rsidRPr="00C445F4" w:rsidRDefault="00CD0E47" w:rsidP="00C445F4">
      <w:pPr>
        <w:tabs>
          <w:tab w:val="left" w:pos="4820"/>
        </w:tabs>
        <w:spacing w:before="720"/>
        <w:rPr>
          <w:bCs/>
          <w:sz w:val="24"/>
          <w:szCs w:val="24"/>
        </w:rPr>
      </w:pPr>
      <w:r w:rsidRPr="00C445F4">
        <w:rPr>
          <w:b/>
          <w:sz w:val="24"/>
          <w:szCs w:val="24"/>
        </w:rPr>
        <w:t>Anexo</w:t>
      </w:r>
      <w:r w:rsidR="00BA6804" w:rsidRPr="00C445F4">
        <w:rPr>
          <w:bCs/>
          <w:sz w:val="24"/>
          <w:szCs w:val="24"/>
        </w:rPr>
        <w:t>:</w:t>
      </w:r>
      <w:r w:rsidR="00BA6804" w:rsidRPr="00C445F4">
        <w:rPr>
          <w:bCs/>
          <w:sz w:val="24"/>
          <w:szCs w:val="24"/>
        </w:rPr>
        <w:tab/>
      </w:r>
      <w:r w:rsidR="005B3441" w:rsidRPr="00C445F4">
        <w:rPr>
          <w:bCs/>
          <w:sz w:val="24"/>
          <w:szCs w:val="24"/>
        </w:rPr>
        <w:tab/>
      </w:r>
      <w:r w:rsidR="00471605" w:rsidRPr="00C445F4">
        <w:rPr>
          <w:sz w:val="24"/>
          <w:szCs w:val="24"/>
        </w:rPr>
        <w:t>Título</w:t>
      </w:r>
      <w:r w:rsidR="00AC080A" w:rsidRPr="00C445F4">
        <w:rPr>
          <w:sz w:val="24"/>
          <w:szCs w:val="24"/>
        </w:rPr>
        <w:t>s</w:t>
      </w:r>
      <w:r w:rsidR="005B3441" w:rsidRPr="00C445F4">
        <w:rPr>
          <w:sz w:val="24"/>
          <w:szCs w:val="24"/>
        </w:rPr>
        <w:t xml:space="preserve"> y res</w:t>
      </w:r>
      <w:r w:rsidR="00C445F4" w:rsidRPr="00C445F4">
        <w:rPr>
          <w:sz w:val="24"/>
          <w:szCs w:val="24"/>
        </w:rPr>
        <w:t>ú</w:t>
      </w:r>
      <w:r w:rsidR="005B3441" w:rsidRPr="00C445F4">
        <w:rPr>
          <w:sz w:val="24"/>
          <w:szCs w:val="24"/>
        </w:rPr>
        <w:t>men</w:t>
      </w:r>
      <w:r w:rsidR="00AC080A" w:rsidRPr="00C445F4">
        <w:rPr>
          <w:sz w:val="24"/>
          <w:szCs w:val="24"/>
        </w:rPr>
        <w:t>es del los proyectos de Recomendación</w:t>
      </w:r>
    </w:p>
    <w:p w:rsidR="00AC080A" w:rsidRPr="00C445F4" w:rsidRDefault="00AC080A" w:rsidP="005B3441">
      <w:pPr>
        <w:rPr>
          <w:sz w:val="24"/>
          <w:szCs w:val="24"/>
        </w:rPr>
      </w:pPr>
      <w:r w:rsidRPr="00C445F4">
        <w:rPr>
          <w:b/>
          <w:bCs/>
          <w:sz w:val="24"/>
          <w:szCs w:val="24"/>
        </w:rPr>
        <w:t>Documentos:</w:t>
      </w:r>
      <w:r w:rsidRPr="00C445F4">
        <w:rPr>
          <w:sz w:val="24"/>
          <w:szCs w:val="24"/>
        </w:rPr>
        <w:t xml:space="preserve"> Documentos </w:t>
      </w:r>
      <w:r w:rsidR="005B3441" w:rsidRPr="00C445F4">
        <w:rPr>
          <w:sz w:val="24"/>
          <w:szCs w:val="24"/>
        </w:rPr>
        <w:t>5</w:t>
      </w:r>
      <w:r w:rsidRPr="00C445F4">
        <w:rPr>
          <w:sz w:val="24"/>
          <w:szCs w:val="24"/>
        </w:rPr>
        <w:t>/BL/</w:t>
      </w:r>
      <w:r w:rsidR="005B3441" w:rsidRPr="00C445F4">
        <w:rPr>
          <w:sz w:val="24"/>
          <w:szCs w:val="24"/>
        </w:rPr>
        <w:t>12</w:t>
      </w:r>
      <w:r w:rsidRPr="00C445F4">
        <w:rPr>
          <w:sz w:val="24"/>
          <w:szCs w:val="24"/>
        </w:rPr>
        <w:t xml:space="preserve"> a </w:t>
      </w:r>
      <w:r w:rsidR="005B3441" w:rsidRPr="00C445F4">
        <w:rPr>
          <w:sz w:val="24"/>
          <w:szCs w:val="24"/>
        </w:rPr>
        <w:t>5</w:t>
      </w:r>
      <w:r w:rsidRPr="00C445F4">
        <w:rPr>
          <w:sz w:val="24"/>
          <w:szCs w:val="24"/>
        </w:rPr>
        <w:t>/BL/</w:t>
      </w:r>
      <w:r w:rsidR="005B3441" w:rsidRPr="00C445F4">
        <w:rPr>
          <w:sz w:val="24"/>
          <w:szCs w:val="24"/>
        </w:rPr>
        <w:t>18</w:t>
      </w:r>
      <w:r w:rsidRPr="00C445F4">
        <w:rPr>
          <w:sz w:val="24"/>
          <w:szCs w:val="24"/>
        </w:rPr>
        <w:t xml:space="preserve"> </w:t>
      </w:r>
    </w:p>
    <w:p w:rsidR="00AC080A" w:rsidRPr="00C445F4" w:rsidRDefault="00AC080A" w:rsidP="005B3441">
      <w:pPr>
        <w:spacing w:before="60"/>
        <w:jc w:val="left"/>
        <w:rPr>
          <w:sz w:val="24"/>
          <w:szCs w:val="24"/>
        </w:rPr>
      </w:pPr>
      <w:r w:rsidRPr="00C445F4">
        <w:rPr>
          <w:sz w:val="24"/>
          <w:szCs w:val="24"/>
        </w:rPr>
        <w:t>Estos documentos están disponibles en formato electrónico en la dirección</w:t>
      </w:r>
      <w:r w:rsidR="00BA6804" w:rsidRPr="00C445F4">
        <w:rPr>
          <w:sz w:val="24"/>
          <w:szCs w:val="24"/>
        </w:rPr>
        <w:t>:</w:t>
      </w:r>
      <w:r w:rsidR="005B3441" w:rsidRPr="00C445F4">
        <w:rPr>
          <w:sz w:val="24"/>
          <w:szCs w:val="24"/>
        </w:rPr>
        <w:br/>
      </w:r>
      <w:hyperlink r:id="rId11" w:history="1">
        <w:r w:rsidR="005B3441" w:rsidRPr="00C445F4">
          <w:rPr>
            <w:rStyle w:val="Hyperlink"/>
            <w:sz w:val="24"/>
            <w:szCs w:val="24"/>
          </w:rPr>
          <w:t>http://www.itu.int/rec/R-REC-M/en</w:t>
        </w:r>
      </w:hyperlink>
    </w:p>
    <w:p w:rsidR="00CD0E47" w:rsidRPr="00BC3784" w:rsidRDefault="00CD0E47" w:rsidP="009026F3">
      <w:pPr>
        <w:keepNext/>
        <w:tabs>
          <w:tab w:val="left" w:pos="6237"/>
        </w:tabs>
        <w:spacing w:before="4560"/>
        <w:rPr>
          <w:b/>
          <w:bCs/>
          <w:sz w:val="18"/>
          <w:szCs w:val="18"/>
        </w:rPr>
      </w:pPr>
      <w:r w:rsidRPr="00BC3784">
        <w:rPr>
          <w:b/>
          <w:bCs/>
          <w:sz w:val="18"/>
          <w:szCs w:val="18"/>
        </w:rPr>
        <w:t>Distribución: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>Administraciones de los Estados Miembros</w:t>
      </w:r>
      <w:r w:rsidR="00815A28">
        <w:rPr>
          <w:sz w:val="18"/>
          <w:szCs w:val="18"/>
        </w:rPr>
        <w:t xml:space="preserve"> de la UIT y Miembros</w:t>
      </w:r>
      <w:r w:rsidRPr="00BC3784">
        <w:rPr>
          <w:sz w:val="18"/>
          <w:szCs w:val="18"/>
        </w:rPr>
        <w:t xml:space="preserve"> del Sector de Radiocomunicaciones que participan en los trabajos de la Comisión de Estudio </w:t>
      </w:r>
      <w:r w:rsidR="005B3441">
        <w:rPr>
          <w:sz w:val="18"/>
          <w:szCs w:val="18"/>
        </w:rPr>
        <w:t>5</w:t>
      </w:r>
      <w:r w:rsidRPr="00BC3784">
        <w:rPr>
          <w:sz w:val="18"/>
          <w:szCs w:val="18"/>
        </w:rPr>
        <w:t xml:space="preserve"> de Radiocomunicaciones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Asociados del UIT-R que participan en los trabajos de la Comisión de Estudio </w:t>
      </w:r>
      <w:r w:rsidR="005B3441">
        <w:rPr>
          <w:sz w:val="18"/>
          <w:szCs w:val="18"/>
        </w:rPr>
        <w:t>5</w:t>
      </w:r>
      <w:r w:rsidRPr="00BC3784">
        <w:rPr>
          <w:sz w:val="18"/>
          <w:szCs w:val="18"/>
        </w:rPr>
        <w:t xml:space="preserve"> de Radiocomunicaciones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Presidente y Vicepresidentes de las Comisiones de Estudio de Radiocomunicaciones y Comisión Especial para asuntos reglamentarios de procedimiento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Presidente y Vicepresidentes de la Reunión Preparatoria de la Conferencia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 xml:space="preserve">Miembros de la Junta del Reglamento de Radiocomunicaciones </w:t>
      </w:r>
    </w:p>
    <w:p w:rsidR="00AC080A" w:rsidRPr="00BC3784" w:rsidRDefault="00AC080A" w:rsidP="00815A28">
      <w:pPr>
        <w:tabs>
          <w:tab w:val="left" w:pos="284"/>
          <w:tab w:val="left" w:pos="6237"/>
        </w:tabs>
        <w:spacing w:before="0" w:line="240" w:lineRule="auto"/>
        <w:ind w:left="284" w:hanging="284"/>
        <w:jc w:val="left"/>
        <w:rPr>
          <w:sz w:val="18"/>
          <w:szCs w:val="18"/>
        </w:rPr>
      </w:pPr>
      <w:r w:rsidRPr="00BC3784">
        <w:rPr>
          <w:sz w:val="18"/>
          <w:szCs w:val="18"/>
        </w:rPr>
        <w:t>–</w:t>
      </w:r>
      <w:r w:rsidRPr="00BC378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</w:p>
    <w:p w:rsidR="00A36356" w:rsidRDefault="00A36356" w:rsidP="00C445F4">
      <w:pPr>
        <w:pStyle w:val="AnnexNoTitle"/>
        <w:rPr>
          <w:sz w:val="28"/>
          <w:szCs w:val="28"/>
        </w:rPr>
      </w:pPr>
      <w:r>
        <w:rPr>
          <w:sz w:val="28"/>
          <w:szCs w:val="28"/>
        </w:rPr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sz w:val="28"/>
          <w:szCs w:val="28"/>
        </w:rPr>
        <w:t>Títulos y resúmenes de los proyectos de Recomendaciones adoptados</w:t>
      </w:r>
      <w:r>
        <w:rPr>
          <w:sz w:val="28"/>
          <w:szCs w:val="28"/>
        </w:rPr>
        <w:br/>
        <w:t>por la Comisión de Estudio 5</w:t>
      </w:r>
    </w:p>
    <w:p w:rsidR="00A36356" w:rsidRDefault="00A36356" w:rsidP="00A36356">
      <w:pPr>
        <w:rPr>
          <w:sz w:val="24"/>
        </w:rPr>
      </w:pPr>
    </w:p>
    <w:p w:rsidR="00A36356" w:rsidRPr="00C445F4" w:rsidRDefault="00A36356" w:rsidP="00A36356">
      <w:pPr>
        <w:pStyle w:val="Normalaftertitle"/>
        <w:tabs>
          <w:tab w:val="right" w:pos="9639"/>
        </w:tabs>
        <w:rPr>
          <w:rFonts w:asciiTheme="minorHAnsi" w:hAnsiTheme="minorHAnsi" w:cstheme="minorHAnsi"/>
          <w:sz w:val="24"/>
          <w:szCs w:val="24"/>
        </w:rPr>
      </w:pPr>
      <w:r w:rsidRPr="00C445F4">
        <w:rPr>
          <w:rFonts w:asciiTheme="minorHAnsi" w:hAnsiTheme="minorHAnsi" w:cstheme="minorHAnsi"/>
          <w:sz w:val="24"/>
          <w:szCs w:val="24"/>
          <w:u w:val="single"/>
        </w:rPr>
        <w:t xml:space="preserve">Proyecto de nueva Recomendación UIT-R M.[ANT ROT] </w:t>
      </w:r>
      <w:r w:rsidRPr="00C445F4">
        <w:rPr>
          <w:rFonts w:asciiTheme="minorHAnsi" w:hAnsiTheme="minorHAnsi" w:cstheme="minorHAnsi"/>
          <w:sz w:val="24"/>
          <w:szCs w:val="24"/>
        </w:rPr>
        <w:tab/>
        <w:t xml:space="preserve">Documento </w:t>
      </w:r>
      <w:r w:rsidRPr="00C445F4">
        <w:rPr>
          <w:rFonts w:asciiTheme="minorHAnsi" w:eastAsiaTheme="majorEastAsia" w:hAnsiTheme="minorHAnsi" w:cstheme="minorHAnsi"/>
          <w:sz w:val="24"/>
          <w:szCs w:val="24"/>
        </w:rPr>
        <w:t>5/BL/12</w:t>
      </w:r>
    </w:p>
    <w:p w:rsidR="00A36356" w:rsidRDefault="00A36356" w:rsidP="00A36356">
      <w:pPr>
        <w:pStyle w:val="Normalaftertitle"/>
        <w:overflowPunct/>
        <w:autoSpaceDE/>
        <w:adjustRightInd/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Variabilidad de la rotación de la antena y efectos sobre el acoplamiento de la antena para el análisis de interferencia de radar</w:t>
      </w:r>
    </w:p>
    <w:p w:rsidR="00A36356" w:rsidRPr="0008798F" w:rsidRDefault="00A36356" w:rsidP="00A36356">
      <w:pPr>
        <w:spacing w:before="240" w:line="240" w:lineRule="auto"/>
        <w:rPr>
          <w:rFonts w:asciiTheme="minorHAnsi" w:hAnsiTheme="minorHAnsi" w:cstheme="majorBidi"/>
          <w:sz w:val="24"/>
          <w:szCs w:val="24"/>
        </w:rPr>
      </w:pPr>
      <w:r w:rsidRPr="0008798F">
        <w:rPr>
          <w:rFonts w:asciiTheme="minorHAnsi" w:hAnsiTheme="minorHAnsi" w:cstheme="majorBidi"/>
          <w:sz w:val="24"/>
          <w:szCs w:val="24"/>
        </w:rPr>
        <w:t>La Recomendación describe los efectos de la rotación de la antena sobre el acoplamiento de la antena para el análisis de interferencia y compatibilidad.</w:t>
      </w:r>
    </w:p>
    <w:p w:rsidR="00A36356" w:rsidRPr="00C445F4" w:rsidRDefault="00A36356" w:rsidP="00C445F4">
      <w:pPr>
        <w:pStyle w:val="HTMLPreformatted"/>
        <w:tabs>
          <w:tab w:val="clear" w:pos="7328"/>
          <w:tab w:val="left" w:pos="7655"/>
        </w:tabs>
        <w:spacing w:before="400" w:line="280" w:lineRule="exact"/>
        <w:rPr>
          <w:rFonts w:asciiTheme="minorHAnsi" w:hAnsiTheme="minorHAnsi" w:cstheme="minorHAnsi"/>
          <w:sz w:val="24"/>
          <w:szCs w:val="24"/>
          <w:lang w:val="es-ES_tradnl"/>
        </w:rPr>
      </w:pPr>
      <w:r w:rsidRPr="00C445F4">
        <w:rPr>
          <w:rFonts w:asciiTheme="minorHAnsi" w:hAnsiTheme="minorHAnsi" w:cstheme="minorHAnsi"/>
          <w:sz w:val="24"/>
          <w:szCs w:val="24"/>
          <w:u w:val="single"/>
          <w:lang w:val="es-ES_tradnl"/>
        </w:rPr>
        <w:t>Proyecto de nueva Recomendación UIT-R M.[IMT.OOBE BS]</w:t>
      </w:r>
      <w:r w:rsidRPr="00C445F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C445F4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C445F4">
        <w:rPr>
          <w:rFonts w:asciiTheme="minorHAnsi" w:hAnsiTheme="minorHAnsi" w:cstheme="minorHAnsi"/>
          <w:sz w:val="24"/>
          <w:szCs w:val="24"/>
          <w:lang w:val="es-ES_tradnl"/>
        </w:rPr>
        <w:t xml:space="preserve">Documento </w:t>
      </w:r>
      <w:r w:rsidRPr="00C445F4">
        <w:rPr>
          <w:rFonts w:asciiTheme="minorHAnsi" w:eastAsiaTheme="majorEastAsia" w:hAnsiTheme="minorHAnsi" w:cstheme="minorHAnsi"/>
          <w:sz w:val="24"/>
          <w:szCs w:val="24"/>
          <w:lang w:val="es-ES"/>
        </w:rPr>
        <w:t>5/BL/16</w:t>
      </w:r>
    </w:p>
    <w:p w:rsidR="00A36356" w:rsidRDefault="00A36356" w:rsidP="00A36356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djustRightInd/>
        <w:spacing w:before="360"/>
        <w:jc w:val="center"/>
        <w:rPr>
          <w:rFonts w:asciiTheme="minorHAnsi" w:hAnsiTheme="minorHAnsi" w:cs="Courier New"/>
          <w:b/>
          <w:bCs/>
          <w:sz w:val="28"/>
          <w:szCs w:val="28"/>
          <w:lang w:eastAsia="zh-CN"/>
        </w:rPr>
      </w:pPr>
      <w:r>
        <w:rPr>
          <w:rFonts w:asciiTheme="minorHAnsi" w:hAnsiTheme="minorHAnsi" w:cs="Courier New"/>
          <w:b/>
          <w:bCs/>
          <w:sz w:val="28"/>
          <w:szCs w:val="28"/>
          <w:lang w:eastAsia="zh-CN"/>
        </w:rPr>
        <w:t>Características genéricas de las emisiones no deseadas procedentes de estaciones de base que utilizan las interfaces radioeléctricas terrenales de las IMT-Avanzadas</w:t>
      </w:r>
    </w:p>
    <w:p w:rsidR="00A36356" w:rsidRDefault="00A36356" w:rsidP="00A36356">
      <w:pPr>
        <w:pStyle w:val="Summary"/>
        <w:rPr>
          <w:lang w:val="es-ES_tradnl"/>
        </w:rPr>
      </w:pPr>
      <w:r>
        <w:rPr>
          <w:lang w:val="es-ES_tradnl"/>
        </w:rPr>
        <w:t>La Recomendación especifica las características genéricas de las emisiones no deseadas (emisiones no esenciales y fuera de banda) de las estaciones de base que utilizan las interfaces radioeléctricas terrenales de las IMT-Avanzadas.</w:t>
      </w:r>
    </w:p>
    <w:p w:rsidR="00A36356" w:rsidRPr="0008798F" w:rsidRDefault="00A36356" w:rsidP="00A36356">
      <w:pPr>
        <w:tabs>
          <w:tab w:val="right" w:pos="9639"/>
        </w:tabs>
        <w:overflowPunct/>
        <w:autoSpaceDE/>
        <w:adjustRightInd/>
        <w:spacing w:before="400"/>
        <w:jc w:val="left"/>
        <w:rPr>
          <w:rFonts w:asciiTheme="minorHAnsi" w:hAnsiTheme="minorHAnsi" w:cstheme="minorHAnsi"/>
          <w:sz w:val="24"/>
          <w:szCs w:val="24"/>
        </w:rPr>
      </w:pPr>
      <w:r w:rsidRPr="0008798F">
        <w:rPr>
          <w:rFonts w:asciiTheme="minorHAnsi" w:hAnsiTheme="minorHAnsi" w:cstheme="minorHAnsi"/>
          <w:sz w:val="24"/>
          <w:szCs w:val="24"/>
          <w:u w:val="single"/>
        </w:rPr>
        <w:t xml:space="preserve">Proyecto de nueva </w:t>
      </w:r>
      <w:r w:rsidR="00C445F4" w:rsidRPr="0008798F">
        <w:rPr>
          <w:rFonts w:asciiTheme="minorHAnsi" w:hAnsiTheme="minorHAnsi" w:cstheme="minorHAnsi"/>
          <w:sz w:val="24"/>
          <w:szCs w:val="24"/>
          <w:u w:val="single"/>
        </w:rPr>
        <w:t>Recomendación UIT-R M.[IMT.OOBE-</w:t>
      </w:r>
      <w:r w:rsidRPr="0008798F">
        <w:rPr>
          <w:rFonts w:asciiTheme="minorHAnsi" w:hAnsiTheme="minorHAnsi" w:cstheme="minorHAnsi"/>
          <w:sz w:val="24"/>
          <w:szCs w:val="24"/>
          <w:u w:val="single"/>
        </w:rPr>
        <w:t>MS]</w:t>
      </w:r>
      <w:r w:rsidRPr="0008798F">
        <w:rPr>
          <w:rFonts w:asciiTheme="minorHAnsi" w:hAnsiTheme="minorHAnsi" w:cstheme="minorHAnsi"/>
          <w:sz w:val="24"/>
          <w:szCs w:val="24"/>
        </w:rPr>
        <w:tab/>
        <w:t>Documento 5/BL/17</w:t>
      </w:r>
    </w:p>
    <w:p w:rsidR="00A36356" w:rsidRDefault="00A36356" w:rsidP="00A36356">
      <w:pPr>
        <w:pStyle w:val="HTMLPreformatted"/>
        <w:spacing w:before="360" w:line="280" w:lineRule="exact"/>
        <w:jc w:val="center"/>
        <w:rPr>
          <w:rFonts w:asciiTheme="minorHAnsi" w:hAnsiTheme="minorHAnsi"/>
          <w:b/>
          <w:bCs/>
          <w:sz w:val="28"/>
          <w:szCs w:val="28"/>
          <w:lang w:val="es-ES_tradnl"/>
        </w:rPr>
      </w:pPr>
      <w:r>
        <w:rPr>
          <w:rFonts w:asciiTheme="minorHAnsi" w:hAnsiTheme="minorHAnsi"/>
          <w:b/>
          <w:bCs/>
          <w:sz w:val="28"/>
          <w:szCs w:val="28"/>
          <w:lang w:val="es-ES_tradnl"/>
        </w:rPr>
        <w:t>Características genéricas de las emisiones no deseadas procedentes de estaciones móviles que utilizan las interfaces radioeléctricas terrenales de las IMT-Avanzadas</w:t>
      </w:r>
    </w:p>
    <w:p w:rsidR="00A36356" w:rsidRDefault="00A36356" w:rsidP="00A36356">
      <w:pPr>
        <w:pStyle w:val="Summary"/>
        <w:rPr>
          <w:lang w:val="es-ES_tradnl"/>
        </w:rPr>
      </w:pPr>
      <w:r>
        <w:rPr>
          <w:lang w:val="es-ES_tradnl"/>
        </w:rPr>
        <w:t>La Recomendación especifica las características genéricas de las emisiones no deseadas (emisiones no esenciales y fuera de banda) de las estaciones móviles que utilizan las interfaces radioeléctricas terrenales de las IMT-Avanzadas</w:t>
      </w:r>
      <w:r>
        <w:rPr>
          <w:rFonts w:eastAsia="SimSun"/>
          <w:lang w:val="es-ES_tradnl"/>
        </w:rPr>
        <w:t xml:space="preserve">, </w:t>
      </w:r>
      <w:r>
        <w:rPr>
          <w:lang w:val="es-ES_tradnl"/>
        </w:rPr>
        <w:t>adecuadas a fin de establecer las bases técnicas para la circulación a nivel mundial de los terminales de las IMT-Avanzadas.</w:t>
      </w:r>
    </w:p>
    <w:p w:rsidR="00A36356" w:rsidRPr="0008798F" w:rsidRDefault="00A36356" w:rsidP="00A36356">
      <w:pPr>
        <w:pStyle w:val="Normalaftertitle"/>
        <w:tabs>
          <w:tab w:val="right" w:pos="9639"/>
        </w:tabs>
        <w:overflowPunct/>
        <w:autoSpaceDE/>
        <w:adjustRightInd/>
        <w:jc w:val="left"/>
        <w:rPr>
          <w:rFonts w:asciiTheme="minorHAnsi" w:hAnsiTheme="minorHAnsi"/>
          <w:sz w:val="24"/>
          <w:szCs w:val="24"/>
        </w:rPr>
      </w:pPr>
      <w:r w:rsidRPr="0008798F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</w:t>
      </w:r>
      <w:r w:rsidRPr="0008798F">
        <w:rPr>
          <w:rFonts w:asciiTheme="minorHAnsi" w:hAnsiTheme="minorHAnsi"/>
          <w:sz w:val="24"/>
          <w:szCs w:val="24"/>
          <w:u w:val="single"/>
        </w:rPr>
        <w:t>-R M.2003</w:t>
      </w:r>
      <w:r w:rsidR="00804B24" w:rsidRPr="0008798F">
        <w:rPr>
          <w:rFonts w:asciiTheme="minorHAnsi" w:hAnsiTheme="minorHAnsi"/>
          <w:sz w:val="24"/>
          <w:szCs w:val="24"/>
          <w:u w:val="single"/>
        </w:rPr>
        <w:t>-0</w:t>
      </w:r>
      <w:r w:rsidRPr="0008798F">
        <w:rPr>
          <w:rFonts w:asciiTheme="minorHAnsi" w:hAnsiTheme="minorHAnsi"/>
          <w:sz w:val="24"/>
          <w:szCs w:val="24"/>
        </w:rPr>
        <w:tab/>
        <w:t xml:space="preserve">Documento </w:t>
      </w:r>
      <w:r w:rsidRPr="0008798F">
        <w:rPr>
          <w:rFonts w:asciiTheme="minorHAnsi" w:eastAsiaTheme="majorEastAsia" w:hAnsiTheme="minorHAnsi" w:cs="Times New Roman"/>
          <w:sz w:val="24"/>
          <w:szCs w:val="24"/>
        </w:rPr>
        <w:t>5/</w:t>
      </w:r>
      <w:r w:rsidRPr="0008798F">
        <w:rPr>
          <w:rStyle w:val="Hyperlink"/>
          <w:rFonts w:asciiTheme="minorHAnsi" w:eastAsiaTheme="majorEastAsia" w:hAnsiTheme="minorHAnsi"/>
          <w:color w:val="auto"/>
          <w:sz w:val="24"/>
          <w:szCs w:val="24"/>
          <w:u w:val="none"/>
        </w:rPr>
        <w:t>BL/13</w:t>
      </w:r>
    </w:p>
    <w:p w:rsidR="00A36356" w:rsidRDefault="00A36356" w:rsidP="00A36356">
      <w:pPr>
        <w:pStyle w:val="Normalaftertitle"/>
        <w:tabs>
          <w:tab w:val="right" w:pos="9639"/>
        </w:tabs>
        <w:overflowPunct/>
        <w:autoSpaceDE/>
        <w:adjustRightInd/>
        <w:spacing w:before="360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Sistemas inalámbricos de múltiples gigabits en frecuencias en torno a 60 GHz</w:t>
      </w:r>
    </w:p>
    <w:p w:rsidR="00A36356" w:rsidRPr="0008798F" w:rsidRDefault="00A36356" w:rsidP="00A36356">
      <w:pPr>
        <w:spacing w:before="240" w:line="240" w:lineRule="auto"/>
        <w:rPr>
          <w:sz w:val="24"/>
          <w:szCs w:val="24"/>
        </w:rPr>
      </w:pPr>
      <w:r w:rsidRPr="0008798F">
        <w:rPr>
          <w:sz w:val="24"/>
          <w:szCs w:val="24"/>
          <w:lang w:eastAsia="zh-CN"/>
        </w:rPr>
        <w:t xml:space="preserve">En la revisión se ha actualizado la información sobre las normas </w:t>
      </w:r>
      <w:r w:rsidRPr="0008798F">
        <w:rPr>
          <w:sz w:val="24"/>
          <w:szCs w:val="24"/>
        </w:rPr>
        <w:t xml:space="preserve">IEEE </w:t>
      </w:r>
      <w:r w:rsidRPr="0008798F">
        <w:rPr>
          <w:sz w:val="24"/>
          <w:szCs w:val="24"/>
          <w:lang w:eastAsia="zh-CN"/>
        </w:rPr>
        <w:t xml:space="preserve">y WGA y se ha corregido la información sobre la norma </w:t>
      </w:r>
      <w:r w:rsidRPr="0008798F">
        <w:rPr>
          <w:sz w:val="24"/>
          <w:szCs w:val="24"/>
        </w:rPr>
        <w:t>ETSI</w:t>
      </w:r>
      <w:r w:rsidRPr="0008798F">
        <w:rPr>
          <w:sz w:val="24"/>
          <w:szCs w:val="24"/>
          <w:lang w:eastAsia="zh-CN"/>
        </w:rPr>
        <w:t>.</w:t>
      </w:r>
    </w:p>
    <w:p w:rsidR="00A36356" w:rsidRDefault="00A36356" w:rsidP="00A36356">
      <w:pPr>
        <w:tabs>
          <w:tab w:val="left" w:pos="720"/>
        </w:tabs>
        <w:overflowPunct/>
        <w:autoSpaceDE/>
        <w:adjustRightInd/>
        <w:spacing w:before="0" w:line="240" w:lineRule="auto"/>
        <w:jc w:val="left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A36356" w:rsidRPr="00804B24" w:rsidRDefault="00A36356" w:rsidP="00A36356">
      <w:pPr>
        <w:tabs>
          <w:tab w:val="right" w:pos="9639"/>
        </w:tabs>
        <w:spacing w:before="400"/>
        <w:rPr>
          <w:sz w:val="24"/>
          <w:szCs w:val="24"/>
          <w:lang w:eastAsia="ja-JP"/>
        </w:rPr>
      </w:pPr>
      <w:r w:rsidRPr="00804B24">
        <w:rPr>
          <w:rFonts w:asciiTheme="minorHAnsi" w:hAnsiTheme="minorHAnsi" w:cstheme="minorHAnsi"/>
          <w:sz w:val="24"/>
          <w:szCs w:val="24"/>
          <w:u w:val="single"/>
        </w:rPr>
        <w:lastRenderedPageBreak/>
        <w:t>Proyecto de revisión de la Recomendación UIT</w:t>
      </w:r>
      <w:r w:rsidRPr="00804B24">
        <w:rPr>
          <w:sz w:val="24"/>
          <w:szCs w:val="24"/>
          <w:u w:val="single"/>
        </w:rPr>
        <w:t>-R M.1</w:t>
      </w:r>
      <w:r w:rsidRPr="00804B24">
        <w:rPr>
          <w:sz w:val="24"/>
          <w:szCs w:val="24"/>
          <w:u w:val="single"/>
          <w:lang w:eastAsia="ja-JP"/>
        </w:rPr>
        <w:t>638</w:t>
      </w:r>
      <w:r w:rsidR="00804B24" w:rsidRPr="00804B24">
        <w:rPr>
          <w:sz w:val="24"/>
          <w:szCs w:val="24"/>
          <w:u w:val="single"/>
          <w:lang w:eastAsia="ja-JP"/>
        </w:rPr>
        <w:t>-0</w:t>
      </w:r>
      <w:r w:rsidRPr="00804B24">
        <w:rPr>
          <w:sz w:val="24"/>
          <w:szCs w:val="24"/>
        </w:rPr>
        <w:tab/>
        <w:t>Documento 5/BL/14</w:t>
      </w:r>
    </w:p>
    <w:p w:rsidR="00A36356" w:rsidRDefault="00A36356" w:rsidP="00A36356">
      <w:pPr>
        <w:tabs>
          <w:tab w:val="right" w:pos="9639"/>
        </w:tabs>
        <w:spacing w:before="360" w:after="120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Características y criterios de protección para estudios de compartición de los radares de radiolocalización, radionavegación aeronáutica y meteorológicos que funcionan en las bandas de frecuencia entre 5</w:t>
      </w:r>
      <w:r>
        <w:rPr>
          <w:rFonts w:ascii="Tms Rmn" w:hAnsi="Tms Rmn"/>
          <w:b/>
          <w:sz w:val="28"/>
          <w:szCs w:val="28"/>
        </w:rPr>
        <w:t> </w:t>
      </w:r>
      <w:r>
        <w:rPr>
          <w:b/>
          <w:sz w:val="28"/>
          <w:szCs w:val="28"/>
        </w:rPr>
        <w:t>250 y 5</w:t>
      </w:r>
      <w:r>
        <w:rPr>
          <w:rFonts w:ascii="Tms Rmn" w:hAnsi="Tms Rmn"/>
          <w:b/>
          <w:sz w:val="28"/>
          <w:szCs w:val="28"/>
        </w:rPr>
        <w:t> </w:t>
      </w:r>
      <w:r>
        <w:rPr>
          <w:b/>
          <w:sz w:val="28"/>
          <w:szCs w:val="28"/>
        </w:rPr>
        <w:t>850 MHz</w:t>
      </w:r>
    </w:p>
    <w:p w:rsidR="00A36356" w:rsidRPr="00804B24" w:rsidRDefault="00A36356" w:rsidP="00A36356">
      <w:pPr>
        <w:tabs>
          <w:tab w:val="right" w:pos="9639"/>
        </w:tabs>
        <w:spacing w:before="240" w:line="240" w:lineRule="auto"/>
        <w:rPr>
          <w:sz w:val="24"/>
          <w:szCs w:val="24"/>
          <w:lang w:eastAsia="ja-JP"/>
        </w:rPr>
      </w:pPr>
      <w:r w:rsidRPr="00804B24">
        <w:rPr>
          <w:sz w:val="24"/>
          <w:szCs w:val="24"/>
        </w:rPr>
        <w:t>La revisión suprime los parámetros técnicos de los radares meteorológicos del Cuadro 2 que están duplicados en la Recomendación UIT-R M.1849 (2007), y agrega y modifica parámetros técnicos de diferentes radares nuevos que no son meteorológicos. Armoniza además la Recomendación con el formato nuevo.</w:t>
      </w:r>
    </w:p>
    <w:p w:rsidR="00A36356" w:rsidRPr="00804B24" w:rsidRDefault="00A36356" w:rsidP="00A36356">
      <w:pPr>
        <w:tabs>
          <w:tab w:val="right" w:pos="9639"/>
        </w:tabs>
        <w:spacing w:before="400"/>
        <w:rPr>
          <w:sz w:val="24"/>
          <w:szCs w:val="24"/>
          <w:lang w:eastAsia="ja-JP"/>
        </w:rPr>
      </w:pPr>
      <w:r w:rsidRPr="00804B24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</w:t>
      </w:r>
      <w:r w:rsidRPr="00804B24">
        <w:rPr>
          <w:sz w:val="24"/>
          <w:szCs w:val="24"/>
          <w:u w:val="single"/>
        </w:rPr>
        <w:t>-R M.1</w:t>
      </w:r>
      <w:r w:rsidRPr="00804B24">
        <w:rPr>
          <w:sz w:val="24"/>
          <w:szCs w:val="24"/>
          <w:u w:val="single"/>
          <w:lang w:eastAsia="ja-JP"/>
        </w:rPr>
        <w:t>827</w:t>
      </w:r>
      <w:r w:rsidR="00804B24" w:rsidRPr="00804B24">
        <w:rPr>
          <w:sz w:val="24"/>
          <w:szCs w:val="24"/>
          <w:u w:val="single"/>
          <w:lang w:eastAsia="ja-JP"/>
        </w:rPr>
        <w:t>-0</w:t>
      </w:r>
      <w:r w:rsidRPr="00804B24">
        <w:rPr>
          <w:sz w:val="24"/>
          <w:szCs w:val="24"/>
        </w:rPr>
        <w:tab/>
        <w:t>Documento 5/BL/15</w:t>
      </w:r>
    </w:p>
    <w:p w:rsidR="00A36356" w:rsidRDefault="00A36356" w:rsidP="00A36356">
      <w:pPr>
        <w:tabs>
          <w:tab w:val="right" w:pos="9639"/>
        </w:tabs>
        <w:spacing w:before="360"/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</w:rPr>
        <w:t>Directrices sobre los requisitos técnicos y operacionales de las estaciones del servicio móvil aeronáutico (R) limitado a las aplicaciones de superficie en aeropuertos en la banda de frecuencia 5 091-5 150 MHz</w:t>
      </w:r>
    </w:p>
    <w:p w:rsidR="00A36356" w:rsidRPr="00804B24" w:rsidRDefault="00A36356" w:rsidP="00A36356">
      <w:pPr>
        <w:spacing w:before="240" w:line="240" w:lineRule="auto"/>
        <w:rPr>
          <w:sz w:val="24"/>
          <w:szCs w:val="24"/>
        </w:rPr>
      </w:pPr>
      <w:r w:rsidRPr="00804B24">
        <w:rPr>
          <w:sz w:val="24"/>
          <w:szCs w:val="24"/>
        </w:rPr>
        <w:t>La revisión incluye:</w:t>
      </w:r>
    </w:p>
    <w:p w:rsidR="00A36356" w:rsidRPr="00804B24" w:rsidRDefault="00A36356" w:rsidP="00A36356">
      <w:pPr>
        <w:pStyle w:val="enumlev1"/>
        <w:spacing w:before="120"/>
        <w:rPr>
          <w:sz w:val="24"/>
          <w:szCs w:val="24"/>
        </w:rPr>
      </w:pPr>
      <w:r w:rsidRPr="00804B24">
        <w:rPr>
          <w:sz w:val="24"/>
          <w:szCs w:val="24"/>
        </w:rPr>
        <w:t xml:space="preserve">(a) </w:t>
      </w:r>
      <w:r w:rsidRPr="00804B24">
        <w:rPr>
          <w:sz w:val="24"/>
          <w:szCs w:val="24"/>
        </w:rPr>
        <w:tab/>
        <w:t>la eliminación de la atribución al servicio móvil aeronáutico que soporta los sistemas de seguridad aeronáutica aprobada en la CMR-12, y</w:t>
      </w:r>
    </w:p>
    <w:p w:rsidR="00A36356" w:rsidRPr="00804B24" w:rsidRDefault="00A36356" w:rsidP="00A36356">
      <w:pPr>
        <w:pStyle w:val="enumlev1"/>
        <w:spacing w:before="120"/>
        <w:rPr>
          <w:sz w:val="24"/>
          <w:szCs w:val="24"/>
          <w:lang w:eastAsia="ja-JP"/>
        </w:rPr>
      </w:pPr>
      <w:r w:rsidRPr="00804B24">
        <w:rPr>
          <w:sz w:val="24"/>
          <w:szCs w:val="24"/>
        </w:rPr>
        <w:t xml:space="preserve">(b) </w:t>
      </w:r>
      <w:r w:rsidRPr="00804B24">
        <w:rPr>
          <w:sz w:val="24"/>
          <w:szCs w:val="24"/>
        </w:rPr>
        <w:tab/>
        <w:t>conceder más flexibilidad al servicio móvil aeronáutico (R), manteniendo la compatibilidad con el servicio fijo por satélite en la misma banda.</w:t>
      </w:r>
    </w:p>
    <w:p w:rsidR="00A36356" w:rsidRPr="00804B24" w:rsidRDefault="00A36356" w:rsidP="00A36356">
      <w:pPr>
        <w:tabs>
          <w:tab w:val="right" w:pos="9639"/>
        </w:tabs>
        <w:spacing w:before="400"/>
        <w:rPr>
          <w:sz w:val="24"/>
          <w:szCs w:val="24"/>
        </w:rPr>
      </w:pPr>
      <w:r w:rsidRPr="00804B24">
        <w:rPr>
          <w:rFonts w:asciiTheme="minorHAnsi" w:hAnsiTheme="minorHAnsi" w:cstheme="minorHAnsi"/>
          <w:sz w:val="24"/>
          <w:szCs w:val="24"/>
          <w:u w:val="single"/>
        </w:rPr>
        <w:t>Proyecto de revisión de la Recomendación UIT</w:t>
      </w:r>
      <w:r w:rsidRPr="00804B24">
        <w:rPr>
          <w:sz w:val="24"/>
          <w:szCs w:val="24"/>
          <w:u w:val="single"/>
        </w:rPr>
        <w:t>-R M.1579-1</w:t>
      </w:r>
      <w:r w:rsidRPr="00804B24">
        <w:rPr>
          <w:sz w:val="24"/>
          <w:szCs w:val="24"/>
        </w:rPr>
        <w:tab/>
        <w:t>Documento 5/BL/18</w:t>
      </w:r>
    </w:p>
    <w:p w:rsidR="00A36356" w:rsidRDefault="00A36356" w:rsidP="00A36356">
      <w:pPr>
        <w:tabs>
          <w:tab w:val="right" w:pos="9639"/>
        </w:tabs>
        <w:overflowPunct/>
        <w:autoSpaceDE/>
        <w:adjustRightInd/>
        <w:spacing w:befor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Circulación a nivel mundial de los terminales terrenales IMT</w:t>
      </w:r>
    </w:p>
    <w:p w:rsidR="00A36356" w:rsidRPr="00804B24" w:rsidRDefault="00A36356" w:rsidP="00A36356">
      <w:pPr>
        <w:spacing w:before="240" w:line="240" w:lineRule="auto"/>
        <w:rPr>
          <w:sz w:val="24"/>
          <w:szCs w:val="24"/>
        </w:rPr>
      </w:pPr>
      <w:r w:rsidRPr="00804B24">
        <w:rPr>
          <w:sz w:val="24"/>
          <w:szCs w:val="24"/>
        </w:rPr>
        <w:t>La revisión agrega las bases técnicas para la circulación a nivel mundial de los terminales de las IMT</w:t>
      </w:r>
      <w:r w:rsidRPr="00804B24">
        <w:rPr>
          <w:sz w:val="24"/>
          <w:szCs w:val="24"/>
        </w:rPr>
        <w:noBreakHyphen/>
        <w:t>Avanzadas.</w:t>
      </w:r>
    </w:p>
    <w:p w:rsidR="00A36356" w:rsidRPr="00804B24" w:rsidRDefault="00A36356" w:rsidP="00A36356">
      <w:pPr>
        <w:spacing w:before="120" w:line="240" w:lineRule="auto"/>
        <w:rPr>
          <w:sz w:val="24"/>
          <w:szCs w:val="24"/>
          <w:lang w:eastAsia="ja-JP"/>
        </w:rPr>
      </w:pPr>
      <w:r w:rsidRPr="00804B24">
        <w:rPr>
          <w:sz w:val="24"/>
          <w:szCs w:val="24"/>
          <w:lang w:eastAsia="ja-JP"/>
        </w:rPr>
        <w:t>Además, se han introducido pequeños cambios redaccionales.</w:t>
      </w:r>
    </w:p>
    <w:p w:rsidR="00A36356" w:rsidRPr="00804B24" w:rsidRDefault="00A36356" w:rsidP="00A36356">
      <w:pPr>
        <w:spacing w:before="120" w:line="240" w:lineRule="auto"/>
        <w:rPr>
          <w:sz w:val="24"/>
          <w:szCs w:val="24"/>
          <w:lang w:eastAsia="ja-JP"/>
        </w:rPr>
      </w:pPr>
    </w:p>
    <w:p w:rsidR="00A36356" w:rsidRPr="00A36356" w:rsidRDefault="00A36356" w:rsidP="00A36356">
      <w:pPr>
        <w:pStyle w:val="Reasons"/>
        <w:tabs>
          <w:tab w:val="left" w:pos="916"/>
          <w:tab w:val="left" w:pos="1832"/>
          <w:tab w:val="left" w:pos="2748"/>
          <w:tab w:val="left" w:pos="3664"/>
          <w:tab w:val="left" w:pos="4580"/>
          <w:tab w:val="righ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s-ES"/>
        </w:rPr>
      </w:pPr>
    </w:p>
    <w:p w:rsidR="00A36356" w:rsidRDefault="00A36356" w:rsidP="00A36356">
      <w:pPr>
        <w:jc w:val="center"/>
      </w:pPr>
      <w:r>
        <w:t>______________</w:t>
      </w:r>
    </w:p>
    <w:sectPr w:rsidR="00A36356" w:rsidSect="00235A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0A" w:rsidRPr="00AC080A" w:rsidRDefault="00AC080A" w:rsidP="00AC080A">
    <w:pPr>
      <w:pStyle w:val="Footer"/>
      <w:tabs>
        <w:tab w:val="clear" w:pos="8640"/>
        <w:tab w:val="right" w:pos="7938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80A" w:rsidRPr="00AC080A" w:rsidRDefault="00AC080A" w:rsidP="00AC080A">
    <w:pPr>
      <w:pStyle w:val="Footer"/>
      <w:tabs>
        <w:tab w:val="clear" w:pos="8640"/>
        <w:tab w:val="right" w:pos="7938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  <w:p w:rsidR="00AC080A" w:rsidRPr="00AC080A" w:rsidRDefault="00AC080A" w:rsidP="00AC080A">
    <w:pPr>
      <w:pStyle w:val="Footer"/>
      <w:tabs>
        <w:tab w:val="clear" w:pos="8640"/>
        <w:tab w:val="right" w:pos="7938"/>
      </w:tabs>
      <w:spacing w:before="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F" w:rsidRPr="00204E3F" w:rsidRDefault="00204E3F">
    <w:pPr>
      <w:pStyle w:val="Header"/>
      <w:jc w:val="center"/>
      <w:rPr>
        <w:sz w:val="18"/>
        <w:szCs w:val="18"/>
      </w:rPr>
    </w:pPr>
    <w:r w:rsidRPr="00204E3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12809962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04E3F">
          <w:rPr>
            <w:sz w:val="18"/>
            <w:szCs w:val="18"/>
          </w:rPr>
          <w:fldChar w:fldCharType="begin"/>
        </w:r>
        <w:r w:rsidRPr="00204E3F">
          <w:rPr>
            <w:sz w:val="18"/>
            <w:szCs w:val="18"/>
          </w:rPr>
          <w:instrText xml:space="preserve"> PAGE   \* MERGEFORMAT </w:instrText>
        </w:r>
        <w:r w:rsidRPr="00204E3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4</w:t>
        </w:r>
        <w:r w:rsidRPr="00204E3F">
          <w:rPr>
            <w:noProof/>
            <w:sz w:val="18"/>
            <w:szCs w:val="18"/>
          </w:rPr>
          <w:fldChar w:fldCharType="end"/>
        </w:r>
        <w:r w:rsidRPr="00204E3F">
          <w:rPr>
            <w:noProof/>
            <w:sz w:val="18"/>
            <w:szCs w:val="18"/>
          </w:rPr>
          <w:t xml:space="preserve"> -</w:t>
        </w:r>
      </w:sdtContent>
    </w:sdt>
  </w:p>
  <w:p w:rsidR="00026CF8" w:rsidRPr="00086444" w:rsidRDefault="00026CF8" w:rsidP="00086444">
    <w:pPr>
      <w:pStyle w:val="Header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3F" w:rsidRPr="00204E3F" w:rsidRDefault="00204E3F">
    <w:pPr>
      <w:pStyle w:val="Header"/>
      <w:jc w:val="center"/>
      <w:rPr>
        <w:sz w:val="18"/>
        <w:szCs w:val="18"/>
      </w:rPr>
    </w:pPr>
    <w:bookmarkStart w:id="6" w:name="_GoBack"/>
    <w:r w:rsidRPr="00204E3F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20739262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04E3F">
          <w:rPr>
            <w:sz w:val="18"/>
            <w:szCs w:val="18"/>
          </w:rPr>
          <w:fldChar w:fldCharType="begin"/>
        </w:r>
        <w:r w:rsidRPr="00204E3F">
          <w:rPr>
            <w:sz w:val="18"/>
            <w:szCs w:val="18"/>
          </w:rPr>
          <w:instrText xml:space="preserve"> PAGE   \* MERGEFORMAT </w:instrText>
        </w:r>
        <w:r w:rsidRPr="00204E3F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204E3F">
          <w:rPr>
            <w:noProof/>
            <w:sz w:val="18"/>
            <w:szCs w:val="18"/>
          </w:rPr>
          <w:fldChar w:fldCharType="end"/>
        </w:r>
        <w:r w:rsidRPr="00204E3F">
          <w:rPr>
            <w:noProof/>
            <w:sz w:val="18"/>
            <w:szCs w:val="18"/>
          </w:rPr>
          <w:t xml:space="preserve"> -</w:t>
        </w:r>
      </w:sdtContent>
    </w:sdt>
    <w:bookmarkEnd w:id="6"/>
  </w:p>
  <w:p w:rsidR="00026CF8" w:rsidRPr="00BE79D9" w:rsidRDefault="00026CF8" w:rsidP="00AC080A">
    <w:pPr>
      <w:pStyle w:val="Header"/>
      <w:jc w:val="center"/>
      <w:rPr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17B33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444"/>
    <w:rsid w:val="00086D03"/>
    <w:rsid w:val="0008798F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3FF1"/>
    <w:rsid w:val="00196710"/>
    <w:rsid w:val="00197324"/>
    <w:rsid w:val="001B1CE8"/>
    <w:rsid w:val="001D7070"/>
    <w:rsid w:val="001F5A49"/>
    <w:rsid w:val="00200936"/>
    <w:rsid w:val="00201097"/>
    <w:rsid w:val="00201B6E"/>
    <w:rsid w:val="00204E3F"/>
    <w:rsid w:val="002240B2"/>
    <w:rsid w:val="00235A29"/>
    <w:rsid w:val="00251766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682E"/>
    <w:rsid w:val="00455FBC"/>
    <w:rsid w:val="00471605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5B3441"/>
    <w:rsid w:val="00602D53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34318"/>
    <w:rsid w:val="00783681"/>
    <w:rsid w:val="007921A7"/>
    <w:rsid w:val="007A5C27"/>
    <w:rsid w:val="007B3DB1"/>
    <w:rsid w:val="007D183E"/>
    <w:rsid w:val="007E304D"/>
    <w:rsid w:val="007E3F13"/>
    <w:rsid w:val="00800012"/>
    <w:rsid w:val="00804B24"/>
    <w:rsid w:val="0081513E"/>
    <w:rsid w:val="00815A28"/>
    <w:rsid w:val="00823210"/>
    <w:rsid w:val="00843445"/>
    <w:rsid w:val="00847D46"/>
    <w:rsid w:val="00854131"/>
    <w:rsid w:val="0085652D"/>
    <w:rsid w:val="0087694B"/>
    <w:rsid w:val="008E03C2"/>
    <w:rsid w:val="008F4F21"/>
    <w:rsid w:val="009026F3"/>
    <w:rsid w:val="00904D4A"/>
    <w:rsid w:val="009151BA"/>
    <w:rsid w:val="009277BC"/>
    <w:rsid w:val="00927D57"/>
    <w:rsid w:val="00941D23"/>
    <w:rsid w:val="0095010C"/>
    <w:rsid w:val="00963D9D"/>
    <w:rsid w:val="0096615E"/>
    <w:rsid w:val="00976AAD"/>
    <w:rsid w:val="0098112F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36356"/>
    <w:rsid w:val="00A4032F"/>
    <w:rsid w:val="00A41F91"/>
    <w:rsid w:val="00A963DF"/>
    <w:rsid w:val="00AC080A"/>
    <w:rsid w:val="00AC3896"/>
    <w:rsid w:val="00AE6CFA"/>
    <w:rsid w:val="00AF3325"/>
    <w:rsid w:val="00B34CF9"/>
    <w:rsid w:val="00B67004"/>
    <w:rsid w:val="00B90C45"/>
    <w:rsid w:val="00B933BE"/>
    <w:rsid w:val="00BA6804"/>
    <w:rsid w:val="00BB4069"/>
    <w:rsid w:val="00BC3784"/>
    <w:rsid w:val="00BC40F2"/>
    <w:rsid w:val="00BD3DF2"/>
    <w:rsid w:val="00BD7E5E"/>
    <w:rsid w:val="00BE6574"/>
    <w:rsid w:val="00BE79D9"/>
    <w:rsid w:val="00C445F4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EAB"/>
    <w:rsid w:val="00F562F6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efaultImageDpi w14:val="0"/>
  <w15:docId w15:val="{92AF0755-22F7-4A04-914C-6E89A7F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0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BE79D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BE79D9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rsid w:val="00BE79D9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BE79D9"/>
    <w:rPr>
      <w:sz w:val="22"/>
      <w:szCs w:val="22"/>
      <w:lang w:val="es-ES_tradnl" w:eastAsia="en-US"/>
    </w:rPr>
  </w:style>
  <w:style w:type="character" w:customStyle="1" w:styleId="TabletextChar">
    <w:name w:val="Table_text Char"/>
    <w:link w:val="Tabletext"/>
    <w:uiPriority w:val="99"/>
    <w:locked/>
    <w:rsid w:val="00BE79D9"/>
    <w:rPr>
      <w:szCs w:val="22"/>
      <w:lang w:val="es-ES_tradnl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E79D9"/>
    <w:rPr>
      <w:b/>
      <w:sz w:val="24"/>
      <w:szCs w:val="22"/>
      <w:lang w:val="es-ES_tradnl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79D9"/>
    <w:rPr>
      <w:b/>
      <w:szCs w:val="22"/>
      <w:lang w:val="es-ES_tradnl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356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356"/>
    <w:rPr>
      <w:rFonts w:ascii="Courier New" w:hAnsi="Courier New" w:cs="Courier New"/>
      <w:lang w:val="en-US"/>
    </w:rPr>
  </w:style>
  <w:style w:type="character" w:customStyle="1" w:styleId="enumlev10">
    <w:name w:val="enumlev1 Знак"/>
    <w:basedOn w:val="DefaultParagraphFont"/>
    <w:link w:val="enumlev1"/>
    <w:locked/>
    <w:rsid w:val="00A36356"/>
    <w:rPr>
      <w:sz w:val="22"/>
      <w:szCs w:val="22"/>
      <w:lang w:val="es-ES_tradnl" w:eastAsia="en-US"/>
    </w:rPr>
  </w:style>
  <w:style w:type="paragraph" w:customStyle="1" w:styleId="Summary">
    <w:name w:val="Summary"/>
    <w:basedOn w:val="Normal"/>
    <w:next w:val="Normal"/>
    <w:autoRedefine/>
    <w:rsid w:val="00A36356"/>
    <w:pPr>
      <w:spacing w:before="240" w:line="240" w:lineRule="auto"/>
      <w:textAlignment w:val="auto"/>
    </w:pPr>
    <w:rPr>
      <w:rFonts w:asciiTheme="minorHAnsi" w:hAnsiTheme="minorHAns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en/ITUT/ipr/Pages/policy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6D17B-9F0B-4567-A61D-670F4B94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76</TotalTime>
  <Pages>4</Pages>
  <Words>921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Jovet, Nathalie</cp:lastModifiedBy>
  <cp:revision>13</cp:revision>
  <cp:lastPrinted>2013-10-29T14:38:00Z</cp:lastPrinted>
  <dcterms:created xsi:type="dcterms:W3CDTF">2014-11-18T07:57:00Z</dcterms:created>
  <dcterms:modified xsi:type="dcterms:W3CDTF">2014-11-27T08:19:00Z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