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F42C8C"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A654EA" w:rsidTr="00651777">
        <w:tc>
          <w:tcPr>
            <w:tcW w:w="5353" w:type="dxa"/>
            <w:gridSpan w:val="4"/>
          </w:tcPr>
          <w:p w:rsidR="00651777" w:rsidRPr="00A654EA" w:rsidRDefault="00CD0E47" w:rsidP="00CD0E47">
            <w:pPr>
              <w:tabs>
                <w:tab w:val="left" w:pos="7513"/>
              </w:tabs>
              <w:jc w:val="left"/>
              <w:rPr>
                <w:sz w:val="24"/>
                <w:szCs w:val="24"/>
              </w:rPr>
            </w:pPr>
            <w:r w:rsidRPr="00A654EA">
              <w:rPr>
                <w:sz w:val="24"/>
                <w:szCs w:val="24"/>
              </w:rPr>
              <w:t>Circular Administrativa</w:t>
            </w:r>
            <w:r w:rsidRPr="00A654EA">
              <w:rPr>
                <w:sz w:val="24"/>
                <w:szCs w:val="24"/>
              </w:rPr>
              <w:br/>
            </w:r>
            <w:bookmarkStart w:id="2" w:name="dnum"/>
            <w:bookmarkEnd w:id="2"/>
            <w:r w:rsidRPr="00A654EA">
              <w:rPr>
                <w:b/>
                <w:bCs/>
                <w:sz w:val="24"/>
                <w:szCs w:val="24"/>
              </w:rPr>
              <w:t>CACE/</w:t>
            </w:r>
            <w:r w:rsidR="00A82C32">
              <w:rPr>
                <w:b/>
                <w:bCs/>
                <w:sz w:val="24"/>
                <w:szCs w:val="24"/>
              </w:rPr>
              <w:t>684</w:t>
            </w:r>
          </w:p>
        </w:tc>
        <w:tc>
          <w:tcPr>
            <w:tcW w:w="4536" w:type="dxa"/>
          </w:tcPr>
          <w:p w:rsidR="00651777" w:rsidRPr="00A654EA" w:rsidRDefault="00A82C32" w:rsidP="006C04E0">
            <w:pPr>
              <w:jc w:val="right"/>
              <w:rPr>
                <w:sz w:val="24"/>
                <w:szCs w:val="24"/>
              </w:rPr>
            </w:pPr>
            <w:r>
              <w:rPr>
                <w:sz w:val="24"/>
                <w:szCs w:val="24"/>
              </w:rPr>
              <w:t>29 de julio de 2014</w:t>
            </w:r>
          </w:p>
        </w:tc>
      </w:tr>
      <w:tr w:rsidR="00D2339B" w:rsidRPr="00A654EA" w:rsidTr="00D2339B">
        <w:tc>
          <w:tcPr>
            <w:tcW w:w="1384" w:type="dxa"/>
          </w:tcPr>
          <w:p w:rsidR="00D2339B" w:rsidRPr="00A654EA" w:rsidRDefault="00D2339B" w:rsidP="00651777">
            <w:pPr>
              <w:spacing w:before="0"/>
              <w:jc w:val="left"/>
              <w:rPr>
                <w:sz w:val="24"/>
                <w:szCs w:val="24"/>
              </w:rPr>
            </w:pPr>
          </w:p>
        </w:tc>
        <w:tc>
          <w:tcPr>
            <w:tcW w:w="3685" w:type="dxa"/>
            <w:gridSpan w:val="2"/>
          </w:tcPr>
          <w:p w:rsidR="00D2339B" w:rsidRPr="00A654EA" w:rsidRDefault="00D2339B" w:rsidP="00651777">
            <w:pPr>
              <w:spacing w:before="0"/>
              <w:jc w:val="left"/>
              <w:rPr>
                <w:sz w:val="24"/>
                <w:szCs w:val="24"/>
              </w:rPr>
            </w:pPr>
          </w:p>
        </w:tc>
        <w:tc>
          <w:tcPr>
            <w:tcW w:w="284" w:type="dxa"/>
          </w:tcPr>
          <w:p w:rsidR="00D2339B" w:rsidRPr="00A654EA" w:rsidRDefault="00D2339B" w:rsidP="00651777">
            <w:pPr>
              <w:spacing w:before="0"/>
              <w:rPr>
                <w:sz w:val="24"/>
                <w:szCs w:val="24"/>
              </w:rPr>
            </w:pPr>
          </w:p>
        </w:tc>
        <w:tc>
          <w:tcPr>
            <w:tcW w:w="4536" w:type="dxa"/>
          </w:tcPr>
          <w:p w:rsidR="00D2339B" w:rsidRPr="00A654EA" w:rsidRDefault="00D2339B" w:rsidP="00651777">
            <w:pPr>
              <w:spacing w:before="0"/>
              <w:rPr>
                <w:sz w:val="24"/>
                <w:szCs w:val="24"/>
              </w:rPr>
            </w:pPr>
          </w:p>
        </w:tc>
      </w:tr>
      <w:tr w:rsidR="00D2339B" w:rsidRPr="00A654EA" w:rsidTr="00EA15B3">
        <w:tc>
          <w:tcPr>
            <w:tcW w:w="9889" w:type="dxa"/>
            <w:gridSpan w:val="5"/>
          </w:tcPr>
          <w:p w:rsidR="00D2339B" w:rsidRPr="00A654EA" w:rsidRDefault="00CD0E47" w:rsidP="00A82C32">
            <w:pPr>
              <w:jc w:val="left"/>
              <w:rPr>
                <w:b/>
                <w:sz w:val="24"/>
                <w:szCs w:val="24"/>
              </w:rPr>
            </w:pPr>
            <w:r w:rsidRPr="00A654EA">
              <w:rPr>
                <w:b/>
                <w:sz w:val="24"/>
                <w:szCs w:val="24"/>
              </w:rPr>
              <w:t>A las Administraciones de los Estados Miembros de la UIT, a los Miembros</w:t>
            </w:r>
            <w:r w:rsidR="00A82C32">
              <w:rPr>
                <w:b/>
                <w:sz w:val="24"/>
                <w:szCs w:val="24"/>
              </w:rPr>
              <w:t xml:space="preserve"> </w:t>
            </w:r>
            <w:r w:rsidRPr="00A654EA">
              <w:rPr>
                <w:b/>
                <w:sz w:val="24"/>
                <w:szCs w:val="24"/>
              </w:rPr>
              <w:t>del Sector de Radiocomunicaciones y a los Asociados del UIT-R que participan</w:t>
            </w:r>
            <w:r w:rsidR="00A82C32">
              <w:rPr>
                <w:b/>
                <w:sz w:val="24"/>
                <w:szCs w:val="24"/>
              </w:rPr>
              <w:t xml:space="preserve"> </w:t>
            </w:r>
            <w:r w:rsidRPr="00A654EA">
              <w:rPr>
                <w:b/>
                <w:sz w:val="24"/>
                <w:szCs w:val="24"/>
              </w:rPr>
              <w:t xml:space="preserve">en los trabajos de la </w:t>
            </w:r>
            <w:r w:rsidR="00A82C32">
              <w:rPr>
                <w:b/>
                <w:sz w:val="24"/>
                <w:szCs w:val="24"/>
              </w:rPr>
              <w:br/>
            </w:r>
            <w:r w:rsidRPr="00A654EA">
              <w:rPr>
                <w:b/>
                <w:sz w:val="24"/>
                <w:szCs w:val="24"/>
              </w:rPr>
              <w:t xml:space="preserve">Comisión de Estudio </w:t>
            </w:r>
            <w:r w:rsidR="00A82C32">
              <w:rPr>
                <w:b/>
                <w:sz w:val="24"/>
                <w:szCs w:val="24"/>
              </w:rPr>
              <w:t>4</w:t>
            </w:r>
            <w:r w:rsidRPr="00A654EA">
              <w:rPr>
                <w:b/>
                <w:sz w:val="24"/>
                <w:szCs w:val="24"/>
              </w:rPr>
              <w:t xml:space="preserve"> de </w:t>
            </w:r>
            <w:r w:rsidR="006C04E0" w:rsidRPr="00A654EA">
              <w:rPr>
                <w:b/>
                <w:sz w:val="24"/>
                <w:szCs w:val="24"/>
              </w:rPr>
              <w:t>Radiocomunicaciones</w:t>
            </w:r>
          </w:p>
          <w:p w:rsidR="00CD0E47" w:rsidRPr="00A654EA" w:rsidRDefault="00CD0E47" w:rsidP="00CD0E47">
            <w:pPr>
              <w:jc w:val="left"/>
              <w:rPr>
                <w:sz w:val="24"/>
                <w:szCs w:val="24"/>
              </w:rPr>
            </w:pPr>
          </w:p>
        </w:tc>
      </w:tr>
      <w:tr w:rsidR="00CD0E47" w:rsidRPr="00A654EA" w:rsidTr="00471EDA">
        <w:tc>
          <w:tcPr>
            <w:tcW w:w="1526" w:type="dxa"/>
            <w:gridSpan w:val="2"/>
            <w:shd w:val="clear" w:color="auto" w:fill="auto"/>
          </w:tcPr>
          <w:p w:rsidR="00CD0E47" w:rsidRPr="00A82C32" w:rsidRDefault="00CD0E47" w:rsidP="006C04E0">
            <w:pPr>
              <w:spacing w:before="0"/>
              <w:jc w:val="left"/>
              <w:rPr>
                <w:sz w:val="24"/>
                <w:szCs w:val="24"/>
              </w:rPr>
            </w:pPr>
            <w:bookmarkStart w:id="3" w:name="Formula"/>
            <w:bookmarkStart w:id="4" w:name="MainStory"/>
            <w:bookmarkStart w:id="5" w:name="CurrentLocation"/>
            <w:bookmarkEnd w:id="3"/>
            <w:bookmarkEnd w:id="4"/>
            <w:bookmarkEnd w:id="5"/>
            <w:r w:rsidRPr="00A82C32">
              <w:rPr>
                <w:sz w:val="24"/>
                <w:szCs w:val="24"/>
              </w:rPr>
              <w:t>Objeto</w:t>
            </w:r>
            <w:r w:rsidR="006C04E0" w:rsidRPr="00A82C32">
              <w:rPr>
                <w:sz w:val="24"/>
                <w:szCs w:val="24"/>
              </w:rPr>
              <w:t>:</w:t>
            </w:r>
          </w:p>
        </w:tc>
        <w:tc>
          <w:tcPr>
            <w:tcW w:w="8363" w:type="dxa"/>
            <w:gridSpan w:val="3"/>
            <w:vMerge w:val="restart"/>
            <w:shd w:val="clear" w:color="auto" w:fill="auto"/>
          </w:tcPr>
          <w:p w:rsidR="00CD0E47" w:rsidRPr="00A654EA" w:rsidRDefault="00CD0E47" w:rsidP="00A82C32">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A654EA">
              <w:rPr>
                <w:b/>
                <w:bCs/>
                <w:sz w:val="24"/>
                <w:szCs w:val="24"/>
              </w:rPr>
              <w:t xml:space="preserve">Comisión de Estudio </w:t>
            </w:r>
            <w:r w:rsidR="00A82C32">
              <w:rPr>
                <w:b/>
                <w:bCs/>
                <w:sz w:val="24"/>
                <w:szCs w:val="24"/>
              </w:rPr>
              <w:t>4</w:t>
            </w:r>
            <w:r w:rsidRPr="00A654EA">
              <w:rPr>
                <w:b/>
                <w:bCs/>
                <w:sz w:val="24"/>
                <w:szCs w:val="24"/>
              </w:rPr>
              <w:t xml:space="preserve"> de Radiocomunicaciones </w:t>
            </w:r>
            <w:r w:rsidR="002C54C3" w:rsidRPr="00A654EA">
              <w:rPr>
                <w:b/>
                <w:bCs/>
                <w:sz w:val="24"/>
                <w:szCs w:val="24"/>
              </w:rPr>
              <w:t>(</w:t>
            </w:r>
            <w:r w:rsidR="00A82C32">
              <w:rPr>
                <w:b/>
                <w:bCs/>
                <w:sz w:val="24"/>
                <w:szCs w:val="24"/>
              </w:rPr>
              <w:t>Servicios por satélite</w:t>
            </w:r>
            <w:r w:rsidR="002C54C3" w:rsidRPr="00A654EA">
              <w:rPr>
                <w:b/>
                <w:bCs/>
                <w:sz w:val="24"/>
                <w:szCs w:val="24"/>
              </w:rPr>
              <w:t>)</w:t>
            </w:r>
          </w:p>
          <w:p w:rsidR="00CD0E47" w:rsidRPr="00A654EA" w:rsidRDefault="00CD0E47" w:rsidP="00A82C32">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A654EA">
              <w:rPr>
                <w:sz w:val="24"/>
                <w:szCs w:val="24"/>
              </w:rPr>
              <w:t>–</w:t>
            </w:r>
            <w:r w:rsidRPr="00A654EA">
              <w:rPr>
                <w:b/>
                <w:bCs/>
                <w:sz w:val="24"/>
                <w:szCs w:val="24"/>
              </w:rPr>
              <w:tab/>
            </w:r>
            <w:r w:rsidR="00CE6299" w:rsidRPr="00A654EA">
              <w:rPr>
                <w:b/>
                <w:bCs/>
                <w:sz w:val="24"/>
                <w:szCs w:val="24"/>
              </w:rPr>
              <w:t xml:space="preserve">Propuesta de adopción de </w:t>
            </w:r>
            <w:r w:rsidR="00A82C32">
              <w:rPr>
                <w:b/>
                <w:bCs/>
                <w:sz w:val="24"/>
                <w:szCs w:val="24"/>
              </w:rPr>
              <w:t>1</w:t>
            </w:r>
            <w:r w:rsidR="00CE6299" w:rsidRPr="00A654EA">
              <w:rPr>
                <w:b/>
                <w:bCs/>
                <w:sz w:val="24"/>
                <w:szCs w:val="24"/>
              </w:rPr>
              <w:t xml:space="preserve"> proyecto de nueva Recomendación UIT-R y </w:t>
            </w:r>
            <w:r w:rsidR="00A82C32">
              <w:rPr>
                <w:b/>
                <w:bCs/>
                <w:sz w:val="24"/>
                <w:szCs w:val="24"/>
              </w:rPr>
              <w:t>1</w:t>
            </w:r>
            <w:r w:rsidR="00CE6299" w:rsidRPr="00A654EA">
              <w:rPr>
                <w:b/>
                <w:bCs/>
                <w:sz w:val="24"/>
                <w:szCs w:val="24"/>
              </w:rPr>
              <w:t> </w:t>
            </w:r>
            <w:r w:rsidR="00A82C32">
              <w:rPr>
                <w:b/>
                <w:sz w:val="24"/>
                <w:szCs w:val="24"/>
              </w:rPr>
              <w:t>proyecto</w:t>
            </w:r>
            <w:r w:rsidR="00CE6299" w:rsidRPr="00A654EA">
              <w:rPr>
                <w:b/>
                <w:sz w:val="24"/>
                <w:szCs w:val="24"/>
              </w:rPr>
              <w:t xml:space="preserve"> de Recomendación UIT-R revisada y su aprobación simultánea por correspondencia de conformidad con el § 10.3 de la Resolución UIT</w:t>
            </w:r>
            <w:r w:rsidR="00CE6299" w:rsidRPr="00A654EA">
              <w:rPr>
                <w:b/>
                <w:sz w:val="24"/>
                <w:szCs w:val="24"/>
              </w:rPr>
              <w:noBreakHyphen/>
              <w:t>R 1</w:t>
            </w:r>
            <w:r w:rsidR="00CE6299" w:rsidRPr="00A654EA">
              <w:rPr>
                <w:b/>
                <w:sz w:val="24"/>
                <w:szCs w:val="24"/>
              </w:rPr>
              <w:noBreakHyphen/>
              <w:t>6 (Procedimiento para la adopción y aprobación simultánea por correspondencia)</w:t>
            </w:r>
          </w:p>
          <w:p w:rsidR="00CD0E47" w:rsidRPr="00A654EA" w:rsidRDefault="00CD0E47" w:rsidP="00A82C32">
            <w:pPr>
              <w:tabs>
                <w:tab w:val="left" w:pos="459"/>
              </w:tabs>
              <w:spacing w:before="0"/>
              <w:ind w:left="459" w:hanging="459"/>
              <w:jc w:val="left"/>
              <w:rPr>
                <w:b/>
                <w:bCs/>
                <w:sz w:val="24"/>
                <w:szCs w:val="24"/>
              </w:rPr>
            </w:pPr>
            <w:r w:rsidRPr="00A654EA">
              <w:rPr>
                <w:sz w:val="24"/>
                <w:szCs w:val="24"/>
              </w:rPr>
              <w:t>–</w:t>
            </w:r>
            <w:r w:rsidRPr="00A654EA">
              <w:rPr>
                <w:b/>
                <w:bCs/>
                <w:sz w:val="24"/>
                <w:szCs w:val="24"/>
              </w:rPr>
              <w:tab/>
            </w:r>
            <w:r w:rsidR="002C54C3" w:rsidRPr="00A654EA">
              <w:rPr>
                <w:b/>
                <w:bCs/>
                <w:sz w:val="24"/>
                <w:szCs w:val="24"/>
              </w:rPr>
              <w:t xml:space="preserve">Propuesta de </w:t>
            </w:r>
            <w:r w:rsidR="00A82C32">
              <w:rPr>
                <w:b/>
                <w:bCs/>
                <w:sz w:val="24"/>
                <w:szCs w:val="24"/>
              </w:rPr>
              <w:t xml:space="preserve">aprobación de </w:t>
            </w:r>
            <w:r w:rsidR="002C54C3" w:rsidRPr="00A654EA">
              <w:rPr>
                <w:b/>
                <w:bCs/>
                <w:sz w:val="24"/>
                <w:szCs w:val="24"/>
              </w:rPr>
              <w:t xml:space="preserve">supresión de </w:t>
            </w:r>
            <w:r w:rsidR="00A82C32">
              <w:rPr>
                <w:b/>
                <w:bCs/>
                <w:sz w:val="24"/>
                <w:szCs w:val="24"/>
              </w:rPr>
              <w:t>5</w:t>
            </w:r>
            <w:r w:rsidR="002C54C3" w:rsidRPr="00A654EA">
              <w:rPr>
                <w:b/>
                <w:bCs/>
                <w:sz w:val="24"/>
                <w:szCs w:val="24"/>
              </w:rPr>
              <w:t xml:space="preserve"> Recomendaci</w:t>
            </w:r>
            <w:r w:rsidR="00A82C32">
              <w:rPr>
                <w:b/>
                <w:bCs/>
                <w:sz w:val="24"/>
                <w:szCs w:val="24"/>
              </w:rPr>
              <w:t>o</w:t>
            </w:r>
            <w:r w:rsidR="002C54C3" w:rsidRPr="00A654EA">
              <w:rPr>
                <w:b/>
                <w:bCs/>
                <w:sz w:val="24"/>
                <w:szCs w:val="24"/>
              </w:rPr>
              <w:t>nes UIT-R</w:t>
            </w:r>
          </w:p>
        </w:tc>
      </w:tr>
      <w:tr w:rsidR="00CD0E47" w:rsidRPr="00A654EA" w:rsidTr="00471EDA">
        <w:tc>
          <w:tcPr>
            <w:tcW w:w="1526" w:type="dxa"/>
            <w:gridSpan w:val="2"/>
            <w:shd w:val="clear" w:color="auto" w:fill="auto"/>
          </w:tcPr>
          <w:p w:rsidR="00CD0E47" w:rsidRPr="00A654EA" w:rsidRDefault="00CD0E47" w:rsidP="00CD0E47">
            <w:pPr>
              <w:spacing w:before="0"/>
              <w:jc w:val="left"/>
              <w:rPr>
                <w:b/>
                <w:bCs/>
                <w:sz w:val="24"/>
                <w:szCs w:val="24"/>
              </w:rPr>
            </w:pPr>
          </w:p>
        </w:tc>
        <w:tc>
          <w:tcPr>
            <w:tcW w:w="8363" w:type="dxa"/>
            <w:gridSpan w:val="3"/>
            <w:vMerge/>
            <w:shd w:val="clear" w:color="auto" w:fill="auto"/>
          </w:tcPr>
          <w:p w:rsidR="00CD0E47" w:rsidRPr="00A654EA" w:rsidRDefault="00CD0E47" w:rsidP="00CD0E47">
            <w:pPr>
              <w:spacing w:before="0"/>
              <w:rPr>
                <w:b/>
                <w:bCs/>
                <w:sz w:val="24"/>
                <w:szCs w:val="24"/>
              </w:rPr>
            </w:pPr>
          </w:p>
        </w:tc>
      </w:tr>
      <w:tr w:rsidR="00CD0E47" w:rsidRPr="00A654EA" w:rsidTr="00471EDA">
        <w:tc>
          <w:tcPr>
            <w:tcW w:w="1526" w:type="dxa"/>
            <w:gridSpan w:val="2"/>
            <w:shd w:val="clear" w:color="auto" w:fill="auto"/>
          </w:tcPr>
          <w:p w:rsidR="00CD0E47" w:rsidRPr="00A654EA" w:rsidRDefault="00CD0E47" w:rsidP="00CD0E47">
            <w:pPr>
              <w:spacing w:before="0"/>
              <w:jc w:val="left"/>
              <w:rPr>
                <w:b/>
                <w:bCs/>
                <w:sz w:val="24"/>
                <w:szCs w:val="24"/>
              </w:rPr>
            </w:pPr>
          </w:p>
        </w:tc>
        <w:tc>
          <w:tcPr>
            <w:tcW w:w="8363" w:type="dxa"/>
            <w:gridSpan w:val="3"/>
            <w:vMerge/>
            <w:shd w:val="clear" w:color="auto" w:fill="auto"/>
          </w:tcPr>
          <w:p w:rsidR="00CD0E47" w:rsidRPr="00A654EA" w:rsidRDefault="00CD0E47" w:rsidP="00CD0E47">
            <w:pPr>
              <w:spacing w:before="0"/>
              <w:rPr>
                <w:b/>
                <w:bCs/>
                <w:sz w:val="24"/>
                <w:szCs w:val="24"/>
              </w:rPr>
            </w:pPr>
          </w:p>
        </w:tc>
      </w:tr>
      <w:tr w:rsidR="00CD0E47" w:rsidRPr="00A654EA" w:rsidTr="00471EDA">
        <w:tc>
          <w:tcPr>
            <w:tcW w:w="9889" w:type="dxa"/>
            <w:gridSpan w:val="5"/>
            <w:shd w:val="clear" w:color="auto" w:fill="auto"/>
          </w:tcPr>
          <w:p w:rsidR="00CD0E47" w:rsidRPr="00A654EA" w:rsidRDefault="00CD0E47" w:rsidP="00CD0E47">
            <w:pPr>
              <w:spacing w:before="0"/>
              <w:jc w:val="left"/>
              <w:rPr>
                <w:b/>
                <w:bCs/>
                <w:sz w:val="24"/>
                <w:szCs w:val="24"/>
              </w:rPr>
            </w:pPr>
          </w:p>
        </w:tc>
      </w:tr>
    </w:tbl>
    <w:p w:rsidR="00CE6299" w:rsidRPr="00A654EA" w:rsidRDefault="00CE6299" w:rsidP="00D10E05">
      <w:pPr>
        <w:spacing w:before="600"/>
        <w:rPr>
          <w:sz w:val="24"/>
          <w:szCs w:val="24"/>
        </w:rPr>
      </w:pPr>
      <w:r w:rsidRPr="00A654EA">
        <w:rPr>
          <w:sz w:val="24"/>
          <w:szCs w:val="24"/>
        </w:rPr>
        <w:t xml:space="preserve">En la reunión de la Comisión de Estudio </w:t>
      </w:r>
      <w:r w:rsidR="00A82C32">
        <w:rPr>
          <w:sz w:val="24"/>
          <w:szCs w:val="24"/>
        </w:rPr>
        <w:t>4</w:t>
      </w:r>
      <w:r w:rsidRPr="00A654EA">
        <w:rPr>
          <w:sz w:val="24"/>
          <w:szCs w:val="24"/>
        </w:rPr>
        <w:t xml:space="preserve"> de Radiocomunicaciones celebrada </w:t>
      </w:r>
      <w:r w:rsidR="00A82C32">
        <w:rPr>
          <w:sz w:val="24"/>
          <w:szCs w:val="24"/>
        </w:rPr>
        <w:t>el 11 de julio de 2014</w:t>
      </w:r>
      <w:r w:rsidRPr="00A654EA">
        <w:rPr>
          <w:sz w:val="24"/>
          <w:szCs w:val="24"/>
        </w:rPr>
        <w:t xml:space="preserve">, la Comisión de Estudio decidió solicitar la adopción de </w:t>
      </w:r>
      <w:r w:rsidR="00A82C32">
        <w:rPr>
          <w:sz w:val="24"/>
          <w:szCs w:val="24"/>
        </w:rPr>
        <w:t>1</w:t>
      </w:r>
      <w:r w:rsidRPr="00A654EA">
        <w:rPr>
          <w:sz w:val="24"/>
          <w:szCs w:val="24"/>
        </w:rPr>
        <w:t xml:space="preserve"> proyecto de nueva Recomendaci</w:t>
      </w:r>
      <w:r w:rsidR="00D10E05">
        <w:rPr>
          <w:sz w:val="24"/>
          <w:szCs w:val="24"/>
        </w:rPr>
        <w:t>ó</w:t>
      </w:r>
      <w:r w:rsidRPr="00A654EA">
        <w:rPr>
          <w:sz w:val="24"/>
          <w:szCs w:val="24"/>
        </w:rPr>
        <w:t xml:space="preserve">n UIT-R y de </w:t>
      </w:r>
      <w:r w:rsidR="00A82C32">
        <w:rPr>
          <w:sz w:val="24"/>
          <w:szCs w:val="24"/>
        </w:rPr>
        <w:t>1</w:t>
      </w:r>
      <w:r w:rsidRPr="00A654EA">
        <w:rPr>
          <w:sz w:val="24"/>
          <w:szCs w:val="24"/>
        </w:rPr>
        <w:t xml:space="preserve"> proyecto de Recomendación </w:t>
      </w:r>
      <w:r w:rsidR="00A82C32">
        <w:rPr>
          <w:sz w:val="24"/>
          <w:szCs w:val="24"/>
        </w:rPr>
        <w:t xml:space="preserve">UIT-R </w:t>
      </w:r>
      <w:r w:rsidRPr="00A654EA">
        <w:rPr>
          <w:sz w:val="24"/>
          <w:szCs w:val="24"/>
        </w:rPr>
        <w:t>revisada por correspondencia (§ 10.2.3 de la Resolución UIT</w:t>
      </w:r>
      <w:r w:rsidRPr="00A654EA">
        <w:rPr>
          <w:sz w:val="24"/>
          <w:szCs w:val="24"/>
        </w:rPr>
        <w:noBreakHyphen/>
        <w:t>R 1</w:t>
      </w:r>
      <w:r w:rsidRPr="00A654EA">
        <w:rPr>
          <w:sz w:val="24"/>
          <w:szCs w:val="24"/>
        </w:rPr>
        <w:noBreakHyphen/>
        <w:t>6), y decidió además aplicar el procedimiento de adopción y aprobación simultáneas por correspondencia (PAAS) (§</w:t>
      </w:r>
      <w:r w:rsidR="00A82C32">
        <w:rPr>
          <w:sz w:val="24"/>
          <w:szCs w:val="24"/>
        </w:rPr>
        <w:t xml:space="preserve"> </w:t>
      </w:r>
      <w:r w:rsidRPr="00A654EA">
        <w:rPr>
          <w:sz w:val="24"/>
          <w:szCs w:val="24"/>
        </w:rPr>
        <w:t>10.3 de la Resolución</w:t>
      </w:r>
      <w:r w:rsidR="00A82C32">
        <w:rPr>
          <w:sz w:val="24"/>
          <w:szCs w:val="24"/>
        </w:rPr>
        <w:t xml:space="preserve"> UIT</w:t>
      </w:r>
      <w:r w:rsidR="00A82C32">
        <w:rPr>
          <w:sz w:val="24"/>
          <w:szCs w:val="24"/>
        </w:rPr>
        <w:noBreakHyphen/>
        <w:t xml:space="preserve">R </w:t>
      </w:r>
      <w:r w:rsidRPr="00A654EA">
        <w:rPr>
          <w:sz w:val="24"/>
          <w:szCs w:val="24"/>
        </w:rPr>
        <w:t>1</w:t>
      </w:r>
      <w:r w:rsidRPr="00A654EA">
        <w:rPr>
          <w:sz w:val="24"/>
          <w:szCs w:val="24"/>
        </w:rPr>
        <w:noBreakHyphen/>
        <w:t xml:space="preserve">6). Los títulos y resúmenes de los proyectos de Recomendación aparecen en el </w:t>
      </w:r>
      <w:r w:rsidR="00A82C32">
        <w:rPr>
          <w:sz w:val="24"/>
          <w:szCs w:val="24"/>
        </w:rPr>
        <w:t xml:space="preserve">Anexo </w:t>
      </w:r>
      <w:r w:rsidRPr="00A654EA">
        <w:rPr>
          <w:sz w:val="24"/>
          <w:szCs w:val="24"/>
        </w:rPr>
        <w:t xml:space="preserve">1. Además, la Comisión de Estudio propuso la </w:t>
      </w:r>
      <w:r w:rsidR="00A82C32">
        <w:rPr>
          <w:sz w:val="24"/>
          <w:szCs w:val="24"/>
        </w:rPr>
        <w:t xml:space="preserve">aprobación de </w:t>
      </w:r>
      <w:r w:rsidRPr="00A654EA">
        <w:rPr>
          <w:sz w:val="24"/>
          <w:szCs w:val="24"/>
        </w:rPr>
        <w:t xml:space="preserve">supresión de </w:t>
      </w:r>
      <w:r w:rsidR="00A82C32">
        <w:rPr>
          <w:sz w:val="24"/>
          <w:szCs w:val="24"/>
        </w:rPr>
        <w:t>5</w:t>
      </w:r>
      <w:r w:rsidRPr="00A654EA">
        <w:rPr>
          <w:sz w:val="24"/>
          <w:szCs w:val="24"/>
        </w:rPr>
        <w:t xml:space="preserve"> Recomendaci</w:t>
      </w:r>
      <w:r w:rsidR="00A82C32">
        <w:rPr>
          <w:sz w:val="24"/>
          <w:szCs w:val="24"/>
        </w:rPr>
        <w:t>o</w:t>
      </w:r>
      <w:r w:rsidRPr="00A654EA">
        <w:rPr>
          <w:sz w:val="24"/>
          <w:szCs w:val="24"/>
        </w:rPr>
        <w:t>nes que figuran en el Anexo 2.</w:t>
      </w:r>
    </w:p>
    <w:p w:rsidR="00CE6299" w:rsidRPr="00A654EA" w:rsidRDefault="00CE6299" w:rsidP="00A82C32">
      <w:pPr>
        <w:rPr>
          <w:sz w:val="24"/>
          <w:szCs w:val="24"/>
        </w:rPr>
      </w:pPr>
      <w:r w:rsidRPr="00A654EA">
        <w:rPr>
          <w:sz w:val="24"/>
          <w:szCs w:val="24"/>
        </w:rPr>
        <w:t xml:space="preserve">El periodo de consideración se extenderá durante 2 meses finalizando el </w:t>
      </w:r>
      <w:r w:rsidR="00A82C32">
        <w:rPr>
          <w:sz w:val="24"/>
          <w:szCs w:val="24"/>
          <w:u w:val="single"/>
        </w:rPr>
        <w:t>29 de septiembre de 2014</w:t>
      </w:r>
      <w:r w:rsidRPr="00A654EA">
        <w:rPr>
          <w:sz w:val="24"/>
          <w:szCs w:val="24"/>
        </w:rPr>
        <w:t>. Si durante este periodo no se reciben objeciones de los Estados Miembros, se considerará que los proyectos de Recomendación serán adoptados por la Comisión de Estudio </w:t>
      </w:r>
      <w:r w:rsidR="00A82C32">
        <w:rPr>
          <w:sz w:val="24"/>
          <w:szCs w:val="24"/>
        </w:rPr>
        <w:t>4</w:t>
      </w:r>
      <w:r w:rsidRPr="00A654EA">
        <w:rPr>
          <w:sz w:val="24"/>
          <w:szCs w:val="24"/>
        </w:rPr>
        <w:t>. Además, como se ha seguido el PAAS, los proyectos de Recomendación también se considerarán aprobados.</w:t>
      </w:r>
    </w:p>
    <w:p w:rsidR="00CE6299" w:rsidRPr="00A654EA" w:rsidRDefault="00CE6299" w:rsidP="00A82C32">
      <w:pPr>
        <w:rPr>
          <w:sz w:val="24"/>
          <w:szCs w:val="24"/>
        </w:rPr>
      </w:pPr>
      <w:r w:rsidRPr="00A654EA">
        <w:rPr>
          <w:sz w:val="24"/>
          <w:szCs w:val="24"/>
        </w:rPr>
        <w:t xml:space="preserve">Todo Estado Miembro que tenga una objeción a la adopción de un proyecto de Recomendación </w:t>
      </w:r>
      <w:r w:rsidR="00A82C32">
        <w:rPr>
          <w:sz w:val="24"/>
          <w:szCs w:val="24"/>
        </w:rPr>
        <w:t xml:space="preserve">o a la aprobación de supresión de una Recomendación </w:t>
      </w:r>
      <w:r w:rsidRPr="00A654EA">
        <w:rPr>
          <w:sz w:val="24"/>
          <w:szCs w:val="24"/>
        </w:rPr>
        <w:t>debe informar al Director y al Presidente de la Comisión de Estudio de los motivos de dicha objeción.</w:t>
      </w:r>
    </w:p>
    <w:p w:rsidR="00CE6299" w:rsidRPr="00A654EA" w:rsidRDefault="00CE6299" w:rsidP="00A82C32">
      <w:pPr>
        <w:rPr>
          <w:sz w:val="24"/>
          <w:szCs w:val="24"/>
        </w:rPr>
      </w:pPr>
      <w:r w:rsidRPr="00A654EA">
        <w:rPr>
          <w:sz w:val="24"/>
          <w:szCs w:val="24"/>
        </w:rPr>
        <w:t>Tras la fecha límite mencionada, los resultados del PAAS se comunicarán mediante Circular Administrativa y las Recomendaci</w:t>
      </w:r>
      <w:r w:rsidR="00A82C32">
        <w:rPr>
          <w:sz w:val="24"/>
          <w:szCs w:val="24"/>
        </w:rPr>
        <w:t>o</w:t>
      </w:r>
      <w:r w:rsidRPr="00A654EA">
        <w:rPr>
          <w:sz w:val="24"/>
          <w:szCs w:val="24"/>
        </w:rPr>
        <w:t xml:space="preserve">nes aprobadas se publicarán tan pronto como sea posible (véase </w:t>
      </w:r>
      <w:hyperlink r:id="rId8" w:history="1">
        <w:r w:rsidRPr="00A654EA">
          <w:rPr>
            <w:color w:val="0000FF"/>
            <w:sz w:val="24"/>
            <w:szCs w:val="24"/>
            <w:u w:val="single"/>
          </w:rPr>
          <w:t>http://www.itu.int/pub/R-REC</w:t>
        </w:r>
      </w:hyperlink>
      <w:r w:rsidRPr="00A654EA">
        <w:rPr>
          <w:sz w:val="24"/>
          <w:szCs w:val="24"/>
        </w:rPr>
        <w:t>).</w:t>
      </w:r>
    </w:p>
    <w:p w:rsidR="00CE6299" w:rsidRPr="00A654EA" w:rsidRDefault="00CE6299" w:rsidP="00CE6299">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A654EA">
        <w:rPr>
          <w:sz w:val="24"/>
          <w:szCs w:val="24"/>
        </w:rPr>
        <w:br w:type="page"/>
      </w:r>
    </w:p>
    <w:p w:rsidR="00CE6299" w:rsidRPr="00A654EA" w:rsidRDefault="00CE6299" w:rsidP="008D2FCD">
      <w:pPr>
        <w:jc w:val="left"/>
        <w:rPr>
          <w:sz w:val="24"/>
          <w:szCs w:val="24"/>
        </w:rPr>
      </w:pPr>
      <w:r w:rsidRPr="00A654EA">
        <w:rPr>
          <w:sz w:val="24"/>
          <w:szCs w:val="24"/>
        </w:rPr>
        <w:lastRenderedPageBreak/>
        <w:t>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w:t>
      </w:r>
      <w:r w:rsidR="00E010B8" w:rsidRPr="00A654EA">
        <w:rPr>
          <w:sz w:val="24"/>
          <w:szCs w:val="24"/>
        </w:rPr>
        <w:noBreakHyphen/>
      </w:r>
      <w:r w:rsidRPr="00A654EA">
        <w:rPr>
          <w:sz w:val="24"/>
          <w:szCs w:val="24"/>
        </w:rPr>
        <w:t>T/UIT</w:t>
      </w:r>
      <w:r w:rsidR="00E010B8" w:rsidRPr="00A654EA">
        <w:rPr>
          <w:sz w:val="24"/>
          <w:szCs w:val="24"/>
        </w:rPr>
        <w:noBreakHyphen/>
      </w:r>
      <w:r w:rsidRPr="00A654EA">
        <w:rPr>
          <w:sz w:val="24"/>
          <w:szCs w:val="24"/>
        </w:rPr>
        <w:t>R/ISO/CEI puede consultarse en</w:t>
      </w:r>
      <w:r w:rsidR="00A9747B" w:rsidRPr="00A654EA">
        <w:rPr>
          <w:sz w:val="24"/>
          <w:szCs w:val="24"/>
        </w:rPr>
        <w:t>:</w:t>
      </w:r>
      <w:r w:rsidR="008D2FCD">
        <w:rPr>
          <w:sz w:val="24"/>
          <w:szCs w:val="24"/>
        </w:rPr>
        <w:t xml:space="preserve"> </w:t>
      </w:r>
      <w:hyperlink r:id="rId9" w:history="1">
        <w:r w:rsidR="008D2FCD" w:rsidRPr="00F27424">
          <w:rPr>
            <w:rStyle w:val="Hyperlink"/>
            <w:rFonts w:cs="Calibri"/>
            <w:sz w:val="24"/>
            <w:szCs w:val="24"/>
          </w:rPr>
          <w:t>http://www.itu.int/en/ITU-T/ipr/Pages/policy.aspx</w:t>
        </w:r>
      </w:hyperlink>
      <w:r w:rsidRPr="00A654EA">
        <w:rPr>
          <w:sz w:val="24"/>
          <w:szCs w:val="24"/>
        </w:rPr>
        <w:t>.</w:t>
      </w:r>
    </w:p>
    <w:p w:rsidR="00CE6299" w:rsidRPr="00A654EA" w:rsidRDefault="00CE6299" w:rsidP="00CE6299">
      <w:pPr>
        <w:jc w:val="left"/>
        <w:rPr>
          <w:sz w:val="24"/>
          <w:szCs w:val="24"/>
        </w:rPr>
      </w:pPr>
    </w:p>
    <w:p w:rsidR="00CE6299" w:rsidRDefault="00CE6299" w:rsidP="00CE6299">
      <w:pPr>
        <w:jc w:val="left"/>
        <w:rPr>
          <w:sz w:val="24"/>
          <w:szCs w:val="24"/>
        </w:rPr>
      </w:pPr>
    </w:p>
    <w:p w:rsidR="008D2FCD" w:rsidRPr="00A654EA" w:rsidRDefault="008D2FCD" w:rsidP="00CE6299">
      <w:pPr>
        <w:jc w:val="left"/>
        <w:rPr>
          <w:sz w:val="24"/>
          <w:szCs w:val="24"/>
        </w:rPr>
      </w:pPr>
    </w:p>
    <w:p w:rsidR="00CE6299" w:rsidRPr="00A654EA" w:rsidRDefault="00CE6299" w:rsidP="00CE6299">
      <w:pPr>
        <w:jc w:val="left"/>
        <w:rPr>
          <w:sz w:val="24"/>
          <w:szCs w:val="24"/>
        </w:rPr>
      </w:pPr>
    </w:p>
    <w:p w:rsidR="00CE6299" w:rsidRPr="00A654EA" w:rsidRDefault="00CE6299" w:rsidP="00CE6299">
      <w:pPr>
        <w:jc w:val="left"/>
        <w:rPr>
          <w:sz w:val="24"/>
          <w:szCs w:val="24"/>
        </w:rPr>
      </w:pPr>
    </w:p>
    <w:p w:rsidR="00CE6299" w:rsidRPr="00A654EA" w:rsidRDefault="00CE6299" w:rsidP="00CE6299">
      <w:pPr>
        <w:tabs>
          <w:tab w:val="clear" w:pos="794"/>
          <w:tab w:val="clear" w:pos="1191"/>
          <w:tab w:val="clear" w:pos="1588"/>
          <w:tab w:val="clear" w:pos="1985"/>
        </w:tabs>
        <w:spacing w:before="0"/>
        <w:jc w:val="left"/>
        <w:rPr>
          <w:sz w:val="24"/>
          <w:szCs w:val="24"/>
        </w:rPr>
      </w:pPr>
      <w:r w:rsidRPr="00A654EA">
        <w:rPr>
          <w:sz w:val="24"/>
          <w:szCs w:val="24"/>
        </w:rPr>
        <w:t>François Rancy</w:t>
      </w:r>
      <w:r w:rsidRPr="00A654EA">
        <w:rPr>
          <w:sz w:val="24"/>
          <w:szCs w:val="24"/>
        </w:rPr>
        <w:br/>
      </w:r>
      <w:r w:rsidR="000C4E7D" w:rsidRPr="00A654EA">
        <w:rPr>
          <w:sz w:val="24"/>
          <w:szCs w:val="24"/>
        </w:rPr>
        <w:t>Director</w:t>
      </w:r>
    </w:p>
    <w:p w:rsidR="00CE6299" w:rsidRPr="00A654EA" w:rsidRDefault="00CE6299" w:rsidP="00CE6299">
      <w:pPr>
        <w:jc w:val="left"/>
        <w:rPr>
          <w:sz w:val="24"/>
          <w:szCs w:val="24"/>
        </w:rPr>
      </w:pPr>
    </w:p>
    <w:p w:rsidR="00CE6299" w:rsidRPr="00A654EA" w:rsidRDefault="00CE6299" w:rsidP="00CE6299">
      <w:pPr>
        <w:jc w:val="left"/>
        <w:rPr>
          <w:sz w:val="24"/>
          <w:szCs w:val="24"/>
        </w:rPr>
      </w:pPr>
    </w:p>
    <w:p w:rsidR="00CE6299" w:rsidRPr="00A654EA" w:rsidRDefault="00CE6299" w:rsidP="009646AF">
      <w:pPr>
        <w:jc w:val="left"/>
        <w:rPr>
          <w:sz w:val="24"/>
          <w:szCs w:val="24"/>
        </w:rPr>
      </w:pPr>
      <w:r w:rsidRPr="00A654EA">
        <w:rPr>
          <w:b/>
          <w:bCs/>
          <w:sz w:val="24"/>
          <w:szCs w:val="24"/>
        </w:rPr>
        <w:t>Anexo 1</w:t>
      </w:r>
      <w:r w:rsidRPr="00A654EA">
        <w:rPr>
          <w:sz w:val="24"/>
          <w:szCs w:val="24"/>
        </w:rPr>
        <w:t xml:space="preserve">: </w:t>
      </w:r>
      <w:r w:rsidR="000C4E7D" w:rsidRPr="00A654EA">
        <w:rPr>
          <w:sz w:val="24"/>
          <w:szCs w:val="24"/>
        </w:rPr>
        <w:tab/>
      </w:r>
      <w:r w:rsidRPr="00A654EA">
        <w:rPr>
          <w:sz w:val="24"/>
          <w:szCs w:val="24"/>
        </w:rPr>
        <w:t>Títulos</w:t>
      </w:r>
      <w:r w:rsidR="009646AF">
        <w:rPr>
          <w:sz w:val="24"/>
          <w:szCs w:val="24"/>
        </w:rPr>
        <w:t xml:space="preserve"> y resú</w:t>
      </w:r>
      <w:r w:rsidRPr="00A654EA">
        <w:rPr>
          <w:sz w:val="24"/>
          <w:szCs w:val="24"/>
        </w:rPr>
        <w:t>menes de los</w:t>
      </w:r>
      <w:r w:rsidR="009646AF">
        <w:rPr>
          <w:sz w:val="24"/>
          <w:szCs w:val="24"/>
        </w:rPr>
        <w:t xml:space="preserve"> proyecto</w:t>
      </w:r>
      <w:r w:rsidRPr="00A654EA">
        <w:rPr>
          <w:sz w:val="24"/>
          <w:szCs w:val="24"/>
        </w:rPr>
        <w:t>s de Recomendación</w:t>
      </w:r>
    </w:p>
    <w:p w:rsidR="00CE6299" w:rsidRDefault="00CE6299" w:rsidP="009646AF">
      <w:pPr>
        <w:jc w:val="left"/>
        <w:rPr>
          <w:sz w:val="24"/>
          <w:szCs w:val="24"/>
        </w:rPr>
      </w:pPr>
      <w:r w:rsidRPr="00A654EA">
        <w:rPr>
          <w:b/>
          <w:bCs/>
          <w:sz w:val="24"/>
          <w:szCs w:val="24"/>
        </w:rPr>
        <w:t>Anexo 2</w:t>
      </w:r>
      <w:r w:rsidRPr="00A654EA">
        <w:rPr>
          <w:sz w:val="24"/>
          <w:szCs w:val="24"/>
        </w:rPr>
        <w:t>:</w:t>
      </w:r>
      <w:r w:rsidR="000C4E7D" w:rsidRPr="00A654EA">
        <w:rPr>
          <w:sz w:val="24"/>
          <w:szCs w:val="24"/>
        </w:rPr>
        <w:tab/>
      </w:r>
      <w:r w:rsidR="009646AF">
        <w:rPr>
          <w:sz w:val="24"/>
          <w:szCs w:val="24"/>
        </w:rPr>
        <w:t>Recomendacion</w:t>
      </w:r>
      <w:r w:rsidRPr="00A654EA">
        <w:rPr>
          <w:sz w:val="24"/>
          <w:szCs w:val="24"/>
        </w:rPr>
        <w:t>es cuya supresión se propone</w:t>
      </w:r>
    </w:p>
    <w:p w:rsidR="009646AF" w:rsidRPr="00A654EA" w:rsidRDefault="009646AF" w:rsidP="000C4E7D">
      <w:pPr>
        <w:jc w:val="left"/>
        <w:rPr>
          <w:sz w:val="24"/>
          <w:szCs w:val="24"/>
        </w:rPr>
      </w:pPr>
    </w:p>
    <w:p w:rsidR="00CE6299" w:rsidRPr="00A654EA" w:rsidRDefault="00CE6299" w:rsidP="009646AF">
      <w:pPr>
        <w:jc w:val="left"/>
        <w:rPr>
          <w:sz w:val="24"/>
          <w:szCs w:val="24"/>
        </w:rPr>
      </w:pPr>
      <w:r w:rsidRPr="00A654EA">
        <w:rPr>
          <w:b/>
          <w:bCs/>
          <w:sz w:val="24"/>
          <w:szCs w:val="24"/>
        </w:rPr>
        <w:t>Documentos</w:t>
      </w:r>
      <w:r w:rsidRPr="00A654EA">
        <w:rPr>
          <w:sz w:val="24"/>
          <w:szCs w:val="24"/>
        </w:rPr>
        <w:t>:</w:t>
      </w:r>
      <w:r w:rsidR="000C4E7D" w:rsidRPr="00A654EA">
        <w:rPr>
          <w:sz w:val="24"/>
          <w:szCs w:val="24"/>
        </w:rPr>
        <w:tab/>
      </w:r>
      <w:r w:rsidRPr="00A654EA">
        <w:rPr>
          <w:sz w:val="24"/>
          <w:szCs w:val="24"/>
        </w:rPr>
        <w:t>Documento</w:t>
      </w:r>
      <w:r w:rsidR="009646AF">
        <w:rPr>
          <w:sz w:val="24"/>
          <w:szCs w:val="24"/>
        </w:rPr>
        <w:t>s</w:t>
      </w:r>
      <w:r w:rsidRPr="00A654EA">
        <w:rPr>
          <w:sz w:val="24"/>
          <w:szCs w:val="24"/>
        </w:rPr>
        <w:t xml:space="preserve"> </w:t>
      </w:r>
      <w:r w:rsidR="009646AF">
        <w:rPr>
          <w:sz w:val="24"/>
          <w:szCs w:val="24"/>
        </w:rPr>
        <w:t>4/64</w:t>
      </w:r>
      <w:r w:rsidRPr="00A654EA">
        <w:rPr>
          <w:sz w:val="24"/>
          <w:szCs w:val="24"/>
        </w:rPr>
        <w:t>(Rev.1)</w:t>
      </w:r>
      <w:r w:rsidR="009646AF">
        <w:rPr>
          <w:sz w:val="24"/>
          <w:szCs w:val="24"/>
        </w:rPr>
        <w:t>, 4/67(Rev.1)</w:t>
      </w:r>
    </w:p>
    <w:p w:rsidR="00CE6299" w:rsidRPr="009646AF" w:rsidRDefault="00CE6299" w:rsidP="009646AF">
      <w:pPr>
        <w:jc w:val="left"/>
        <w:rPr>
          <w:sz w:val="24"/>
          <w:szCs w:val="24"/>
        </w:rPr>
      </w:pPr>
      <w:r w:rsidRPr="009646AF">
        <w:rPr>
          <w:sz w:val="24"/>
          <w:szCs w:val="24"/>
        </w:rPr>
        <w:t>Esta documentación está disponible en versión electrónica en la dirección</w:t>
      </w:r>
      <w:r w:rsidR="000C4E7D" w:rsidRPr="009646AF">
        <w:rPr>
          <w:sz w:val="24"/>
          <w:szCs w:val="24"/>
        </w:rPr>
        <w:t>:</w:t>
      </w:r>
      <w:r w:rsidR="009646AF">
        <w:rPr>
          <w:sz w:val="24"/>
          <w:szCs w:val="24"/>
        </w:rPr>
        <w:t xml:space="preserve"> </w:t>
      </w:r>
      <w:hyperlink r:id="rId10" w:history="1">
        <w:r w:rsidR="00612BA4" w:rsidRPr="007F07B8">
          <w:rPr>
            <w:rStyle w:val="Hyperlink"/>
            <w:rFonts w:cs="Calibri"/>
            <w:sz w:val="24"/>
            <w:szCs w:val="24"/>
          </w:rPr>
          <w:t>http://www.itu.int/md/R12-SG04-C/en</w:t>
        </w:r>
      </w:hyperlink>
      <w:r w:rsidR="00612BA4">
        <w:rPr>
          <w:sz w:val="24"/>
          <w:szCs w:val="24"/>
        </w:rPr>
        <w:t xml:space="preserve"> </w:t>
      </w:r>
    </w:p>
    <w:p w:rsidR="00CE6299" w:rsidRPr="000266B0" w:rsidRDefault="00CE6299" w:rsidP="009646AF">
      <w:pPr>
        <w:tabs>
          <w:tab w:val="left" w:pos="284"/>
          <w:tab w:val="left" w:pos="568"/>
        </w:tabs>
        <w:spacing w:before="1680" w:after="60"/>
        <w:rPr>
          <w:b/>
          <w:bCs/>
          <w:sz w:val="18"/>
          <w:szCs w:val="18"/>
        </w:rPr>
      </w:pPr>
      <w:r w:rsidRPr="000266B0">
        <w:rPr>
          <w:b/>
          <w:bCs/>
          <w:sz w:val="18"/>
          <w:szCs w:val="18"/>
        </w:rPr>
        <w:t>Distribución:</w:t>
      </w:r>
    </w:p>
    <w:p w:rsidR="00CE6299" w:rsidRPr="000266B0" w:rsidRDefault="00CE6299" w:rsidP="009646AF">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Administraciones de los Estados Miembros </w:t>
      </w:r>
      <w:r w:rsidR="00F852E7">
        <w:rPr>
          <w:sz w:val="18"/>
          <w:szCs w:val="18"/>
        </w:rPr>
        <w:t xml:space="preserve">de la UIT y </w:t>
      </w:r>
      <w:r w:rsidR="00456489">
        <w:rPr>
          <w:sz w:val="18"/>
          <w:szCs w:val="18"/>
        </w:rPr>
        <w:t xml:space="preserve">Miembros </w:t>
      </w:r>
      <w:bookmarkStart w:id="6" w:name="_GoBack"/>
      <w:bookmarkEnd w:id="6"/>
      <w:r w:rsidRPr="000266B0">
        <w:rPr>
          <w:sz w:val="18"/>
          <w:szCs w:val="18"/>
        </w:rPr>
        <w:t xml:space="preserve">del Sector de Radiocomunicaciones que participan en los trabajos de la Comisión de Estudio </w:t>
      </w:r>
      <w:r w:rsidR="009646AF">
        <w:rPr>
          <w:sz w:val="18"/>
          <w:szCs w:val="18"/>
        </w:rPr>
        <w:t>4</w:t>
      </w:r>
      <w:r w:rsidRPr="000266B0">
        <w:rPr>
          <w:sz w:val="18"/>
          <w:szCs w:val="18"/>
        </w:rPr>
        <w:t xml:space="preserve"> de Radiocomunicaciones </w:t>
      </w:r>
    </w:p>
    <w:p w:rsidR="00CE6299" w:rsidRPr="000266B0" w:rsidRDefault="00CE6299" w:rsidP="009646AF">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Asociados del UIT-R que participan en los trabajos de la Comisión de Estudio </w:t>
      </w:r>
      <w:r w:rsidR="009646AF">
        <w:rPr>
          <w:sz w:val="18"/>
          <w:szCs w:val="18"/>
        </w:rPr>
        <w:t>4</w:t>
      </w:r>
      <w:r w:rsidRPr="000266B0">
        <w:rPr>
          <w:sz w:val="18"/>
          <w:szCs w:val="18"/>
        </w:rPr>
        <w:t xml:space="preserve"> de Radiocomunicaciones </w:t>
      </w:r>
    </w:p>
    <w:p w:rsidR="00CE6299" w:rsidRPr="000266B0" w:rsidRDefault="00CE6299" w:rsidP="009646AF">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Presidente</w:t>
      </w:r>
      <w:r>
        <w:rPr>
          <w:sz w:val="18"/>
          <w:szCs w:val="18"/>
        </w:rPr>
        <w:t>s</w:t>
      </w:r>
      <w:r w:rsidRPr="000266B0">
        <w:rPr>
          <w:sz w:val="18"/>
          <w:szCs w:val="18"/>
        </w:rPr>
        <w:t xml:space="preserve"> y Vicepresidentes de las Comisiones de Estudio de Radiocomunicaciones y Comisión Especial para Asuntos Reglamentarios </w:t>
      </w:r>
      <w:r>
        <w:rPr>
          <w:sz w:val="18"/>
          <w:szCs w:val="18"/>
        </w:rPr>
        <w:t xml:space="preserve">y </w:t>
      </w:r>
      <w:r w:rsidRPr="000266B0">
        <w:rPr>
          <w:sz w:val="18"/>
          <w:szCs w:val="18"/>
        </w:rPr>
        <w:t xml:space="preserve">de </w:t>
      </w:r>
      <w:r>
        <w:rPr>
          <w:sz w:val="18"/>
          <w:szCs w:val="18"/>
        </w:rPr>
        <w:t>P</w:t>
      </w:r>
      <w:r w:rsidRPr="000266B0">
        <w:rPr>
          <w:sz w:val="18"/>
          <w:szCs w:val="18"/>
        </w:rPr>
        <w:t xml:space="preserve">rocedimiento </w:t>
      </w:r>
    </w:p>
    <w:p w:rsidR="00CE6299" w:rsidRPr="000266B0" w:rsidRDefault="00CE6299" w:rsidP="009646AF">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Presidente y Vicepresidentes de la Reunión Preparatoria de la Conferencia </w:t>
      </w:r>
    </w:p>
    <w:p w:rsidR="00CE6299" w:rsidRPr="000266B0" w:rsidRDefault="00CE6299" w:rsidP="009646AF">
      <w:pPr>
        <w:tabs>
          <w:tab w:val="left" w:pos="6237"/>
        </w:tabs>
        <w:spacing w:before="0" w:line="240" w:lineRule="auto"/>
        <w:ind w:left="284" w:hanging="284"/>
        <w:jc w:val="left"/>
        <w:rPr>
          <w:sz w:val="18"/>
          <w:szCs w:val="18"/>
        </w:rPr>
      </w:pPr>
      <w:r w:rsidRPr="000266B0">
        <w:rPr>
          <w:sz w:val="18"/>
          <w:szCs w:val="18"/>
        </w:rPr>
        <w:t>–</w:t>
      </w:r>
      <w:r w:rsidRPr="000266B0">
        <w:rPr>
          <w:sz w:val="18"/>
          <w:szCs w:val="18"/>
        </w:rPr>
        <w:tab/>
        <w:t xml:space="preserve">Miembros de la Junta del Reglamento de Radiocomunicaciones </w:t>
      </w:r>
    </w:p>
    <w:p w:rsidR="00CE6299" w:rsidRPr="000266B0" w:rsidRDefault="00CE6299" w:rsidP="009646AF">
      <w:pPr>
        <w:tabs>
          <w:tab w:val="left" w:pos="6237"/>
        </w:tabs>
        <w:overflowPunct/>
        <w:autoSpaceDE/>
        <w:autoSpaceDN/>
        <w:adjustRightInd/>
        <w:spacing w:before="0" w:line="240" w:lineRule="auto"/>
        <w:ind w:left="284" w:hanging="284"/>
        <w:jc w:val="left"/>
        <w:textAlignment w:val="auto"/>
        <w:rPr>
          <w:sz w:val="18"/>
          <w:szCs w:val="18"/>
        </w:rPr>
      </w:pPr>
      <w:r w:rsidRPr="000266B0">
        <w:rPr>
          <w:sz w:val="18"/>
          <w:szCs w:val="18"/>
        </w:rPr>
        <w:t>–</w:t>
      </w:r>
      <w:r w:rsidRPr="000266B0">
        <w:rPr>
          <w:sz w:val="18"/>
          <w:szCs w:val="18"/>
        </w:rPr>
        <w:tab/>
        <w:t xml:space="preserve">Secretario General de la UIT, Director de la Oficina de Normalización de las Telecomunicaciones, Director de la Oficina de Desarrollo de Telecomunicaciones </w:t>
      </w:r>
    </w:p>
    <w:p w:rsidR="007E59D7" w:rsidRDefault="007E59D7">
      <w:pPr>
        <w:tabs>
          <w:tab w:val="clear" w:pos="794"/>
          <w:tab w:val="clear" w:pos="1191"/>
          <w:tab w:val="clear" w:pos="1588"/>
          <w:tab w:val="clear" w:pos="1985"/>
        </w:tabs>
        <w:overflowPunct/>
        <w:autoSpaceDE/>
        <w:autoSpaceDN/>
        <w:adjustRightInd/>
        <w:spacing w:before="0" w:line="240" w:lineRule="auto"/>
        <w:jc w:val="left"/>
        <w:textAlignment w:val="auto"/>
        <w:rPr>
          <w:b/>
          <w:sz w:val="24"/>
        </w:rPr>
      </w:pPr>
      <w:r>
        <w:br w:type="page"/>
      </w:r>
    </w:p>
    <w:p w:rsidR="00D10E05" w:rsidRPr="00827836" w:rsidRDefault="00D10E05" w:rsidP="00D10E05">
      <w:pPr>
        <w:pStyle w:val="AnnexNotitle0"/>
        <w:rPr>
          <w:rFonts w:asciiTheme="minorHAnsi" w:hAnsiTheme="minorHAnsi"/>
        </w:rPr>
      </w:pPr>
      <w:r w:rsidRPr="00827836">
        <w:rPr>
          <w:rFonts w:asciiTheme="minorHAnsi" w:hAnsiTheme="minorHAnsi"/>
        </w:rPr>
        <w:lastRenderedPageBreak/>
        <w:t>Anexo 1</w:t>
      </w:r>
    </w:p>
    <w:p w:rsidR="00D10E05" w:rsidRPr="00827836" w:rsidRDefault="00D10E05" w:rsidP="00D10E05">
      <w:pPr>
        <w:pStyle w:val="AnnexNotitle0"/>
        <w:rPr>
          <w:rFonts w:asciiTheme="minorHAnsi" w:hAnsiTheme="minorHAnsi"/>
        </w:rPr>
      </w:pPr>
      <w:r w:rsidRPr="00827836">
        <w:rPr>
          <w:rFonts w:asciiTheme="minorHAnsi" w:hAnsiTheme="minorHAnsi"/>
        </w:rPr>
        <w:t xml:space="preserve">Títulos y resúmenes de los proyectos de Recomendaciones adoptados </w:t>
      </w:r>
      <w:r w:rsidRPr="00827836">
        <w:rPr>
          <w:rFonts w:asciiTheme="minorHAnsi" w:hAnsiTheme="minorHAnsi"/>
        </w:rPr>
        <w:br/>
        <w:t>por la Comisión de Estudio 4 de Radiocomunicaciones</w:t>
      </w:r>
    </w:p>
    <w:p w:rsidR="00D10E05" w:rsidRPr="00827836" w:rsidRDefault="00D10E05" w:rsidP="00D10E05">
      <w:pPr>
        <w:rPr>
          <w:rFonts w:asciiTheme="minorHAnsi" w:hAnsiTheme="minorHAnsi"/>
        </w:rPr>
      </w:pPr>
    </w:p>
    <w:p w:rsidR="00D10E05" w:rsidRPr="00D10E05" w:rsidRDefault="00D10E05" w:rsidP="00D10E05">
      <w:pPr>
        <w:tabs>
          <w:tab w:val="left" w:pos="7655"/>
        </w:tabs>
        <w:rPr>
          <w:rFonts w:asciiTheme="minorHAnsi" w:hAnsiTheme="minorHAnsi"/>
          <w:sz w:val="24"/>
          <w:szCs w:val="24"/>
        </w:rPr>
      </w:pPr>
      <w:r w:rsidRPr="00D10E05">
        <w:rPr>
          <w:rFonts w:asciiTheme="minorHAnsi" w:hAnsiTheme="minorHAnsi"/>
          <w:sz w:val="24"/>
          <w:szCs w:val="24"/>
          <w:u w:val="single"/>
        </w:rPr>
        <w:t>Proyecto de nueva Recomendación UIT-R S.[DIGCID]</w:t>
      </w:r>
      <w:r w:rsidRPr="00D10E05">
        <w:rPr>
          <w:rFonts w:asciiTheme="minorHAnsi" w:hAnsiTheme="minorHAnsi"/>
          <w:sz w:val="24"/>
          <w:szCs w:val="24"/>
        </w:rPr>
        <w:tab/>
        <w:t>Doc. 4/67(Rev.1)</w:t>
      </w:r>
    </w:p>
    <w:p w:rsidR="00D10E05" w:rsidRPr="00D10E05" w:rsidRDefault="00D10E05" w:rsidP="00D10E05">
      <w:pPr>
        <w:pStyle w:val="Reptitle"/>
        <w:rPr>
          <w:rFonts w:asciiTheme="minorHAnsi" w:hAnsiTheme="minorHAnsi"/>
          <w:b w:val="0"/>
          <w:bCs/>
          <w:szCs w:val="28"/>
        </w:rPr>
      </w:pPr>
      <w:r w:rsidRPr="00D10E05">
        <w:rPr>
          <w:rStyle w:val="Strong"/>
          <w:rFonts w:eastAsia="SimSun"/>
          <w:b/>
          <w:bCs w:val="0"/>
        </w:rPr>
        <w:t xml:space="preserve">Sistema de identificación de portadora de las transmisiones de modulación digital del servicio fijo por satélite (SFS) que hacen una utilización ocasional (UO) del servicio fijo por satélite (SFS) para transmisiones de portadora de estación </w:t>
      </w:r>
      <w:r>
        <w:rPr>
          <w:rStyle w:val="Strong"/>
          <w:rFonts w:eastAsia="SimSun"/>
          <w:b/>
          <w:bCs w:val="0"/>
        </w:rPr>
        <w:br/>
      </w:r>
      <w:r w:rsidRPr="00D10E05">
        <w:rPr>
          <w:rStyle w:val="Strong"/>
          <w:rFonts w:eastAsia="SimSun"/>
          <w:b/>
          <w:bCs w:val="0"/>
        </w:rPr>
        <w:t xml:space="preserve">terrena utilizando redes de satélites geoestacionarios en las </w:t>
      </w:r>
      <w:r>
        <w:rPr>
          <w:rStyle w:val="Strong"/>
          <w:rFonts w:eastAsia="SimSun"/>
          <w:b/>
          <w:bCs w:val="0"/>
        </w:rPr>
        <w:br/>
      </w:r>
      <w:r w:rsidRPr="00D10E05">
        <w:rPr>
          <w:rStyle w:val="Strong"/>
          <w:rFonts w:eastAsia="SimSun"/>
          <w:b/>
          <w:bCs w:val="0"/>
        </w:rPr>
        <w:t>bandas 4/6 GHz y 11</w:t>
      </w:r>
      <w:r w:rsidRPr="00D10E05">
        <w:rPr>
          <w:rStyle w:val="Strong"/>
          <w:rFonts w:eastAsia="SimSun"/>
          <w:b/>
          <w:bCs w:val="0"/>
        </w:rPr>
        <w:noBreakHyphen/>
        <w:t>12/13/14 GHz del SFS</w:t>
      </w:r>
    </w:p>
    <w:p w:rsidR="00D10E05" w:rsidRPr="00D10E05" w:rsidRDefault="00D10E05" w:rsidP="00D10E05">
      <w:pPr>
        <w:tabs>
          <w:tab w:val="left" w:pos="8080"/>
        </w:tabs>
        <w:rPr>
          <w:rFonts w:asciiTheme="minorHAnsi" w:hAnsiTheme="minorHAnsi"/>
          <w:sz w:val="24"/>
          <w:szCs w:val="24"/>
        </w:rPr>
      </w:pPr>
      <w:r w:rsidRPr="00D10E05">
        <w:rPr>
          <w:rFonts w:asciiTheme="minorHAnsi" w:hAnsiTheme="minorHAnsi"/>
          <w:sz w:val="24"/>
          <w:szCs w:val="24"/>
        </w:rPr>
        <w:t>En esta Recomendación se facilitan posibles métodos relativos a un sistema de identificación de portadora para las modulaciones de las transmisiones de estaciones terrenas que hacen una utilización ocasional (UO) del servicio fijo por satélite (SFS) para transmisiones de portadora desde un punto fijo a estaciones espaciales de la órbita de satélites geoestacionarios en las bandas 4/6 GHz y 11-12/13/14 GHz del SFS, con el fin de facilitar la identificación de la fuente de interferencia inaceptable y eliminarla.</w:t>
      </w:r>
    </w:p>
    <w:p w:rsidR="00D10E05" w:rsidRPr="00827836" w:rsidRDefault="00D10E05" w:rsidP="00D10E05">
      <w:pPr>
        <w:tabs>
          <w:tab w:val="left" w:pos="8080"/>
        </w:tabs>
        <w:rPr>
          <w:rFonts w:asciiTheme="minorHAnsi" w:hAnsiTheme="minorHAnsi"/>
        </w:rPr>
      </w:pPr>
    </w:p>
    <w:p w:rsidR="00D10E05" w:rsidRPr="00D10E05" w:rsidRDefault="00D10E05" w:rsidP="00D10E05">
      <w:pPr>
        <w:tabs>
          <w:tab w:val="left" w:pos="7655"/>
        </w:tabs>
        <w:rPr>
          <w:rFonts w:asciiTheme="minorHAnsi" w:hAnsiTheme="minorHAnsi"/>
          <w:sz w:val="24"/>
          <w:szCs w:val="24"/>
        </w:rPr>
      </w:pPr>
      <w:r w:rsidRPr="00D10E05">
        <w:rPr>
          <w:rFonts w:asciiTheme="minorHAnsi" w:hAnsiTheme="minorHAnsi"/>
          <w:sz w:val="24"/>
          <w:szCs w:val="24"/>
          <w:u w:val="single"/>
        </w:rPr>
        <w:t>Proyecto de revisión de la Recomendación UIT-R M.1478-2</w:t>
      </w:r>
      <w:r w:rsidRPr="00D10E05">
        <w:rPr>
          <w:rFonts w:asciiTheme="minorHAnsi" w:hAnsiTheme="minorHAnsi"/>
          <w:sz w:val="24"/>
          <w:szCs w:val="24"/>
        </w:rPr>
        <w:tab/>
        <w:t>Doc. 4/64(Rev.1)</w:t>
      </w:r>
    </w:p>
    <w:p w:rsidR="00D10E05" w:rsidRPr="00D10E05" w:rsidRDefault="00D10E05" w:rsidP="00D10E05">
      <w:pPr>
        <w:pStyle w:val="Reptitle"/>
        <w:rPr>
          <w:rStyle w:val="Strong"/>
          <w:rFonts w:eastAsia="SimSun"/>
          <w:b/>
          <w:bCs w:val="0"/>
        </w:rPr>
      </w:pPr>
      <w:r w:rsidRPr="00D10E05">
        <w:rPr>
          <w:rStyle w:val="Strong"/>
          <w:rFonts w:eastAsia="SimSun"/>
          <w:b/>
          <w:bCs w:val="0"/>
        </w:rPr>
        <w:t>Criterios de protección para los instrumentos de búsqueda y salvamento Cospas</w:t>
      </w:r>
      <w:r w:rsidRPr="00D10E05">
        <w:rPr>
          <w:rStyle w:val="Strong"/>
          <w:rFonts w:eastAsia="SimSun"/>
          <w:b/>
          <w:bCs w:val="0"/>
        </w:rPr>
        <w:noBreakHyphen/>
        <w:t>Sarsat en la banda 406-406,1 MHz</w:t>
      </w:r>
    </w:p>
    <w:p w:rsidR="00CE6299" w:rsidRPr="00D10E05" w:rsidRDefault="00D10E05" w:rsidP="00D10E05">
      <w:pPr>
        <w:tabs>
          <w:tab w:val="left" w:pos="8080"/>
        </w:tabs>
        <w:rPr>
          <w:sz w:val="24"/>
          <w:szCs w:val="24"/>
          <w:lang w:val="es-ES"/>
        </w:rPr>
      </w:pPr>
      <w:r w:rsidRPr="00D10E05">
        <w:rPr>
          <w:rFonts w:asciiTheme="minorHAnsi" w:hAnsiTheme="minorHAnsi"/>
          <w:sz w:val="24"/>
          <w:szCs w:val="24"/>
        </w:rPr>
        <w:t>Este proyecto de revisión de la Recomendación UIT-R M.1478-2 tiene como finalidad incluir un nuevo Anexo dedicado a los repetidores de búsqueda y rescate a bordo de satélites de Galileo y añadir un resumen de los criterios de protección en el Anexo 11. Las cifras correspondientes proceden del Informe sobre la cuestión 9.1.1 del punto 9.1 del orden del día de la CMR-15. Los anexos que se proponen en esta Recomendación no incluyen los cálculos detallados correspondientes. Además, esta revisión incluye los criterios de protección para el futuro receptor de satélite de búsqueda y rescate GOES-R, a fin de corregir algunos de los cálculos para la actual serie GOES.</w:t>
      </w:r>
    </w:p>
    <w:p w:rsidR="00612BA4" w:rsidRDefault="00612BA4">
      <w:pPr>
        <w:tabs>
          <w:tab w:val="clear" w:pos="794"/>
          <w:tab w:val="clear" w:pos="1191"/>
          <w:tab w:val="clear" w:pos="1588"/>
          <w:tab w:val="clear" w:pos="1985"/>
        </w:tabs>
        <w:overflowPunct/>
        <w:autoSpaceDE/>
        <w:autoSpaceDN/>
        <w:adjustRightInd/>
        <w:spacing w:before="0" w:line="240" w:lineRule="auto"/>
        <w:jc w:val="left"/>
        <w:textAlignment w:val="auto"/>
        <w:rPr>
          <w:b/>
          <w:sz w:val="24"/>
          <w:lang w:val="es-ES"/>
        </w:rPr>
      </w:pPr>
      <w:r>
        <w:rPr>
          <w:lang w:val="es-ES"/>
        </w:rPr>
        <w:br w:type="page"/>
      </w:r>
    </w:p>
    <w:p w:rsidR="00CE6299" w:rsidRPr="00612BA4" w:rsidRDefault="00CE6299" w:rsidP="00CE6299">
      <w:pPr>
        <w:pStyle w:val="AnnexNoTitle"/>
        <w:rPr>
          <w:sz w:val="28"/>
          <w:szCs w:val="28"/>
          <w:lang w:val="es-ES"/>
        </w:rPr>
      </w:pPr>
      <w:r w:rsidRPr="00612BA4">
        <w:rPr>
          <w:sz w:val="28"/>
          <w:szCs w:val="28"/>
          <w:lang w:val="es-ES"/>
        </w:rPr>
        <w:lastRenderedPageBreak/>
        <w:t>Anexo 2</w:t>
      </w:r>
    </w:p>
    <w:p w:rsidR="00CE6299" w:rsidRPr="00612BA4" w:rsidRDefault="00CE6299" w:rsidP="00612BA4">
      <w:pPr>
        <w:spacing w:before="360"/>
        <w:jc w:val="center"/>
        <w:rPr>
          <w:sz w:val="24"/>
          <w:szCs w:val="24"/>
          <w:lang w:val="es-ES"/>
        </w:rPr>
      </w:pPr>
      <w:r w:rsidRPr="00612BA4">
        <w:rPr>
          <w:sz w:val="24"/>
          <w:szCs w:val="24"/>
          <w:lang w:val="es-ES"/>
        </w:rPr>
        <w:t xml:space="preserve">(Origen: Documento </w:t>
      </w:r>
      <w:hyperlink r:id="rId11" w:history="1">
        <w:r w:rsidR="00612BA4" w:rsidRPr="00612BA4">
          <w:rPr>
            <w:rStyle w:val="Hyperlink"/>
            <w:rFonts w:cs="Calibri"/>
            <w:sz w:val="24"/>
            <w:szCs w:val="24"/>
            <w:lang w:val="es-ES"/>
          </w:rPr>
          <w:t>4/69</w:t>
        </w:r>
      </w:hyperlink>
      <w:r w:rsidRPr="00612BA4">
        <w:rPr>
          <w:sz w:val="24"/>
          <w:szCs w:val="24"/>
          <w:lang w:val="es-ES"/>
        </w:rPr>
        <w:t>)</w:t>
      </w:r>
    </w:p>
    <w:p w:rsidR="00CE6299" w:rsidRPr="00612BA4" w:rsidRDefault="00CE6299" w:rsidP="00CE6299">
      <w:pPr>
        <w:spacing w:before="360"/>
        <w:jc w:val="center"/>
        <w:rPr>
          <w:b/>
          <w:bCs/>
          <w:sz w:val="28"/>
          <w:szCs w:val="28"/>
          <w:lang w:val="es-ES"/>
        </w:rPr>
      </w:pPr>
      <w:r w:rsidRPr="00612BA4">
        <w:rPr>
          <w:b/>
          <w:bCs/>
          <w:sz w:val="28"/>
          <w:szCs w:val="28"/>
          <w:lang w:val="es-ES"/>
        </w:rPr>
        <w:t>Recomendaciones cuya supresión se propone</w:t>
      </w:r>
    </w:p>
    <w:p w:rsidR="000C4E7D" w:rsidRDefault="000C4E7D" w:rsidP="00612BA4"/>
    <w:p w:rsidR="00BF49D2" w:rsidRDefault="00BF49D2" w:rsidP="00612BA4"/>
    <w:tbl>
      <w:tblPr>
        <w:tblStyle w:val="TableGrid"/>
        <w:tblW w:w="0" w:type="auto"/>
        <w:jc w:val="center"/>
        <w:tblInd w:w="392" w:type="dxa"/>
        <w:tblLook w:val="04A0" w:firstRow="1" w:lastRow="0" w:firstColumn="1" w:lastColumn="0" w:noHBand="0" w:noVBand="1"/>
      </w:tblPr>
      <w:tblGrid>
        <w:gridCol w:w="1984"/>
        <w:gridCol w:w="7479"/>
      </w:tblGrid>
      <w:tr w:rsidR="00612BA4" w:rsidTr="000B2955">
        <w:trPr>
          <w:jc w:val="center"/>
        </w:trPr>
        <w:tc>
          <w:tcPr>
            <w:tcW w:w="1984" w:type="dxa"/>
            <w:tcBorders>
              <w:top w:val="single" w:sz="4" w:space="0" w:color="auto"/>
              <w:left w:val="single" w:sz="4" w:space="0" w:color="auto"/>
              <w:bottom w:val="single" w:sz="4" w:space="0" w:color="auto"/>
              <w:right w:val="single" w:sz="4" w:space="0" w:color="auto"/>
            </w:tcBorders>
            <w:hideMark/>
          </w:tcPr>
          <w:p w:rsidR="00612BA4" w:rsidRDefault="00612BA4" w:rsidP="00612BA4">
            <w:pPr>
              <w:pStyle w:val="Tablehead"/>
              <w:rPr>
                <w:lang w:val="en-GB"/>
              </w:rPr>
            </w:pPr>
            <w:r>
              <w:rPr>
                <w:lang w:val="en-GB"/>
              </w:rPr>
              <w:t xml:space="preserve">Recomendación </w:t>
            </w:r>
            <w:r>
              <w:rPr>
                <w:lang w:val="en-GB"/>
              </w:rPr>
              <w:br/>
              <w:t>UIT-R</w:t>
            </w:r>
          </w:p>
        </w:tc>
        <w:tc>
          <w:tcPr>
            <w:tcW w:w="7479" w:type="dxa"/>
            <w:tcBorders>
              <w:top w:val="single" w:sz="4" w:space="0" w:color="auto"/>
              <w:left w:val="single" w:sz="4" w:space="0" w:color="auto"/>
              <w:bottom w:val="single" w:sz="4" w:space="0" w:color="auto"/>
              <w:right w:val="single" w:sz="4" w:space="0" w:color="auto"/>
            </w:tcBorders>
            <w:vAlign w:val="center"/>
            <w:hideMark/>
          </w:tcPr>
          <w:p w:rsidR="00612BA4" w:rsidRDefault="00612BA4" w:rsidP="00612BA4">
            <w:pPr>
              <w:pStyle w:val="Tablehead"/>
              <w:rPr>
                <w:lang w:val="en-GB"/>
              </w:rPr>
            </w:pPr>
            <w:r>
              <w:rPr>
                <w:lang w:val="en-GB"/>
              </w:rPr>
              <w:t>Título</w:t>
            </w:r>
          </w:p>
        </w:tc>
      </w:tr>
      <w:tr w:rsidR="00612BA4" w:rsidRPr="00612BA4"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612BA4" w:rsidRDefault="00612BA4" w:rsidP="000B2955">
            <w:pPr>
              <w:pStyle w:val="Tabletext"/>
              <w:jc w:val="center"/>
              <w:rPr>
                <w:rFonts w:eastAsia="SimSun"/>
                <w:szCs w:val="20"/>
                <w:lang w:val="fr-CH"/>
              </w:rPr>
            </w:pPr>
            <w:r>
              <w:rPr>
                <w:rFonts w:eastAsia="SimSun"/>
                <w:szCs w:val="20"/>
                <w:lang w:val="fr-CH"/>
              </w:rPr>
              <w:t>S.352-4</w:t>
            </w:r>
          </w:p>
        </w:tc>
        <w:tc>
          <w:tcPr>
            <w:tcW w:w="7479" w:type="dxa"/>
            <w:tcBorders>
              <w:top w:val="single" w:sz="4" w:space="0" w:color="auto"/>
              <w:left w:val="single" w:sz="4" w:space="0" w:color="auto"/>
              <w:bottom w:val="single" w:sz="4" w:space="0" w:color="auto"/>
              <w:right w:val="single" w:sz="4" w:space="0" w:color="auto"/>
            </w:tcBorders>
          </w:tcPr>
          <w:p w:rsidR="00612BA4" w:rsidRPr="00F43DF3" w:rsidRDefault="00612BA4" w:rsidP="000B2955">
            <w:pPr>
              <w:pStyle w:val="Tabletext"/>
              <w:jc w:val="both"/>
              <w:rPr>
                <w:rFonts w:asciiTheme="minorHAnsi" w:hAnsiTheme="minorHAnsi"/>
                <w:szCs w:val="20"/>
              </w:rPr>
            </w:pPr>
            <w:r w:rsidRPr="00F43DF3">
              <w:rPr>
                <w:rFonts w:asciiTheme="minorHAnsi" w:hAnsiTheme="minorHAnsi"/>
                <w:szCs w:val="20"/>
              </w:rPr>
              <w:t>Circuito ficticio de referencia para los sistemas que utilizan la transmisión analógica en el servicio fijo por satélite</w:t>
            </w:r>
          </w:p>
        </w:tc>
      </w:tr>
      <w:tr w:rsidR="00612BA4" w:rsidRPr="00612BA4"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612BA4" w:rsidRDefault="00612BA4" w:rsidP="000B2955">
            <w:pPr>
              <w:pStyle w:val="Tabletext"/>
              <w:jc w:val="center"/>
              <w:rPr>
                <w:rFonts w:eastAsia="SimSun"/>
                <w:szCs w:val="20"/>
                <w:lang w:val="fr-CH"/>
              </w:rPr>
            </w:pPr>
            <w:r>
              <w:rPr>
                <w:rFonts w:eastAsia="SimSun"/>
                <w:szCs w:val="20"/>
                <w:lang w:val="fr-CH"/>
              </w:rPr>
              <w:t>S.</w:t>
            </w:r>
            <w:r>
              <w:t>353-8</w:t>
            </w:r>
          </w:p>
        </w:tc>
        <w:tc>
          <w:tcPr>
            <w:tcW w:w="7479" w:type="dxa"/>
            <w:tcBorders>
              <w:top w:val="single" w:sz="4" w:space="0" w:color="auto"/>
              <w:left w:val="single" w:sz="4" w:space="0" w:color="auto"/>
              <w:bottom w:val="single" w:sz="4" w:space="0" w:color="auto"/>
              <w:right w:val="single" w:sz="4" w:space="0" w:color="auto"/>
            </w:tcBorders>
          </w:tcPr>
          <w:p w:rsidR="00612BA4" w:rsidRPr="00F43DF3" w:rsidRDefault="00612BA4" w:rsidP="000B2955">
            <w:pPr>
              <w:pStyle w:val="Tabletext"/>
              <w:jc w:val="both"/>
              <w:rPr>
                <w:rFonts w:asciiTheme="minorHAnsi" w:hAnsiTheme="minorHAnsi"/>
                <w:szCs w:val="20"/>
              </w:rPr>
            </w:pPr>
            <w:r w:rsidRPr="00F43DF3">
              <w:rPr>
                <w:rFonts w:asciiTheme="minorHAnsi" w:hAnsiTheme="minorHAnsi"/>
                <w:szCs w:val="20"/>
              </w:rPr>
              <w:t>Potencia de ruido admisible en el circuito ficticio de referencia para la telefonía con multiplaje por distribución de frecuencia en el servicio fijo por satélite</w:t>
            </w:r>
          </w:p>
        </w:tc>
      </w:tr>
      <w:tr w:rsidR="00612BA4" w:rsidRPr="00612BA4"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612BA4" w:rsidRDefault="00612BA4" w:rsidP="000B2955">
            <w:pPr>
              <w:pStyle w:val="Tabletext"/>
              <w:jc w:val="center"/>
              <w:rPr>
                <w:rFonts w:eastAsia="SimSun"/>
                <w:szCs w:val="20"/>
                <w:lang w:val="fr-CH"/>
              </w:rPr>
            </w:pPr>
            <w:r>
              <w:t>S.464-2</w:t>
            </w:r>
          </w:p>
        </w:tc>
        <w:tc>
          <w:tcPr>
            <w:tcW w:w="7479" w:type="dxa"/>
            <w:tcBorders>
              <w:top w:val="single" w:sz="4" w:space="0" w:color="auto"/>
              <w:left w:val="single" w:sz="4" w:space="0" w:color="auto"/>
              <w:bottom w:val="single" w:sz="4" w:space="0" w:color="auto"/>
              <w:right w:val="single" w:sz="4" w:space="0" w:color="auto"/>
            </w:tcBorders>
          </w:tcPr>
          <w:p w:rsidR="00612BA4" w:rsidRPr="00F43DF3" w:rsidRDefault="00612BA4" w:rsidP="000B2955">
            <w:pPr>
              <w:pStyle w:val="Tabletext"/>
              <w:jc w:val="both"/>
              <w:rPr>
                <w:rFonts w:asciiTheme="minorHAnsi" w:hAnsiTheme="minorHAnsi"/>
                <w:szCs w:val="20"/>
              </w:rPr>
            </w:pPr>
            <w:r w:rsidRPr="00F43DF3">
              <w:rPr>
                <w:rFonts w:asciiTheme="minorHAnsi" w:hAnsiTheme="minorHAnsi"/>
                <w:szCs w:val="20"/>
              </w:rPr>
              <w:t>Características de preacentuación para los sistemas con modulación de frecuencia para telefonía con multiplaje por distribución de frecuencia en el servicio fijo por satélite</w:t>
            </w:r>
          </w:p>
        </w:tc>
      </w:tr>
      <w:tr w:rsidR="00612BA4" w:rsidRPr="00612BA4"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612BA4" w:rsidRDefault="00612BA4" w:rsidP="000B2955">
            <w:pPr>
              <w:pStyle w:val="Tabletext"/>
              <w:jc w:val="center"/>
            </w:pPr>
            <w:r>
              <w:t>S.481-2</w:t>
            </w:r>
          </w:p>
        </w:tc>
        <w:tc>
          <w:tcPr>
            <w:tcW w:w="7479" w:type="dxa"/>
            <w:tcBorders>
              <w:top w:val="single" w:sz="4" w:space="0" w:color="auto"/>
              <w:left w:val="single" w:sz="4" w:space="0" w:color="auto"/>
              <w:bottom w:val="single" w:sz="4" w:space="0" w:color="auto"/>
              <w:right w:val="single" w:sz="4" w:space="0" w:color="auto"/>
            </w:tcBorders>
          </w:tcPr>
          <w:p w:rsidR="00612BA4" w:rsidRPr="00F43DF3" w:rsidRDefault="00612BA4" w:rsidP="000B2955">
            <w:pPr>
              <w:pStyle w:val="Tabletext"/>
              <w:jc w:val="both"/>
              <w:rPr>
                <w:rFonts w:asciiTheme="minorHAnsi" w:hAnsiTheme="minorHAnsi"/>
                <w:szCs w:val="20"/>
              </w:rPr>
            </w:pPr>
            <w:r w:rsidRPr="00F43DF3">
              <w:rPr>
                <w:rFonts w:asciiTheme="minorHAnsi" w:hAnsiTheme="minorHAnsi"/>
                <w:szCs w:val="20"/>
              </w:rPr>
              <w:t>Mediciones de ruido en tráfico real para sistemas del servicio fijo por satélite para telefonía con multiplaje por distribución de frecuencia</w:t>
            </w:r>
          </w:p>
        </w:tc>
      </w:tr>
      <w:tr w:rsidR="00612BA4" w:rsidRPr="00612BA4" w:rsidTr="000B2955">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612BA4" w:rsidRDefault="00612BA4" w:rsidP="000B2955">
            <w:pPr>
              <w:pStyle w:val="Tabletext"/>
              <w:jc w:val="center"/>
            </w:pPr>
            <w:r>
              <w:t>S.482-2</w:t>
            </w:r>
          </w:p>
        </w:tc>
        <w:tc>
          <w:tcPr>
            <w:tcW w:w="7479" w:type="dxa"/>
            <w:tcBorders>
              <w:top w:val="single" w:sz="4" w:space="0" w:color="auto"/>
              <w:left w:val="single" w:sz="4" w:space="0" w:color="auto"/>
              <w:bottom w:val="single" w:sz="4" w:space="0" w:color="auto"/>
              <w:right w:val="single" w:sz="4" w:space="0" w:color="auto"/>
            </w:tcBorders>
          </w:tcPr>
          <w:p w:rsidR="00612BA4" w:rsidRPr="00F43DF3" w:rsidRDefault="00612BA4" w:rsidP="000B2955">
            <w:pPr>
              <w:pStyle w:val="Tabletext"/>
              <w:jc w:val="both"/>
              <w:rPr>
                <w:rFonts w:asciiTheme="minorHAnsi" w:hAnsiTheme="minorHAnsi"/>
                <w:szCs w:val="20"/>
              </w:rPr>
            </w:pPr>
            <w:r w:rsidRPr="00F43DF3">
              <w:rPr>
                <w:rFonts w:asciiTheme="minorHAnsi" w:hAnsiTheme="minorHAnsi"/>
                <w:szCs w:val="20"/>
              </w:rPr>
              <w:t>Medición de la calidad de funcionamiento mediante una señal de espectro continuo uniforme en sistemas para telefonía con multiplaje por distribución de frecuencia en el servicio fijo por satélite</w:t>
            </w:r>
          </w:p>
        </w:tc>
      </w:tr>
    </w:tbl>
    <w:p w:rsidR="00612BA4" w:rsidRPr="00612BA4" w:rsidRDefault="00612BA4" w:rsidP="000C4E7D"/>
    <w:p w:rsidR="00CE6299" w:rsidRPr="000C4E7D" w:rsidRDefault="00CE6299" w:rsidP="00BF49D2">
      <w:pPr>
        <w:jc w:val="center"/>
      </w:pPr>
      <w:r w:rsidRPr="000C4E7D">
        <w:t>________________</w:t>
      </w:r>
    </w:p>
    <w:sectPr w:rsidR="00CE6299" w:rsidRPr="000C4E7D"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654EA" w:rsidRDefault="00026CF8" w:rsidP="0041334A">
    <w:pPr>
      <w:pStyle w:val="Header"/>
      <w:rPr>
        <w:sz w:val="18"/>
        <w:szCs w:val="18"/>
      </w:rPr>
    </w:pPr>
    <w:r>
      <w:tab/>
    </w:r>
    <w:r>
      <w:tab/>
    </w:r>
    <w:r w:rsidR="00A654EA" w:rsidRPr="00A654EA">
      <w:rPr>
        <w:sz w:val="18"/>
        <w:szCs w:val="18"/>
      </w:rPr>
      <w:t xml:space="preserve">- </w:t>
    </w:r>
    <w:r w:rsidRPr="00A654EA">
      <w:rPr>
        <w:rStyle w:val="PageNumber"/>
        <w:rFonts w:cs="Calibri"/>
        <w:sz w:val="18"/>
        <w:szCs w:val="18"/>
      </w:rPr>
      <w:fldChar w:fldCharType="begin"/>
    </w:r>
    <w:r w:rsidRPr="00A654EA">
      <w:rPr>
        <w:rStyle w:val="PageNumber"/>
        <w:rFonts w:cs="Calibri"/>
        <w:sz w:val="18"/>
        <w:szCs w:val="18"/>
      </w:rPr>
      <w:instrText xml:space="preserve"> PAGE </w:instrText>
    </w:r>
    <w:r w:rsidRPr="00A654EA">
      <w:rPr>
        <w:rStyle w:val="PageNumber"/>
        <w:rFonts w:cs="Calibri"/>
        <w:sz w:val="18"/>
        <w:szCs w:val="18"/>
      </w:rPr>
      <w:fldChar w:fldCharType="separate"/>
    </w:r>
    <w:r w:rsidR="00456489">
      <w:rPr>
        <w:rStyle w:val="PageNumber"/>
        <w:rFonts w:cs="Calibri"/>
        <w:noProof/>
        <w:sz w:val="18"/>
        <w:szCs w:val="18"/>
      </w:rPr>
      <w:t>4</w:t>
    </w:r>
    <w:r w:rsidRPr="00A654EA">
      <w:rPr>
        <w:rStyle w:val="PageNumber"/>
        <w:rFonts w:cs="Calibri"/>
        <w:sz w:val="18"/>
        <w:szCs w:val="18"/>
      </w:rPr>
      <w:fldChar w:fldCharType="end"/>
    </w:r>
    <w:r w:rsidR="00A654EA" w:rsidRPr="00A654EA">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AF3325" w:rsidRDefault="00AD1140" w:rsidP="00AD1140">
    <w:pPr>
      <w:pStyle w:val="Header"/>
    </w:pPr>
    <w:r>
      <w:ptab w:relativeTo="margin" w:alignment="center" w:leader="none"/>
    </w:r>
    <w:r w:rsidR="00A654EA" w:rsidRPr="00A654EA">
      <w:rPr>
        <w:sz w:val="18"/>
        <w:szCs w:val="18"/>
      </w:rPr>
      <w:t xml:space="preserve">- </w:t>
    </w:r>
    <w:r w:rsidRPr="00A654EA">
      <w:rPr>
        <w:sz w:val="18"/>
        <w:szCs w:val="18"/>
      </w:rPr>
      <w:fldChar w:fldCharType="begin"/>
    </w:r>
    <w:r w:rsidRPr="00A654EA">
      <w:rPr>
        <w:sz w:val="18"/>
        <w:szCs w:val="18"/>
      </w:rPr>
      <w:instrText xml:space="preserve"> PAGE   \* MERGEFORMAT </w:instrText>
    </w:r>
    <w:r w:rsidRPr="00A654EA">
      <w:rPr>
        <w:sz w:val="18"/>
        <w:szCs w:val="18"/>
      </w:rPr>
      <w:fldChar w:fldCharType="separate"/>
    </w:r>
    <w:r w:rsidR="00456489">
      <w:rPr>
        <w:noProof/>
        <w:sz w:val="18"/>
        <w:szCs w:val="18"/>
      </w:rPr>
      <w:t>3</w:t>
    </w:r>
    <w:r w:rsidRPr="00A654EA">
      <w:rPr>
        <w:noProof/>
        <w:sz w:val="18"/>
        <w:szCs w:val="18"/>
      </w:rPr>
      <w:fldChar w:fldCharType="end"/>
    </w:r>
    <w:r w:rsidR="00A654EA" w:rsidRPr="00A654EA">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0D9DDC9E" wp14:editId="7C2547DA">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B732A"/>
    <w:rsid w:val="000C03C7"/>
    <w:rsid w:val="000C4E7D"/>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240B2"/>
    <w:rsid w:val="00235A29"/>
    <w:rsid w:val="00251766"/>
    <w:rsid w:val="002861E6"/>
    <w:rsid w:val="00290AEE"/>
    <w:rsid w:val="002A2700"/>
    <w:rsid w:val="002C54C3"/>
    <w:rsid w:val="002D6688"/>
    <w:rsid w:val="002E1472"/>
    <w:rsid w:val="002F0890"/>
    <w:rsid w:val="003370B8"/>
    <w:rsid w:val="003666FF"/>
    <w:rsid w:val="003741EE"/>
    <w:rsid w:val="003B2BDA"/>
    <w:rsid w:val="003B55EC"/>
    <w:rsid w:val="003C4471"/>
    <w:rsid w:val="003E504F"/>
    <w:rsid w:val="0041334A"/>
    <w:rsid w:val="004326DB"/>
    <w:rsid w:val="0043682E"/>
    <w:rsid w:val="00456489"/>
    <w:rsid w:val="00460CEC"/>
    <w:rsid w:val="00467117"/>
    <w:rsid w:val="004815EB"/>
    <w:rsid w:val="00496920"/>
    <w:rsid w:val="004A28B6"/>
    <w:rsid w:val="004B7C9A"/>
    <w:rsid w:val="004E0DC4"/>
    <w:rsid w:val="004E0FB5"/>
    <w:rsid w:val="004E43BB"/>
    <w:rsid w:val="004F178E"/>
    <w:rsid w:val="004F6466"/>
    <w:rsid w:val="00505309"/>
    <w:rsid w:val="0050789B"/>
    <w:rsid w:val="00512795"/>
    <w:rsid w:val="00515771"/>
    <w:rsid w:val="00542A47"/>
    <w:rsid w:val="00543DF8"/>
    <w:rsid w:val="00546101"/>
    <w:rsid w:val="00553DD7"/>
    <w:rsid w:val="005558BD"/>
    <w:rsid w:val="0057469A"/>
    <w:rsid w:val="00577A01"/>
    <w:rsid w:val="00580814"/>
    <w:rsid w:val="005A03A3"/>
    <w:rsid w:val="005B214C"/>
    <w:rsid w:val="00602D53"/>
    <w:rsid w:val="00612BA4"/>
    <w:rsid w:val="00651777"/>
    <w:rsid w:val="00674F4F"/>
    <w:rsid w:val="006B0590"/>
    <w:rsid w:val="006B49DA"/>
    <w:rsid w:val="006C04E0"/>
    <w:rsid w:val="00700636"/>
    <w:rsid w:val="00707216"/>
    <w:rsid w:val="00712C78"/>
    <w:rsid w:val="007234B1"/>
    <w:rsid w:val="00730B9A"/>
    <w:rsid w:val="00783681"/>
    <w:rsid w:val="007921A7"/>
    <w:rsid w:val="007A5C27"/>
    <w:rsid w:val="007B0592"/>
    <w:rsid w:val="007B3DB1"/>
    <w:rsid w:val="007D183E"/>
    <w:rsid w:val="007E304D"/>
    <w:rsid w:val="007E3F13"/>
    <w:rsid w:val="007E59D7"/>
    <w:rsid w:val="00800012"/>
    <w:rsid w:val="0081513E"/>
    <w:rsid w:val="00823210"/>
    <w:rsid w:val="00843445"/>
    <w:rsid w:val="00847D46"/>
    <w:rsid w:val="00854131"/>
    <w:rsid w:val="0085652D"/>
    <w:rsid w:val="00865A1D"/>
    <w:rsid w:val="0087694B"/>
    <w:rsid w:val="008D2FCD"/>
    <w:rsid w:val="008E03C2"/>
    <w:rsid w:val="008F4F21"/>
    <w:rsid w:val="00904D4A"/>
    <w:rsid w:val="009151BA"/>
    <w:rsid w:val="009277BC"/>
    <w:rsid w:val="00927D57"/>
    <w:rsid w:val="00941D23"/>
    <w:rsid w:val="0095010C"/>
    <w:rsid w:val="00963D9D"/>
    <w:rsid w:val="009646AF"/>
    <w:rsid w:val="00972264"/>
    <w:rsid w:val="00976AAD"/>
    <w:rsid w:val="00981B54"/>
    <w:rsid w:val="009842C3"/>
    <w:rsid w:val="009A6BB6"/>
    <w:rsid w:val="009B3F43"/>
    <w:rsid w:val="009C161F"/>
    <w:rsid w:val="009C7017"/>
    <w:rsid w:val="009E4AEC"/>
    <w:rsid w:val="009E5BD8"/>
    <w:rsid w:val="009E681E"/>
    <w:rsid w:val="00A000AD"/>
    <w:rsid w:val="00A05186"/>
    <w:rsid w:val="00A34D6F"/>
    <w:rsid w:val="00A369C5"/>
    <w:rsid w:val="00A41F91"/>
    <w:rsid w:val="00A654EA"/>
    <w:rsid w:val="00A82C32"/>
    <w:rsid w:val="00A963DF"/>
    <w:rsid w:val="00A9747B"/>
    <w:rsid w:val="00AC3896"/>
    <w:rsid w:val="00AD1140"/>
    <w:rsid w:val="00AE6CFA"/>
    <w:rsid w:val="00AF3325"/>
    <w:rsid w:val="00B34CF9"/>
    <w:rsid w:val="00B67004"/>
    <w:rsid w:val="00B90C45"/>
    <w:rsid w:val="00B933BE"/>
    <w:rsid w:val="00BB4069"/>
    <w:rsid w:val="00BD38D8"/>
    <w:rsid w:val="00BD7E5E"/>
    <w:rsid w:val="00BD7FF7"/>
    <w:rsid w:val="00BE6574"/>
    <w:rsid w:val="00BF49D2"/>
    <w:rsid w:val="00C57E2C"/>
    <w:rsid w:val="00C608B7"/>
    <w:rsid w:val="00C66F24"/>
    <w:rsid w:val="00C764BA"/>
    <w:rsid w:val="00C9291E"/>
    <w:rsid w:val="00CA3F44"/>
    <w:rsid w:val="00CA4E58"/>
    <w:rsid w:val="00CA5FE6"/>
    <w:rsid w:val="00CB3771"/>
    <w:rsid w:val="00CB5153"/>
    <w:rsid w:val="00CC0DA0"/>
    <w:rsid w:val="00CD0E47"/>
    <w:rsid w:val="00CE6299"/>
    <w:rsid w:val="00CF6752"/>
    <w:rsid w:val="00D10BA0"/>
    <w:rsid w:val="00D10E05"/>
    <w:rsid w:val="00D2339B"/>
    <w:rsid w:val="00D24EB5"/>
    <w:rsid w:val="00D41571"/>
    <w:rsid w:val="00D416A0"/>
    <w:rsid w:val="00D47672"/>
    <w:rsid w:val="00D5123C"/>
    <w:rsid w:val="00D51C9E"/>
    <w:rsid w:val="00D55560"/>
    <w:rsid w:val="00D6191B"/>
    <w:rsid w:val="00D61C5A"/>
    <w:rsid w:val="00DB3A18"/>
    <w:rsid w:val="00DE66A5"/>
    <w:rsid w:val="00DF2B50"/>
    <w:rsid w:val="00E003F5"/>
    <w:rsid w:val="00E010B8"/>
    <w:rsid w:val="00E04C86"/>
    <w:rsid w:val="00E20F30"/>
    <w:rsid w:val="00E27BBA"/>
    <w:rsid w:val="00E34CD1"/>
    <w:rsid w:val="00E35E8F"/>
    <w:rsid w:val="00E414E0"/>
    <w:rsid w:val="00E438E8"/>
    <w:rsid w:val="00E520E2"/>
    <w:rsid w:val="00E64254"/>
    <w:rsid w:val="00EA15B3"/>
    <w:rsid w:val="00EB2358"/>
    <w:rsid w:val="00EB3EB8"/>
    <w:rsid w:val="00ED7997"/>
    <w:rsid w:val="00F1226E"/>
    <w:rsid w:val="00F42C8C"/>
    <w:rsid w:val="00F43DF3"/>
    <w:rsid w:val="00F468C5"/>
    <w:rsid w:val="00F52F39"/>
    <w:rsid w:val="00F55EAB"/>
    <w:rsid w:val="00F852E7"/>
    <w:rsid w:val="00F914DD"/>
    <w:rsid w:val="00F938C0"/>
    <w:rsid w:val="00FA2358"/>
    <w:rsid w:val="00FB2592"/>
    <w:rsid w:val="00FB2810"/>
    <w:rsid w:val="00FC2947"/>
    <w:rsid w:val="00FE0818"/>
    <w:rsid w:val="00FF701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customStyle="1" w:styleId="TableheadChar">
    <w:name w:val="Table_head Char"/>
    <w:basedOn w:val="DefaultParagraphFont"/>
    <w:link w:val="Tablehead"/>
    <w:uiPriority w:val="99"/>
    <w:locked/>
    <w:rsid w:val="00612BA4"/>
    <w:rPr>
      <w:b/>
      <w:szCs w:val="22"/>
      <w:lang w:val="es-ES_tradnl" w:eastAsia="en-US"/>
    </w:rPr>
  </w:style>
  <w:style w:type="character" w:customStyle="1" w:styleId="TabletextChar">
    <w:name w:val="Table_text Char"/>
    <w:link w:val="Tabletext"/>
    <w:locked/>
    <w:rsid w:val="00612BA4"/>
    <w:rPr>
      <w:szCs w:val="22"/>
      <w:lang w:val="es-ES_tradnl" w:eastAsia="en-US"/>
    </w:rPr>
  </w:style>
  <w:style w:type="table" w:styleId="TableGrid">
    <w:name w:val="Table Grid"/>
    <w:basedOn w:val="TableNormal"/>
    <w:rsid w:val="00612B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10E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styleId="FollowedHyperlink">
    <w:name w:val="FollowedHyperlink"/>
    <w:basedOn w:val="DefaultParagraphFont"/>
    <w:rsid w:val="00A369C5"/>
    <w:rPr>
      <w:color w:val="800080" w:themeColor="followedHyperlink"/>
      <w:u w:val="single"/>
    </w:rPr>
  </w:style>
  <w:style w:type="character" w:customStyle="1" w:styleId="NormalaftertitleChar">
    <w:name w:val="Normal_after_title Char"/>
    <w:basedOn w:val="DefaultParagraphFont"/>
    <w:link w:val="Normalaftertitle"/>
    <w:uiPriority w:val="99"/>
    <w:rsid w:val="00972264"/>
    <w:rPr>
      <w:sz w:val="22"/>
      <w:szCs w:val="22"/>
      <w:lang w:val="es-ES_tradnl" w:eastAsia="en-US"/>
    </w:rPr>
  </w:style>
  <w:style w:type="paragraph" w:customStyle="1" w:styleId="AnnexNotitle0">
    <w:name w:val="Annex_No &amp; title"/>
    <w:basedOn w:val="Normal"/>
    <w:next w:val="Normalaftertitle"/>
    <w:rsid w:val="00CE6299"/>
    <w:pPr>
      <w:keepNext/>
      <w:keepLines/>
      <w:spacing w:before="480" w:line="240" w:lineRule="auto"/>
      <w:jc w:val="center"/>
    </w:pPr>
    <w:rPr>
      <w:rFonts w:ascii="Times New Roman" w:hAnsi="Times New Roman" w:cs="Times New Roman"/>
      <w:b/>
      <w:sz w:val="28"/>
      <w:szCs w:val="20"/>
    </w:rPr>
  </w:style>
  <w:style w:type="character" w:customStyle="1" w:styleId="TableheadChar">
    <w:name w:val="Table_head Char"/>
    <w:basedOn w:val="DefaultParagraphFont"/>
    <w:link w:val="Tablehead"/>
    <w:uiPriority w:val="99"/>
    <w:locked/>
    <w:rsid w:val="00612BA4"/>
    <w:rPr>
      <w:b/>
      <w:szCs w:val="22"/>
      <w:lang w:val="es-ES_tradnl" w:eastAsia="en-US"/>
    </w:rPr>
  </w:style>
  <w:style w:type="character" w:customStyle="1" w:styleId="TabletextChar">
    <w:name w:val="Table_text Char"/>
    <w:link w:val="Tabletext"/>
    <w:locked/>
    <w:rsid w:val="00612BA4"/>
    <w:rPr>
      <w:szCs w:val="22"/>
      <w:lang w:val="es-ES_tradnl" w:eastAsia="en-US"/>
    </w:rPr>
  </w:style>
  <w:style w:type="table" w:styleId="TableGrid">
    <w:name w:val="Table Grid"/>
    <w:basedOn w:val="TableNormal"/>
    <w:rsid w:val="00612B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10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tu.int/md/R12-SG04-C-0069/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12-SG04-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27</TotalTime>
  <Pages>4</Pages>
  <Words>969</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ITU</cp:lastModifiedBy>
  <cp:revision>7</cp:revision>
  <cp:lastPrinted>2014-07-29T08:06:00Z</cp:lastPrinted>
  <dcterms:created xsi:type="dcterms:W3CDTF">2014-07-21T12:34:00Z</dcterms:created>
  <dcterms:modified xsi:type="dcterms:W3CDTF">2014-07-29T08:06:00Z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