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76"/>
        <w:gridCol w:w="108"/>
        <w:gridCol w:w="3685"/>
        <w:gridCol w:w="284"/>
        <w:gridCol w:w="4536"/>
      </w:tblGrid>
      <w:tr w:rsidR="00EA15B3" w:rsidRPr="00F42C8C" w:rsidTr="00EA15B3">
        <w:tc>
          <w:tcPr>
            <w:tcW w:w="9889" w:type="dxa"/>
            <w:gridSpan w:val="5"/>
            <w:shd w:val="clear" w:color="auto" w:fill="auto"/>
          </w:tcPr>
          <w:p w:rsidR="00EA15B3" w:rsidRPr="004D5CB1" w:rsidRDefault="004D5CB1" w:rsidP="00F914DD">
            <w:pPr>
              <w:jc w:val="left"/>
              <w:rPr>
                <w:b/>
                <w:bCs/>
                <w:color w:val="808080"/>
                <w:sz w:val="28"/>
                <w:szCs w:val="28"/>
              </w:rPr>
            </w:pPr>
            <w:bookmarkStart w:id="0" w:name="Logo"/>
            <w:bookmarkStart w:id="1" w:name="Origine"/>
            <w:bookmarkEnd w:id="0"/>
            <w:bookmarkEnd w:id="1"/>
            <w:r w:rsidRPr="004D5CB1">
              <w:rPr>
                <w:b/>
                <w:bCs/>
                <w:color w:val="808080"/>
                <w:sz w:val="28"/>
                <w:szCs w:val="28"/>
              </w:rPr>
              <w:t>Oficina de Radiocomunicaciones (BR)</w:t>
            </w:r>
          </w:p>
        </w:tc>
      </w:tr>
      <w:tr w:rsidR="00EA15B3" w:rsidRPr="00F42C8C" w:rsidTr="00EA15B3">
        <w:tc>
          <w:tcPr>
            <w:tcW w:w="9889" w:type="dxa"/>
            <w:gridSpan w:val="5"/>
            <w:shd w:val="clear" w:color="auto" w:fill="auto"/>
          </w:tcPr>
          <w:p w:rsidR="00EA15B3" w:rsidRPr="00F42C8C" w:rsidRDefault="00EA15B3" w:rsidP="00EA15B3">
            <w:pPr>
              <w:jc w:val="left"/>
            </w:pPr>
          </w:p>
        </w:tc>
      </w:tr>
      <w:tr w:rsidR="00651777" w:rsidRPr="00F42C8C" w:rsidTr="00651777">
        <w:tc>
          <w:tcPr>
            <w:tcW w:w="5353" w:type="dxa"/>
            <w:gridSpan w:val="4"/>
            <w:shd w:val="clear" w:color="auto" w:fill="auto"/>
          </w:tcPr>
          <w:p w:rsidR="00651777" w:rsidRPr="009833B6" w:rsidRDefault="009833B6" w:rsidP="00651777">
            <w:pPr>
              <w:jc w:val="left"/>
              <w:rPr>
                <w:sz w:val="24"/>
                <w:szCs w:val="24"/>
              </w:rPr>
            </w:pPr>
            <w:r w:rsidRPr="009833B6">
              <w:rPr>
                <w:sz w:val="24"/>
                <w:szCs w:val="24"/>
              </w:rPr>
              <w:t>Circular Administrativa</w:t>
            </w:r>
            <w:r w:rsidRPr="009833B6">
              <w:rPr>
                <w:b/>
                <w:bCs/>
                <w:sz w:val="24"/>
                <w:szCs w:val="24"/>
              </w:rPr>
              <w:br/>
              <w:t>CACE/680</w:t>
            </w:r>
          </w:p>
        </w:tc>
        <w:tc>
          <w:tcPr>
            <w:tcW w:w="4536" w:type="dxa"/>
            <w:shd w:val="clear" w:color="auto" w:fill="auto"/>
          </w:tcPr>
          <w:p w:rsidR="00651777" w:rsidRPr="009833B6" w:rsidRDefault="0093655B" w:rsidP="000E77A5">
            <w:pPr>
              <w:jc w:val="right"/>
              <w:rPr>
                <w:sz w:val="24"/>
                <w:szCs w:val="24"/>
              </w:rPr>
            </w:pPr>
            <w:sdt>
              <w:sdtPr>
                <w:rPr>
                  <w:rFonts w:cs="Arial"/>
                  <w:sz w:val="24"/>
                  <w:szCs w:val="24"/>
                </w:rPr>
                <w:alias w:val="Date"/>
                <w:tag w:val="Date"/>
                <w:id w:val="20922293"/>
                <w:lock w:val="sdtLocked"/>
                <w:placeholder>
                  <w:docPart w:val="D1BD0486870943DC88D8DBC002F34E70"/>
                </w:placeholder>
                <w:date w:fullDate="2014-07-25T00:00:00Z">
                  <w:dateFormat w:val="d' de 'MMMM' de 'yyyy"/>
                  <w:lid w:val="es-ES_tradnl"/>
                  <w:storeMappedDataAs w:val="date"/>
                  <w:calendar w:val="gregorian"/>
                </w:date>
              </w:sdtPr>
              <w:sdtEndPr/>
              <w:sdtContent>
                <w:r w:rsidR="009D6A5F">
                  <w:rPr>
                    <w:rFonts w:cs="Arial"/>
                    <w:sz w:val="24"/>
                    <w:szCs w:val="24"/>
                  </w:rPr>
                  <w:t>25 de julio de 2014</w:t>
                </w:r>
              </w:sdtContent>
            </w:sdt>
          </w:p>
        </w:tc>
      </w:tr>
      <w:tr w:rsidR="00651777" w:rsidRPr="00F42C8C" w:rsidTr="00651777">
        <w:tc>
          <w:tcPr>
            <w:tcW w:w="5353" w:type="dxa"/>
            <w:gridSpan w:val="4"/>
            <w:shd w:val="clear" w:color="auto" w:fill="auto"/>
          </w:tcPr>
          <w:p w:rsidR="00651777" w:rsidRPr="009833B6" w:rsidRDefault="00651777" w:rsidP="00B32530">
            <w:pPr>
              <w:tabs>
                <w:tab w:val="left" w:pos="7513"/>
              </w:tabs>
              <w:ind w:left="-57"/>
              <w:jc w:val="left"/>
              <w:rPr>
                <w:sz w:val="24"/>
                <w:szCs w:val="24"/>
              </w:rPr>
            </w:pPr>
          </w:p>
        </w:tc>
        <w:tc>
          <w:tcPr>
            <w:tcW w:w="4536" w:type="dxa"/>
            <w:shd w:val="clear" w:color="auto" w:fill="auto"/>
          </w:tcPr>
          <w:p w:rsidR="00651777" w:rsidRPr="009833B6" w:rsidRDefault="00651777" w:rsidP="00651777">
            <w:pPr>
              <w:jc w:val="left"/>
              <w:rPr>
                <w:rFonts w:cs="Arial"/>
                <w:sz w:val="24"/>
                <w:szCs w:val="24"/>
              </w:rPr>
            </w:pPr>
          </w:p>
        </w:tc>
      </w:tr>
      <w:tr w:rsidR="00854131" w:rsidRPr="00F42C8C" w:rsidTr="004D5CB1">
        <w:trPr>
          <w:trHeight w:val="221"/>
        </w:trPr>
        <w:tc>
          <w:tcPr>
            <w:tcW w:w="1276" w:type="dxa"/>
            <w:shd w:val="clear" w:color="auto" w:fill="auto"/>
          </w:tcPr>
          <w:p w:rsidR="00854131" w:rsidRPr="009833B6" w:rsidRDefault="00854131" w:rsidP="00651777">
            <w:pPr>
              <w:spacing w:before="0"/>
              <w:jc w:val="left"/>
              <w:rPr>
                <w:sz w:val="24"/>
                <w:szCs w:val="24"/>
              </w:rPr>
            </w:pPr>
          </w:p>
        </w:tc>
        <w:tc>
          <w:tcPr>
            <w:tcW w:w="3793" w:type="dxa"/>
            <w:gridSpan w:val="2"/>
            <w:shd w:val="clear" w:color="auto" w:fill="auto"/>
          </w:tcPr>
          <w:p w:rsidR="00854131" w:rsidRPr="009833B6" w:rsidRDefault="00854131" w:rsidP="00651777">
            <w:pPr>
              <w:spacing w:before="0"/>
              <w:jc w:val="left"/>
              <w:rPr>
                <w:sz w:val="24"/>
                <w:szCs w:val="24"/>
              </w:rPr>
            </w:pPr>
            <w:bookmarkStart w:id="2" w:name="Contact"/>
            <w:bookmarkEnd w:id="2"/>
          </w:p>
        </w:tc>
        <w:tc>
          <w:tcPr>
            <w:tcW w:w="284" w:type="dxa"/>
            <w:shd w:val="clear" w:color="auto" w:fill="auto"/>
          </w:tcPr>
          <w:p w:rsidR="00854131" w:rsidRPr="009833B6" w:rsidRDefault="00854131" w:rsidP="00651777">
            <w:pPr>
              <w:spacing w:before="0"/>
              <w:rPr>
                <w:sz w:val="24"/>
                <w:szCs w:val="24"/>
              </w:rPr>
            </w:pPr>
          </w:p>
        </w:tc>
        <w:tc>
          <w:tcPr>
            <w:tcW w:w="4536" w:type="dxa"/>
            <w:shd w:val="clear" w:color="auto" w:fill="auto"/>
          </w:tcPr>
          <w:p w:rsidR="00854131" w:rsidRPr="009833B6" w:rsidRDefault="00854131" w:rsidP="00651777">
            <w:pPr>
              <w:spacing w:before="0"/>
              <w:rPr>
                <w:sz w:val="24"/>
                <w:szCs w:val="24"/>
              </w:rPr>
            </w:pPr>
          </w:p>
        </w:tc>
      </w:tr>
      <w:tr w:rsidR="00B32530" w:rsidRPr="00F42C8C" w:rsidTr="002F4880">
        <w:trPr>
          <w:trHeight w:val="221"/>
        </w:trPr>
        <w:tc>
          <w:tcPr>
            <w:tcW w:w="9889" w:type="dxa"/>
            <w:gridSpan w:val="5"/>
            <w:shd w:val="clear" w:color="auto" w:fill="auto"/>
            <w:vAlign w:val="center"/>
          </w:tcPr>
          <w:p w:rsidR="002F4880" w:rsidRPr="009833B6" w:rsidRDefault="002F4880" w:rsidP="002F4880">
            <w:pPr>
              <w:tabs>
                <w:tab w:val="left" w:pos="7513"/>
              </w:tabs>
              <w:spacing w:before="0"/>
              <w:jc w:val="left"/>
              <w:rPr>
                <w:b/>
                <w:sz w:val="24"/>
                <w:szCs w:val="24"/>
              </w:rPr>
            </w:pPr>
          </w:p>
          <w:p w:rsidR="00B32530" w:rsidRPr="009833B6" w:rsidRDefault="00B32530" w:rsidP="0093655B">
            <w:pPr>
              <w:tabs>
                <w:tab w:val="left" w:pos="7513"/>
              </w:tabs>
              <w:spacing w:before="0"/>
              <w:jc w:val="left"/>
              <w:rPr>
                <w:b/>
                <w:sz w:val="24"/>
                <w:szCs w:val="24"/>
              </w:rPr>
            </w:pPr>
            <w:r w:rsidRPr="009833B6">
              <w:rPr>
                <w:b/>
                <w:sz w:val="24"/>
                <w:szCs w:val="24"/>
              </w:rPr>
              <w:t>A las Administraciones de los Estados Miembros de la UIT</w:t>
            </w:r>
            <w:r w:rsidR="0016770C">
              <w:rPr>
                <w:b/>
                <w:sz w:val="24"/>
                <w:szCs w:val="24"/>
              </w:rPr>
              <w:t>,</w:t>
            </w:r>
            <w:r w:rsidRPr="009833B6">
              <w:rPr>
                <w:b/>
                <w:sz w:val="24"/>
                <w:szCs w:val="24"/>
              </w:rPr>
              <w:t xml:space="preserve"> a los Miembros </w:t>
            </w:r>
            <w:r w:rsidR="0016770C">
              <w:rPr>
                <w:b/>
                <w:sz w:val="24"/>
                <w:szCs w:val="24"/>
              </w:rPr>
              <w:t>del Sector de Radioc</w:t>
            </w:r>
            <w:r w:rsidR="0093655B">
              <w:rPr>
                <w:b/>
                <w:sz w:val="24"/>
                <w:szCs w:val="24"/>
              </w:rPr>
              <w:t>o</w:t>
            </w:r>
            <w:bookmarkStart w:id="3" w:name="_GoBack"/>
            <w:bookmarkEnd w:id="3"/>
            <w:r w:rsidR="0016770C">
              <w:rPr>
                <w:b/>
                <w:sz w:val="24"/>
                <w:szCs w:val="24"/>
              </w:rPr>
              <w:t xml:space="preserve">municaciones </w:t>
            </w:r>
            <w:r w:rsidRPr="009833B6">
              <w:rPr>
                <w:b/>
                <w:sz w:val="24"/>
                <w:szCs w:val="24"/>
              </w:rPr>
              <w:t xml:space="preserve">y </w:t>
            </w:r>
            <w:r w:rsidR="0016770C">
              <w:rPr>
                <w:b/>
                <w:sz w:val="24"/>
                <w:szCs w:val="24"/>
              </w:rPr>
              <w:t xml:space="preserve">a los </w:t>
            </w:r>
            <w:r w:rsidRPr="009833B6">
              <w:rPr>
                <w:b/>
                <w:sz w:val="24"/>
                <w:szCs w:val="24"/>
              </w:rPr>
              <w:t xml:space="preserve">Asociados del </w:t>
            </w:r>
            <w:r w:rsidR="0016770C">
              <w:rPr>
                <w:b/>
                <w:sz w:val="24"/>
                <w:szCs w:val="24"/>
              </w:rPr>
              <w:t>UIT-R</w:t>
            </w:r>
            <w:r w:rsidRPr="009833B6">
              <w:rPr>
                <w:b/>
                <w:sz w:val="24"/>
                <w:szCs w:val="24"/>
              </w:rPr>
              <w:t xml:space="preserve"> que participan en los trabajos de las Comisiones de Estudio de Radiocomunicaciones</w:t>
            </w:r>
          </w:p>
          <w:p w:rsidR="002F4880" w:rsidRPr="009833B6" w:rsidRDefault="002F4880" w:rsidP="002F4880">
            <w:pPr>
              <w:tabs>
                <w:tab w:val="left" w:pos="7513"/>
              </w:tabs>
              <w:spacing w:before="0"/>
              <w:jc w:val="left"/>
              <w:rPr>
                <w:sz w:val="24"/>
                <w:szCs w:val="24"/>
              </w:rPr>
            </w:pPr>
          </w:p>
        </w:tc>
      </w:tr>
      <w:tr w:rsidR="00B32530" w:rsidRPr="00F42C8C" w:rsidTr="0093655B">
        <w:tc>
          <w:tcPr>
            <w:tcW w:w="1384" w:type="dxa"/>
            <w:gridSpan w:val="2"/>
            <w:shd w:val="clear" w:color="auto" w:fill="auto"/>
          </w:tcPr>
          <w:p w:rsidR="00B32530" w:rsidRPr="009833B6" w:rsidRDefault="00B32530" w:rsidP="00B32530">
            <w:pPr>
              <w:tabs>
                <w:tab w:val="left" w:pos="7513"/>
              </w:tabs>
              <w:spacing w:before="0"/>
              <w:jc w:val="left"/>
              <w:rPr>
                <w:bCs/>
                <w:sz w:val="24"/>
                <w:szCs w:val="24"/>
              </w:rPr>
            </w:pPr>
            <w:r w:rsidRPr="009833B6">
              <w:rPr>
                <w:bCs/>
                <w:sz w:val="24"/>
                <w:szCs w:val="24"/>
              </w:rPr>
              <w:t>Asunto:</w:t>
            </w:r>
          </w:p>
        </w:tc>
        <w:tc>
          <w:tcPr>
            <w:tcW w:w="8505" w:type="dxa"/>
            <w:gridSpan w:val="3"/>
            <w:shd w:val="clear" w:color="auto" w:fill="auto"/>
          </w:tcPr>
          <w:p w:rsidR="00B32530" w:rsidRPr="009833B6" w:rsidRDefault="00B32530" w:rsidP="009D6A5F">
            <w:pPr>
              <w:tabs>
                <w:tab w:val="clear" w:pos="794"/>
                <w:tab w:val="clear" w:pos="1191"/>
                <w:tab w:val="clear" w:pos="1588"/>
                <w:tab w:val="clear" w:pos="1985"/>
                <w:tab w:val="left" w:pos="709"/>
              </w:tabs>
              <w:spacing w:before="0"/>
              <w:jc w:val="left"/>
              <w:rPr>
                <w:b/>
                <w:sz w:val="24"/>
                <w:szCs w:val="24"/>
              </w:rPr>
            </w:pPr>
            <w:r w:rsidRPr="009833B6">
              <w:rPr>
                <w:b/>
                <w:bCs/>
                <w:sz w:val="24"/>
                <w:szCs w:val="24"/>
              </w:rPr>
              <w:t xml:space="preserve">Reunión de la Comisión </w:t>
            </w:r>
            <w:r w:rsidRPr="009833B6">
              <w:rPr>
                <w:b/>
                <w:sz w:val="24"/>
                <w:szCs w:val="24"/>
              </w:rPr>
              <w:t>Especial para Asuntos Reglamentarios y de Procedimiento</w:t>
            </w:r>
            <w:r w:rsidRPr="009833B6">
              <w:rPr>
                <w:b/>
                <w:bCs/>
                <w:sz w:val="24"/>
                <w:szCs w:val="24"/>
              </w:rPr>
              <w:t>, Ginebra, 1-5 de diciembre de 2014</w:t>
            </w:r>
          </w:p>
        </w:tc>
      </w:tr>
    </w:tbl>
    <w:p w:rsidR="004D5CB1" w:rsidRPr="000E1E75" w:rsidRDefault="004D5CB1" w:rsidP="009833B6">
      <w:pPr>
        <w:pStyle w:val="Heading1"/>
        <w:spacing w:before="240"/>
      </w:pPr>
      <w:bookmarkStart w:id="4" w:name="CurrentLocation"/>
      <w:bookmarkStart w:id="5" w:name="dletter"/>
      <w:bookmarkStart w:id="6" w:name="dtitle1"/>
      <w:bookmarkEnd w:id="4"/>
      <w:bookmarkEnd w:id="5"/>
      <w:bookmarkEnd w:id="6"/>
      <w:r w:rsidRPr="000E1E75">
        <w:t>1</w:t>
      </w:r>
      <w:r w:rsidRPr="000E1E75">
        <w:tab/>
        <w:t>Introducción</w:t>
      </w:r>
    </w:p>
    <w:p w:rsidR="004D5CB1" w:rsidRPr="009833B6" w:rsidRDefault="004D5CB1" w:rsidP="00B116DE">
      <w:pPr>
        <w:rPr>
          <w:sz w:val="24"/>
          <w:szCs w:val="24"/>
        </w:rPr>
      </w:pPr>
      <w:r w:rsidRPr="009833B6">
        <w:rPr>
          <w:sz w:val="24"/>
          <w:szCs w:val="24"/>
        </w:rPr>
        <w:t xml:space="preserve">La Asamblea de Radiocomunicaciones de 2012 reexaminó las cuestiones relativas al estudio de los </w:t>
      </w:r>
      <w:r w:rsidR="000D2A26" w:rsidRPr="009833B6">
        <w:rPr>
          <w:sz w:val="24"/>
          <w:szCs w:val="24"/>
        </w:rPr>
        <w:t>A</w:t>
      </w:r>
      <w:r w:rsidRPr="009833B6">
        <w:rPr>
          <w:sz w:val="24"/>
          <w:szCs w:val="24"/>
        </w:rPr>
        <w:t xml:space="preserve">suntos </w:t>
      </w:r>
      <w:r w:rsidR="000D2A26" w:rsidRPr="009833B6">
        <w:rPr>
          <w:sz w:val="24"/>
          <w:szCs w:val="24"/>
        </w:rPr>
        <w:t>R</w:t>
      </w:r>
      <w:r w:rsidRPr="009833B6">
        <w:rPr>
          <w:sz w:val="24"/>
          <w:szCs w:val="24"/>
        </w:rPr>
        <w:t xml:space="preserve">eglamentarios y de </w:t>
      </w:r>
      <w:r w:rsidR="000D2A26" w:rsidRPr="009833B6">
        <w:rPr>
          <w:sz w:val="24"/>
          <w:szCs w:val="24"/>
        </w:rPr>
        <w:t>P</w:t>
      </w:r>
      <w:r w:rsidRPr="009833B6">
        <w:rPr>
          <w:sz w:val="24"/>
          <w:szCs w:val="24"/>
        </w:rPr>
        <w:t>rocedimiento y aprobó la Resolución UIT</w:t>
      </w:r>
      <w:r w:rsidRPr="009833B6">
        <w:rPr>
          <w:sz w:val="24"/>
          <w:szCs w:val="24"/>
        </w:rPr>
        <w:noBreakHyphen/>
        <w:t>R 38</w:t>
      </w:r>
      <w:r w:rsidRPr="009833B6">
        <w:rPr>
          <w:sz w:val="24"/>
          <w:szCs w:val="24"/>
        </w:rPr>
        <w:noBreakHyphen/>
        <w:t>4 en la que resolvió mantener la infraestructura de la Comisión Especial para Asuntos Reglamentarios y de Procedimiento o, abreviadamente, la Comisión Especial</w:t>
      </w:r>
      <w:r w:rsidR="00B116DE">
        <w:rPr>
          <w:sz w:val="24"/>
          <w:szCs w:val="24"/>
        </w:rPr>
        <w:t xml:space="preserve"> </w:t>
      </w:r>
      <w:r w:rsidRPr="009833B6">
        <w:rPr>
          <w:sz w:val="24"/>
          <w:szCs w:val="24"/>
        </w:rPr>
        <w:t>(SC).</w:t>
      </w:r>
    </w:p>
    <w:p w:rsidR="004D5CB1" w:rsidRPr="009833B6" w:rsidRDefault="004D5CB1" w:rsidP="009833B6">
      <w:pPr>
        <w:rPr>
          <w:sz w:val="24"/>
          <w:szCs w:val="24"/>
        </w:rPr>
      </w:pPr>
      <w:r w:rsidRPr="009833B6">
        <w:rPr>
          <w:sz w:val="24"/>
          <w:szCs w:val="24"/>
        </w:rPr>
        <w:t>Con arreglo a su Resolución 807, la Conferencia Mundial de Radiocomunicaciones de 2012 (CMR</w:t>
      </w:r>
      <w:r w:rsidRPr="009833B6">
        <w:rPr>
          <w:sz w:val="24"/>
          <w:szCs w:val="24"/>
        </w:rPr>
        <w:noBreakHyphen/>
        <w:t>12) resolvió además convocar la Reunión Preparatoria de la Conferencia de 2015 a fin de preparar la CMR-15.</w:t>
      </w:r>
    </w:p>
    <w:p w:rsidR="004D5CB1" w:rsidRPr="009833B6" w:rsidRDefault="004D5CB1" w:rsidP="00B116DE">
      <w:pPr>
        <w:rPr>
          <w:sz w:val="24"/>
          <w:szCs w:val="24"/>
        </w:rPr>
      </w:pPr>
      <w:r w:rsidRPr="009833B6">
        <w:rPr>
          <w:sz w:val="24"/>
          <w:szCs w:val="24"/>
        </w:rPr>
        <w:t xml:space="preserve">De acuerdo con lo dispuesto en el </w:t>
      </w:r>
      <w:r w:rsidRPr="009833B6">
        <w:rPr>
          <w:i/>
          <w:iCs/>
          <w:sz w:val="24"/>
          <w:szCs w:val="24"/>
        </w:rPr>
        <w:t>resuelve</w:t>
      </w:r>
      <w:r w:rsidRPr="009833B6">
        <w:rPr>
          <w:sz w:val="24"/>
          <w:szCs w:val="24"/>
        </w:rPr>
        <w:t xml:space="preserve"> 2 de la Resolución UIT-R 38-4, la primera sesión de la Reunión Preparatoria de la Conferencia de 2015 (RPC15</w:t>
      </w:r>
      <w:r w:rsidRPr="009833B6">
        <w:rPr>
          <w:sz w:val="24"/>
          <w:szCs w:val="24"/>
        </w:rPr>
        <w:noBreakHyphen/>
        <w:t>1, Ginebra, 20-21</w:t>
      </w:r>
      <w:r w:rsidR="00B116DE">
        <w:rPr>
          <w:sz w:val="24"/>
          <w:szCs w:val="24"/>
        </w:rPr>
        <w:t xml:space="preserve"> </w:t>
      </w:r>
      <w:r w:rsidRPr="009833B6">
        <w:rPr>
          <w:sz w:val="24"/>
          <w:szCs w:val="24"/>
        </w:rPr>
        <w:t xml:space="preserve">de febrero de 2012) convocó a la Comisión Especial y le asignó tareas de carácter </w:t>
      </w:r>
      <w:r w:rsidR="0016770C" w:rsidRPr="009833B6">
        <w:rPr>
          <w:sz w:val="24"/>
          <w:szCs w:val="24"/>
        </w:rPr>
        <w:t xml:space="preserve">Reglamentario </w:t>
      </w:r>
      <w:r w:rsidRPr="009833B6">
        <w:rPr>
          <w:sz w:val="24"/>
          <w:szCs w:val="24"/>
        </w:rPr>
        <w:t xml:space="preserve">y de </w:t>
      </w:r>
      <w:r w:rsidR="0016770C" w:rsidRPr="009833B6">
        <w:rPr>
          <w:sz w:val="24"/>
          <w:szCs w:val="24"/>
        </w:rPr>
        <w:t xml:space="preserve">Procedimiento </w:t>
      </w:r>
      <w:r w:rsidRPr="009833B6">
        <w:rPr>
          <w:sz w:val="24"/>
          <w:szCs w:val="24"/>
        </w:rPr>
        <w:t>(véase la Circular</w:t>
      </w:r>
      <w:r w:rsidR="00B116DE">
        <w:rPr>
          <w:sz w:val="24"/>
          <w:szCs w:val="24"/>
        </w:rPr>
        <w:t xml:space="preserve"> </w:t>
      </w:r>
      <w:r w:rsidRPr="009833B6">
        <w:rPr>
          <w:sz w:val="24"/>
          <w:szCs w:val="24"/>
        </w:rPr>
        <w:t xml:space="preserve">Administrativa CA/201 del 19 de </w:t>
      </w:r>
      <w:r w:rsidR="00B116DE">
        <w:rPr>
          <w:sz w:val="24"/>
          <w:szCs w:val="24"/>
        </w:rPr>
        <w:t xml:space="preserve">marzo de 2012 y su </w:t>
      </w:r>
      <w:r w:rsidR="0016770C">
        <w:rPr>
          <w:sz w:val="24"/>
          <w:szCs w:val="24"/>
        </w:rPr>
        <w:t xml:space="preserve">Addéndum </w:t>
      </w:r>
      <w:r w:rsidRPr="009833B6">
        <w:rPr>
          <w:sz w:val="24"/>
          <w:szCs w:val="24"/>
        </w:rPr>
        <w:t>1 del 15</w:t>
      </w:r>
      <w:r w:rsidR="00B116DE">
        <w:rPr>
          <w:sz w:val="24"/>
          <w:szCs w:val="24"/>
        </w:rPr>
        <w:t> </w:t>
      </w:r>
      <w:r w:rsidRPr="009833B6">
        <w:rPr>
          <w:sz w:val="24"/>
          <w:szCs w:val="24"/>
        </w:rPr>
        <w:t>de</w:t>
      </w:r>
      <w:r w:rsidR="00B116DE">
        <w:rPr>
          <w:sz w:val="24"/>
          <w:szCs w:val="24"/>
        </w:rPr>
        <w:t> </w:t>
      </w:r>
      <w:r w:rsidRPr="009833B6">
        <w:rPr>
          <w:sz w:val="24"/>
          <w:szCs w:val="24"/>
        </w:rPr>
        <w:t>enero de</w:t>
      </w:r>
      <w:r w:rsidR="00B116DE">
        <w:rPr>
          <w:sz w:val="24"/>
          <w:szCs w:val="24"/>
        </w:rPr>
        <w:t xml:space="preserve"> </w:t>
      </w:r>
      <w:r w:rsidRPr="009833B6">
        <w:rPr>
          <w:sz w:val="24"/>
          <w:szCs w:val="24"/>
        </w:rPr>
        <w:t>2013</w:t>
      </w:r>
      <w:r w:rsidR="0016770C">
        <w:rPr>
          <w:sz w:val="24"/>
          <w:szCs w:val="24"/>
        </w:rPr>
        <w:t>)</w:t>
      </w:r>
      <w:r w:rsidRPr="009833B6">
        <w:rPr>
          <w:sz w:val="24"/>
          <w:szCs w:val="24"/>
        </w:rPr>
        <w:t>.</w:t>
      </w:r>
    </w:p>
    <w:p w:rsidR="004D5CB1" w:rsidRPr="009833B6" w:rsidRDefault="004D5CB1" w:rsidP="009833B6">
      <w:pPr>
        <w:rPr>
          <w:sz w:val="24"/>
          <w:szCs w:val="24"/>
        </w:rPr>
      </w:pPr>
      <w:r w:rsidRPr="009833B6">
        <w:rPr>
          <w:sz w:val="24"/>
          <w:szCs w:val="24"/>
        </w:rPr>
        <w:t xml:space="preserve">Se tomó nota de la organización de los trabajos de la Comisión Especial con la creación de un Grupo de Trabajo de la misma (SC-WP) y la indicación de que la propia SC se reuniría una sola vez en el momento apropiado después de las reuniones del SC-WP (véase el Anexo 12 a la Circular Administrativa CA/201). El SC-WP celebró una reunión del 6 al 11 de diciembre de 2013. </w:t>
      </w:r>
    </w:p>
    <w:p w:rsidR="004D5CB1" w:rsidRDefault="004D5CB1" w:rsidP="004D5CB1">
      <w:pPr>
        <w:pStyle w:val="Heading2"/>
      </w:pPr>
      <w:r>
        <w:t>2</w:t>
      </w:r>
      <w:r>
        <w:tab/>
        <w:t>Fecha y lugar de la reunión de la Comisión Especial</w:t>
      </w:r>
    </w:p>
    <w:p w:rsidR="004D5CB1" w:rsidRDefault="004D5CB1" w:rsidP="004D5CB1">
      <w:pPr>
        <w:rPr>
          <w:sz w:val="24"/>
          <w:szCs w:val="24"/>
        </w:rPr>
      </w:pPr>
      <w:r w:rsidRPr="009833B6">
        <w:rPr>
          <w:sz w:val="24"/>
          <w:szCs w:val="24"/>
        </w:rPr>
        <w:t xml:space="preserve">La reunión de la Comisión Especial tendrá lugar en la Sede de la UIT, Ginebra, del 1 al 5 de diciembre de 2014. La </w:t>
      </w:r>
      <w:r w:rsidRPr="009833B6">
        <w:rPr>
          <w:b/>
          <w:bCs/>
          <w:sz w:val="24"/>
          <w:szCs w:val="24"/>
        </w:rPr>
        <w:t>sesión inaugural comenzará a las 09.30 horas</w:t>
      </w:r>
      <w:r w:rsidRPr="009833B6">
        <w:rPr>
          <w:sz w:val="24"/>
          <w:szCs w:val="24"/>
        </w:rPr>
        <w:t xml:space="preserve"> del primer día de la reunión.</w:t>
      </w:r>
    </w:p>
    <w:p w:rsidR="009D6A5F" w:rsidRPr="009833B6" w:rsidRDefault="009D6A5F" w:rsidP="004D5CB1">
      <w:pPr>
        <w:rPr>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2156"/>
        <w:gridCol w:w="2876"/>
        <w:gridCol w:w="2953"/>
      </w:tblGrid>
      <w:tr w:rsidR="004D5CB1" w:rsidRPr="004E51E3" w:rsidTr="0016770C">
        <w:trPr>
          <w:jc w:val="center"/>
        </w:trPr>
        <w:tc>
          <w:tcPr>
            <w:tcW w:w="1654" w:type="dxa"/>
            <w:vAlign w:val="center"/>
          </w:tcPr>
          <w:p w:rsidR="004D5CB1" w:rsidRPr="004E51E3" w:rsidRDefault="0016770C" w:rsidP="0016770C">
            <w:pPr>
              <w:pStyle w:val="Tablehead"/>
              <w:rPr>
                <w:lang w:val="es-ES"/>
              </w:rPr>
            </w:pPr>
            <w:r>
              <w:rPr>
                <w:lang w:val="es-ES"/>
              </w:rPr>
              <w:t>Grupo</w:t>
            </w:r>
          </w:p>
        </w:tc>
        <w:tc>
          <w:tcPr>
            <w:tcW w:w="2156" w:type="dxa"/>
            <w:shd w:val="clear" w:color="auto" w:fill="auto"/>
            <w:vAlign w:val="center"/>
          </w:tcPr>
          <w:p w:rsidR="004D5CB1" w:rsidRPr="004E51E3" w:rsidRDefault="004D5CB1" w:rsidP="0016770C">
            <w:pPr>
              <w:pStyle w:val="Tablehead"/>
              <w:rPr>
                <w:lang w:val="es-ES"/>
              </w:rPr>
            </w:pPr>
            <w:r w:rsidRPr="004E51E3">
              <w:rPr>
                <w:lang w:val="es-ES"/>
              </w:rPr>
              <w:t>Fecha de reunión</w:t>
            </w:r>
          </w:p>
        </w:tc>
        <w:tc>
          <w:tcPr>
            <w:tcW w:w="2876" w:type="dxa"/>
            <w:vAlign w:val="center"/>
          </w:tcPr>
          <w:p w:rsidR="004D5CB1" w:rsidRPr="004E51E3" w:rsidRDefault="004D5CB1" w:rsidP="0016770C">
            <w:pPr>
              <w:pStyle w:val="Tablehead"/>
              <w:rPr>
                <w:lang w:val="es-ES"/>
              </w:rPr>
            </w:pPr>
            <w:r w:rsidRPr="004E51E3">
              <w:rPr>
                <w:lang w:val="es-ES"/>
              </w:rPr>
              <w:t>Fecha límite para las contribuciones</w:t>
            </w:r>
          </w:p>
        </w:tc>
        <w:tc>
          <w:tcPr>
            <w:tcW w:w="2953" w:type="dxa"/>
            <w:vAlign w:val="center"/>
          </w:tcPr>
          <w:p w:rsidR="004D5CB1" w:rsidRPr="004E51E3" w:rsidRDefault="004D5CB1" w:rsidP="0016770C">
            <w:pPr>
              <w:pStyle w:val="Tablehead"/>
              <w:rPr>
                <w:lang w:val="es-ES"/>
              </w:rPr>
            </w:pPr>
            <w:r w:rsidRPr="004E51E3">
              <w:rPr>
                <w:lang w:val="es-ES"/>
              </w:rPr>
              <w:t>Sesión inaugural</w:t>
            </w:r>
          </w:p>
        </w:tc>
      </w:tr>
      <w:tr w:rsidR="004D5CB1" w:rsidRPr="004E51E3" w:rsidTr="009833B6">
        <w:trPr>
          <w:jc w:val="center"/>
        </w:trPr>
        <w:tc>
          <w:tcPr>
            <w:tcW w:w="1654" w:type="dxa"/>
            <w:tcBorders>
              <w:top w:val="single" w:sz="4" w:space="0" w:color="auto"/>
              <w:left w:val="single" w:sz="4" w:space="0" w:color="auto"/>
              <w:bottom w:val="single" w:sz="4" w:space="0" w:color="auto"/>
              <w:right w:val="single" w:sz="4" w:space="0" w:color="auto"/>
            </w:tcBorders>
            <w:vAlign w:val="center"/>
          </w:tcPr>
          <w:p w:rsidR="004D5CB1" w:rsidRPr="004E51E3" w:rsidRDefault="004D5CB1" w:rsidP="009833B6">
            <w:pPr>
              <w:pStyle w:val="Tabletext"/>
              <w:jc w:val="center"/>
              <w:rPr>
                <w:lang w:val="es-ES"/>
              </w:rPr>
            </w:pPr>
            <w:r w:rsidRPr="004E51E3">
              <w:rPr>
                <w:lang w:val="es-ES"/>
              </w:rPr>
              <w:t>Comisión Especial</w:t>
            </w: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tcPr>
          <w:p w:rsidR="004D5CB1" w:rsidRPr="004E51E3" w:rsidRDefault="004D5CB1" w:rsidP="009833B6">
            <w:pPr>
              <w:pStyle w:val="Tabletext"/>
              <w:jc w:val="center"/>
              <w:rPr>
                <w:lang w:val="es-ES"/>
              </w:rPr>
            </w:pPr>
            <w:r w:rsidRPr="004E51E3">
              <w:rPr>
                <w:lang w:val="es-ES"/>
              </w:rPr>
              <w:t>1-5 de diciembre de</w:t>
            </w:r>
            <w:r w:rsidR="009833B6">
              <w:rPr>
                <w:lang w:val="es-ES"/>
              </w:rPr>
              <w:t> </w:t>
            </w:r>
            <w:r w:rsidRPr="004E51E3">
              <w:rPr>
                <w:lang w:val="es-ES"/>
              </w:rPr>
              <w:t>2014</w:t>
            </w:r>
          </w:p>
        </w:tc>
        <w:tc>
          <w:tcPr>
            <w:tcW w:w="2876" w:type="dxa"/>
            <w:tcBorders>
              <w:top w:val="single" w:sz="4" w:space="0" w:color="auto"/>
              <w:left w:val="single" w:sz="4" w:space="0" w:color="auto"/>
              <w:bottom w:val="single" w:sz="4" w:space="0" w:color="auto"/>
              <w:right w:val="single" w:sz="4" w:space="0" w:color="auto"/>
            </w:tcBorders>
            <w:vAlign w:val="center"/>
          </w:tcPr>
          <w:p w:rsidR="004D5CB1" w:rsidRPr="004E51E3" w:rsidRDefault="004D5CB1" w:rsidP="009833B6">
            <w:pPr>
              <w:pStyle w:val="Tabletext"/>
              <w:jc w:val="center"/>
              <w:rPr>
                <w:bCs/>
                <w:lang w:val="es-ES"/>
              </w:rPr>
            </w:pPr>
            <w:r w:rsidRPr="004E51E3">
              <w:rPr>
                <w:bCs/>
                <w:lang w:val="es-ES"/>
              </w:rPr>
              <w:t>Lunes, 24 de noviembre de 2014</w:t>
            </w:r>
            <w:r w:rsidRPr="004E51E3">
              <w:rPr>
                <w:bCs/>
                <w:lang w:val="es-ES"/>
              </w:rPr>
              <w:br/>
              <w:t>a las 16</w:t>
            </w:r>
            <w:r>
              <w:rPr>
                <w:bCs/>
                <w:lang w:val="es-ES"/>
              </w:rPr>
              <w:t>.</w:t>
            </w:r>
            <w:r w:rsidRPr="004E51E3">
              <w:rPr>
                <w:bCs/>
                <w:lang w:val="es-ES"/>
              </w:rPr>
              <w:t>00 horas UTC</w:t>
            </w:r>
          </w:p>
        </w:tc>
        <w:tc>
          <w:tcPr>
            <w:tcW w:w="2953" w:type="dxa"/>
            <w:tcBorders>
              <w:top w:val="single" w:sz="4" w:space="0" w:color="auto"/>
              <w:left w:val="single" w:sz="4" w:space="0" w:color="auto"/>
              <w:bottom w:val="single" w:sz="4" w:space="0" w:color="auto"/>
              <w:right w:val="single" w:sz="4" w:space="0" w:color="auto"/>
            </w:tcBorders>
            <w:vAlign w:val="center"/>
          </w:tcPr>
          <w:p w:rsidR="004D5CB1" w:rsidRPr="004E51E3" w:rsidRDefault="004D5CB1" w:rsidP="009833B6">
            <w:pPr>
              <w:pStyle w:val="Tabletext"/>
              <w:jc w:val="center"/>
              <w:rPr>
                <w:bCs/>
                <w:lang w:val="es-ES"/>
              </w:rPr>
            </w:pPr>
            <w:r w:rsidRPr="004E51E3">
              <w:rPr>
                <w:bCs/>
                <w:lang w:val="es-ES"/>
              </w:rPr>
              <w:t>Lunes, 1 de diciembre de 2014</w:t>
            </w:r>
            <w:r w:rsidRPr="004E51E3">
              <w:rPr>
                <w:bCs/>
                <w:lang w:val="es-ES"/>
              </w:rPr>
              <w:br/>
              <w:t>a las 09</w:t>
            </w:r>
            <w:r>
              <w:rPr>
                <w:bCs/>
                <w:lang w:val="es-ES"/>
              </w:rPr>
              <w:t>.</w:t>
            </w:r>
            <w:r w:rsidRPr="004E51E3">
              <w:rPr>
                <w:bCs/>
                <w:lang w:val="es-ES"/>
              </w:rPr>
              <w:t>30 horas</w:t>
            </w:r>
          </w:p>
        </w:tc>
      </w:tr>
    </w:tbl>
    <w:p w:rsidR="004D5CB1" w:rsidRPr="000E1E75" w:rsidRDefault="004D5CB1" w:rsidP="00B32530">
      <w:pPr>
        <w:pStyle w:val="Heading1"/>
      </w:pPr>
      <w:r>
        <w:lastRenderedPageBreak/>
        <w:t>3</w:t>
      </w:r>
      <w:r w:rsidRPr="000E1E75">
        <w:tab/>
        <w:t>Programa de la reunión</w:t>
      </w:r>
    </w:p>
    <w:p w:rsidR="004D5CB1" w:rsidRPr="009833B6" w:rsidRDefault="004D5CB1" w:rsidP="004D5CB1">
      <w:pPr>
        <w:rPr>
          <w:sz w:val="24"/>
          <w:szCs w:val="24"/>
        </w:rPr>
      </w:pPr>
      <w:r w:rsidRPr="009833B6">
        <w:rPr>
          <w:sz w:val="24"/>
          <w:szCs w:val="24"/>
        </w:rPr>
        <w:t>El proyecto de orden del día de la reunión de la Comis</w:t>
      </w:r>
      <w:r w:rsidR="008E6B34">
        <w:rPr>
          <w:sz w:val="24"/>
          <w:szCs w:val="24"/>
        </w:rPr>
        <w:t xml:space="preserve">ión Especial figura en el Anexo </w:t>
      </w:r>
      <w:r w:rsidRPr="009833B6">
        <w:rPr>
          <w:sz w:val="24"/>
          <w:szCs w:val="24"/>
        </w:rPr>
        <w:t xml:space="preserve">que, entre otras cosas, contiene una presentación del Informe Ejecutivo del Presidente del Grupo de Trabajo de la Comisión Especial y la preparación de informes como contribuciones a la labor de la RPC, con arreglo al </w:t>
      </w:r>
      <w:r w:rsidRPr="009833B6">
        <w:rPr>
          <w:i/>
          <w:iCs/>
          <w:sz w:val="24"/>
          <w:szCs w:val="24"/>
        </w:rPr>
        <w:t>resuelve</w:t>
      </w:r>
      <w:r w:rsidRPr="009833B6">
        <w:rPr>
          <w:sz w:val="24"/>
          <w:szCs w:val="24"/>
        </w:rPr>
        <w:t xml:space="preserve"> 3 de la Resolución UIT-R 38-4.</w:t>
      </w:r>
    </w:p>
    <w:p w:rsidR="004D5CB1" w:rsidRPr="009833B6" w:rsidRDefault="004D5CB1" w:rsidP="0016770C">
      <w:pPr>
        <w:spacing w:before="136"/>
        <w:rPr>
          <w:sz w:val="24"/>
          <w:szCs w:val="24"/>
        </w:rPr>
      </w:pPr>
      <w:r w:rsidRPr="009833B6">
        <w:rPr>
          <w:sz w:val="24"/>
          <w:szCs w:val="24"/>
        </w:rPr>
        <w:t xml:space="preserve">A título informativo, </w:t>
      </w:r>
      <w:r w:rsidR="0016770C">
        <w:rPr>
          <w:sz w:val="24"/>
          <w:szCs w:val="24"/>
        </w:rPr>
        <w:t>el Informe</w:t>
      </w:r>
      <w:r w:rsidRPr="009833B6">
        <w:rPr>
          <w:sz w:val="24"/>
          <w:szCs w:val="24"/>
        </w:rPr>
        <w:t xml:space="preserve"> del Presidente de la reunión del SC-WP puede consultarse en el Documento </w:t>
      </w:r>
      <w:hyperlink r:id="rId9" w:history="1">
        <w:r w:rsidR="009833B6" w:rsidRPr="009833B6">
          <w:rPr>
            <w:rStyle w:val="Hyperlink"/>
            <w:rFonts w:asciiTheme="minorHAnsi" w:hAnsiTheme="minorHAnsi"/>
            <w:sz w:val="24"/>
            <w:szCs w:val="24"/>
          </w:rPr>
          <w:t>SC-WP/34</w:t>
        </w:r>
      </w:hyperlink>
      <w:r w:rsidR="009833B6" w:rsidRPr="009833B6">
        <w:rPr>
          <w:bCs/>
          <w:sz w:val="24"/>
          <w:szCs w:val="24"/>
        </w:rPr>
        <w:t xml:space="preserve"> </w:t>
      </w:r>
      <w:r w:rsidRPr="009833B6">
        <w:rPr>
          <w:bCs/>
          <w:sz w:val="24"/>
          <w:szCs w:val="24"/>
        </w:rPr>
        <w:t>(</w:t>
      </w:r>
      <w:r w:rsidR="009833B6">
        <w:rPr>
          <w:bCs/>
          <w:sz w:val="24"/>
          <w:szCs w:val="24"/>
        </w:rPr>
        <w:t xml:space="preserve">véase: </w:t>
      </w:r>
      <w:hyperlink r:id="rId10" w:history="1">
        <w:r w:rsidR="00B32530" w:rsidRPr="009833B6">
          <w:rPr>
            <w:rStyle w:val="Hyperlink"/>
            <w:rFonts w:asciiTheme="minorHAnsi" w:hAnsiTheme="minorHAnsi"/>
            <w:bCs/>
            <w:sz w:val="24"/>
            <w:szCs w:val="24"/>
          </w:rPr>
          <w:t>http://www.itu.int/md/R12-SCWP-C-0034/en</w:t>
        </w:r>
      </w:hyperlink>
      <w:r w:rsidRPr="009833B6">
        <w:rPr>
          <w:bCs/>
          <w:sz w:val="24"/>
          <w:szCs w:val="24"/>
        </w:rPr>
        <w:t>)</w:t>
      </w:r>
      <w:r w:rsidRPr="009833B6">
        <w:rPr>
          <w:sz w:val="24"/>
          <w:szCs w:val="24"/>
        </w:rPr>
        <w:t xml:space="preserve">. </w:t>
      </w:r>
    </w:p>
    <w:p w:rsidR="004D5CB1" w:rsidRPr="000E1E75" w:rsidRDefault="004D5CB1" w:rsidP="00B32530">
      <w:pPr>
        <w:pStyle w:val="Heading1"/>
      </w:pPr>
      <w:r>
        <w:t>4</w:t>
      </w:r>
      <w:r w:rsidRPr="000E1E75">
        <w:tab/>
        <w:t>Contribuciones</w:t>
      </w:r>
    </w:p>
    <w:p w:rsidR="004D5CB1" w:rsidRPr="009833B6" w:rsidRDefault="004D5CB1" w:rsidP="00B32530">
      <w:pPr>
        <w:rPr>
          <w:sz w:val="24"/>
          <w:szCs w:val="24"/>
        </w:rPr>
      </w:pPr>
      <w:r w:rsidRPr="009833B6">
        <w:rPr>
          <w:sz w:val="24"/>
          <w:szCs w:val="24"/>
        </w:rPr>
        <w:t xml:space="preserve">Las contribuciones en respuesta a los trabajos de la Comisión Especial se tramitan con arreglo a las disposiciones recogidas en la Resolución UIT-R 1-6. </w:t>
      </w:r>
    </w:p>
    <w:p w:rsidR="004D5CB1" w:rsidRPr="009833B6" w:rsidRDefault="004D5CB1" w:rsidP="00B32530">
      <w:pPr>
        <w:rPr>
          <w:sz w:val="24"/>
          <w:szCs w:val="24"/>
        </w:rPr>
      </w:pPr>
      <w:r w:rsidRPr="009833B6">
        <w:rPr>
          <w:sz w:val="24"/>
          <w:szCs w:val="24"/>
        </w:rPr>
        <w:t>Se alienta a los miembros a presentar contribuciones (incluidas revisiones, addendos y corrigendos  a las contribuciones) con el fin de que se reciban 12 días naturales antes del inicio de la reunión. La fecha límite de recepción de contribuciones para esta reunión es siete días naturales (16.00 horas UTC) antes del inicio de la reunión.</w:t>
      </w:r>
      <w:r w:rsidRPr="009833B6">
        <w:rPr>
          <w:b/>
          <w:bCs/>
          <w:sz w:val="24"/>
          <w:szCs w:val="24"/>
        </w:rPr>
        <w:t xml:space="preserve"> La fecha límite para la recepción de contribuciones se especifica en el cuadro anterior</w:t>
      </w:r>
      <w:r w:rsidRPr="009833B6">
        <w:rPr>
          <w:sz w:val="24"/>
          <w:szCs w:val="24"/>
        </w:rPr>
        <w:t xml:space="preserve">. No podrán aceptarse las contribuciones que se reciban después de esa fecha. En la Resolución UIT-R 1-6 se dispone que no se examinarán las contribuciones que no estén a disposición de los participantes en el momento de la apertura de la reunión. </w:t>
      </w:r>
    </w:p>
    <w:p w:rsidR="004D5CB1" w:rsidRPr="009833B6" w:rsidRDefault="004D5CB1" w:rsidP="004D5CB1">
      <w:pPr>
        <w:spacing w:before="60"/>
        <w:rPr>
          <w:sz w:val="24"/>
          <w:szCs w:val="24"/>
        </w:rPr>
      </w:pPr>
      <w:r w:rsidRPr="009833B6">
        <w:rPr>
          <w:sz w:val="24"/>
          <w:szCs w:val="24"/>
        </w:rPr>
        <w:t xml:space="preserve">Se ruega a los participantes que remitan sus contribuciones por correo electrónico a la dirección: </w:t>
      </w:r>
    </w:p>
    <w:p w:rsidR="004D5CB1" w:rsidRPr="009833B6" w:rsidRDefault="0093655B" w:rsidP="00417001">
      <w:pPr>
        <w:spacing w:before="240"/>
        <w:jc w:val="center"/>
        <w:rPr>
          <w:rStyle w:val="Hyperlink"/>
          <w:sz w:val="24"/>
          <w:szCs w:val="24"/>
        </w:rPr>
      </w:pPr>
      <w:hyperlink r:id="rId11" w:history="1">
        <w:r w:rsidR="004D5CB1" w:rsidRPr="009833B6">
          <w:rPr>
            <w:rStyle w:val="Hyperlink"/>
            <w:sz w:val="24"/>
            <w:szCs w:val="24"/>
          </w:rPr>
          <w:t>rsc@itu.int</w:t>
        </w:r>
      </w:hyperlink>
    </w:p>
    <w:p w:rsidR="004D5CB1" w:rsidRPr="009833B6" w:rsidRDefault="004D5CB1" w:rsidP="00417001">
      <w:pPr>
        <w:spacing w:before="240"/>
        <w:rPr>
          <w:sz w:val="24"/>
          <w:szCs w:val="24"/>
        </w:rPr>
      </w:pPr>
      <w:r w:rsidRPr="009833B6">
        <w:rPr>
          <w:sz w:val="24"/>
          <w:szCs w:val="24"/>
        </w:rPr>
        <w:t>Deberá enviarse asimismo una copia al Presidente y a los Vicepresidentes de la Comisión Especial. Las direcciones correspondientes figuran en:</w:t>
      </w:r>
    </w:p>
    <w:p w:rsidR="004D5CB1" w:rsidRPr="009833B6" w:rsidRDefault="0093655B" w:rsidP="00417001">
      <w:pPr>
        <w:spacing w:before="240"/>
        <w:jc w:val="center"/>
        <w:rPr>
          <w:sz w:val="24"/>
          <w:szCs w:val="24"/>
        </w:rPr>
      </w:pPr>
      <w:hyperlink r:id="rId12" w:history="1">
        <w:r w:rsidR="004D5CB1" w:rsidRPr="009833B6">
          <w:rPr>
            <w:rStyle w:val="Hyperlink"/>
            <w:sz w:val="24"/>
            <w:szCs w:val="24"/>
          </w:rPr>
          <w:t>http://www.itu.int/go/rsc/go/ch</w:t>
        </w:r>
      </w:hyperlink>
    </w:p>
    <w:p w:rsidR="004D5CB1" w:rsidRPr="000E1E75" w:rsidRDefault="004D5CB1" w:rsidP="00B32530">
      <w:pPr>
        <w:pStyle w:val="Heading1"/>
      </w:pPr>
      <w:r>
        <w:t>5</w:t>
      </w:r>
      <w:r w:rsidRPr="000E1E75">
        <w:tab/>
      </w:r>
      <w:r>
        <w:t>Documentos</w:t>
      </w:r>
    </w:p>
    <w:p w:rsidR="004D5CB1" w:rsidRPr="009833B6" w:rsidRDefault="004D5CB1" w:rsidP="00B32530">
      <w:pPr>
        <w:rPr>
          <w:rFonts w:eastAsia="MS PGothic"/>
          <w:sz w:val="24"/>
          <w:szCs w:val="24"/>
          <w:lang w:eastAsia="zh-CN"/>
        </w:rPr>
      </w:pPr>
      <w:r w:rsidRPr="009833B6">
        <w:rPr>
          <w:rFonts w:eastAsia="MS PGothic"/>
          <w:sz w:val="24"/>
          <w:szCs w:val="24"/>
          <w:lang w:eastAsia="zh-CN"/>
        </w:rPr>
        <w:t xml:space="preserve">Las contribuciones se publicarán tal y como se reciban en el plazo de un día laborable en la página web creada para tal fin: </w:t>
      </w:r>
      <w:hyperlink r:id="rId13" w:history="1">
        <w:r w:rsidR="00B32530" w:rsidRPr="009833B6">
          <w:rPr>
            <w:rStyle w:val="Hyperlink"/>
            <w:sz w:val="24"/>
            <w:szCs w:val="24"/>
          </w:rPr>
          <w:t>http://www.itu.int/md/R12-SC.AR-C/en</w:t>
        </w:r>
      </w:hyperlink>
      <w:r w:rsidRPr="009833B6">
        <w:rPr>
          <w:sz w:val="24"/>
          <w:szCs w:val="24"/>
        </w:rPr>
        <w:t>.</w:t>
      </w:r>
    </w:p>
    <w:p w:rsidR="004D5CB1" w:rsidRPr="009833B6" w:rsidRDefault="004D5CB1" w:rsidP="00B32530">
      <w:pPr>
        <w:rPr>
          <w:rFonts w:eastAsia="MS PGothic"/>
          <w:sz w:val="24"/>
          <w:szCs w:val="24"/>
          <w:lang w:eastAsia="zh-CN"/>
        </w:rPr>
      </w:pPr>
      <w:r w:rsidRPr="009833B6">
        <w:rPr>
          <w:rFonts w:eastAsia="MS PGothic"/>
          <w:sz w:val="24"/>
          <w:szCs w:val="24"/>
          <w:lang w:eastAsia="zh-CN"/>
        </w:rPr>
        <w:t>Las versiones oficiales se publicarán en la página</w:t>
      </w:r>
      <w:r w:rsidRPr="009833B6">
        <w:rPr>
          <w:sz w:val="24"/>
          <w:szCs w:val="24"/>
        </w:rPr>
        <w:t xml:space="preserve"> </w:t>
      </w:r>
      <w:hyperlink r:id="rId14" w:history="1">
        <w:r w:rsidR="00B32530" w:rsidRPr="009833B6">
          <w:rPr>
            <w:rStyle w:val="Hyperlink"/>
            <w:bCs/>
            <w:sz w:val="24"/>
            <w:szCs w:val="24"/>
          </w:rPr>
          <w:t>http://www.itu.int/md/R12-SC-C/en</w:t>
        </w:r>
      </w:hyperlink>
      <w:r w:rsidRPr="009833B6">
        <w:rPr>
          <w:sz w:val="24"/>
          <w:szCs w:val="24"/>
        </w:rPr>
        <w:t xml:space="preserve"> en el plazo de tres días laborables.</w:t>
      </w:r>
    </w:p>
    <w:p w:rsidR="004D5CB1" w:rsidRPr="009833B6" w:rsidRDefault="004D5CB1" w:rsidP="00B32530">
      <w:pPr>
        <w:rPr>
          <w:rFonts w:eastAsia="MS PGothic"/>
          <w:sz w:val="24"/>
          <w:szCs w:val="24"/>
          <w:lang w:eastAsia="zh-CN"/>
        </w:rPr>
      </w:pPr>
      <w:r w:rsidRPr="009833B6">
        <w:rPr>
          <w:sz w:val="24"/>
          <w:szCs w:val="24"/>
        </w:rPr>
        <w:t xml:space="preserve">Al igual que ocurre con todas las reuniones de las Comisiones de Estudio del UIT-R, </w:t>
      </w:r>
      <w:r w:rsidRPr="009833B6">
        <w:rPr>
          <w:b/>
          <w:bCs/>
          <w:sz w:val="24"/>
          <w:szCs w:val="24"/>
        </w:rPr>
        <w:t>la reunión se celebrará sin hacer uso del papel</w:t>
      </w:r>
      <w:r w:rsidRPr="009833B6">
        <w:rPr>
          <w:sz w:val="24"/>
          <w:szCs w:val="24"/>
        </w:rPr>
        <w:t>.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Además, el Servicio de Asistencia Técnica (</w:t>
      </w:r>
      <w:hyperlink r:id="rId15" w:history="1">
        <w:r w:rsidRPr="009833B6">
          <w:rPr>
            <w:color w:val="0000FF"/>
            <w:sz w:val="24"/>
            <w:szCs w:val="24"/>
            <w:u w:val="single"/>
          </w:rPr>
          <w:t>servicedesk@itu.int</w:t>
        </w:r>
      </w:hyperlink>
      <w:r w:rsidRPr="009833B6">
        <w:rPr>
          <w:sz w:val="24"/>
          <w:szCs w:val="24"/>
        </w:rPr>
        <w:t>) ha preparado un número limitado de computadoras portátiles para las personas que carezcan ellas.</w:t>
      </w:r>
    </w:p>
    <w:p w:rsidR="00417001" w:rsidRDefault="00417001">
      <w:pPr>
        <w:tabs>
          <w:tab w:val="clear" w:pos="794"/>
          <w:tab w:val="clear" w:pos="1191"/>
          <w:tab w:val="clear" w:pos="1588"/>
          <w:tab w:val="clear" w:pos="1985"/>
        </w:tabs>
        <w:overflowPunct/>
        <w:autoSpaceDE/>
        <w:autoSpaceDN/>
        <w:adjustRightInd/>
        <w:spacing w:before="0" w:line="240" w:lineRule="auto"/>
        <w:jc w:val="left"/>
        <w:textAlignment w:val="auto"/>
        <w:rPr>
          <w:b/>
          <w:sz w:val="24"/>
        </w:rPr>
      </w:pPr>
      <w:bookmarkStart w:id="7" w:name="_Toc302573185"/>
      <w:r>
        <w:br w:type="page"/>
      </w:r>
    </w:p>
    <w:p w:rsidR="004D5CB1" w:rsidRPr="002F756C" w:rsidRDefault="004D5CB1" w:rsidP="00B32530">
      <w:pPr>
        <w:pStyle w:val="Heading1"/>
      </w:pPr>
      <w:r>
        <w:lastRenderedPageBreak/>
        <w:t>6</w:t>
      </w:r>
      <w:r w:rsidRPr="002F756C">
        <w:tab/>
      </w:r>
      <w:bookmarkEnd w:id="7"/>
      <w:r w:rsidRPr="002F756C">
        <w:t>Participación a distancia</w:t>
      </w:r>
    </w:p>
    <w:p w:rsidR="004D5CB1" w:rsidRPr="009833B6" w:rsidRDefault="004D5CB1" w:rsidP="0016770C">
      <w:pPr>
        <w:textAlignment w:val="auto"/>
        <w:rPr>
          <w:sz w:val="24"/>
          <w:szCs w:val="24"/>
        </w:rPr>
      </w:pPr>
      <w:r w:rsidRPr="009833B6">
        <w:rPr>
          <w:sz w:val="24"/>
          <w:szCs w:val="24"/>
        </w:rPr>
        <w:t>A fin de facilitar la participación de distancia en las reuniones del UIT-R, el Servicio de Radiodifusión por Internet (IBS) de la UIT transmite en audio las S</w:t>
      </w:r>
      <w:r w:rsidR="0016770C">
        <w:rPr>
          <w:sz w:val="24"/>
          <w:szCs w:val="24"/>
        </w:rPr>
        <w:t>esiones Plenarias de la Comisió</w:t>
      </w:r>
      <w:r w:rsidRPr="009833B6">
        <w:rPr>
          <w:sz w:val="24"/>
          <w:szCs w:val="24"/>
        </w:rPr>
        <w:t xml:space="preserve">n </w:t>
      </w:r>
      <w:r w:rsidR="0016770C">
        <w:rPr>
          <w:sz w:val="24"/>
          <w:szCs w:val="24"/>
        </w:rPr>
        <w:t>Especial</w:t>
      </w:r>
      <w:r w:rsidR="00B32530" w:rsidRPr="009833B6">
        <w:rPr>
          <w:sz w:val="24"/>
          <w:szCs w:val="24"/>
        </w:rPr>
        <w:t xml:space="preserve"> en todos los idiomas.</w:t>
      </w:r>
    </w:p>
    <w:p w:rsidR="004D5CB1" w:rsidRPr="002F756C" w:rsidRDefault="00B32530" w:rsidP="00B32530">
      <w:pPr>
        <w:pStyle w:val="Heading1"/>
      </w:pPr>
      <w:r>
        <w:t>7</w:t>
      </w:r>
      <w:r w:rsidR="004D5CB1" w:rsidRPr="002F756C">
        <w:tab/>
        <w:t>Participación/Requisitos para el visado/Alojamiento</w:t>
      </w:r>
    </w:p>
    <w:p w:rsidR="004D5CB1" w:rsidRPr="009833B6" w:rsidRDefault="004D5CB1" w:rsidP="004D5CB1">
      <w:pPr>
        <w:textAlignment w:val="auto"/>
        <w:rPr>
          <w:sz w:val="24"/>
          <w:szCs w:val="24"/>
        </w:rPr>
      </w:pPr>
      <w:r w:rsidRPr="009833B6">
        <w:rPr>
          <w:sz w:val="24"/>
          <w:szCs w:val="24"/>
        </w:rPr>
        <w:t>La inscripción anticipada para los eventos del UIT-R es obligatoria y se llevará a cabo exclusivamente en línea a través de los coordinadores designados (DFP</w:t>
      </w:r>
      <w:r w:rsidR="0016770C">
        <w:rPr>
          <w:sz w:val="24"/>
          <w:szCs w:val="24"/>
        </w:rPr>
        <w:t>s</w:t>
      </w:r>
      <w:r w:rsidRPr="009833B6">
        <w:rPr>
          <w:sz w:val="24"/>
          <w:szCs w:val="24"/>
        </w:rPr>
        <w:t xml:space="preserve">). Cada Miembro del UIT-R debe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 </w:t>
      </w:r>
    </w:p>
    <w:p w:rsidR="004D5CB1" w:rsidRPr="009833B6" w:rsidRDefault="0093655B" w:rsidP="004D5CB1">
      <w:pPr>
        <w:jc w:val="center"/>
        <w:textAlignment w:val="auto"/>
        <w:rPr>
          <w:noProof/>
          <w:sz w:val="24"/>
          <w:szCs w:val="24"/>
        </w:rPr>
      </w:pPr>
      <w:hyperlink r:id="rId16" w:history="1">
        <w:r w:rsidR="004D5CB1" w:rsidRPr="009833B6">
          <w:rPr>
            <w:rFonts w:eastAsia="SimSun"/>
            <w:color w:val="0000FF"/>
            <w:sz w:val="24"/>
            <w:szCs w:val="24"/>
            <w:u w:val="single"/>
            <w:lang w:eastAsia="zh-CN"/>
          </w:rPr>
          <w:t>www.itu.int/en/ITU-R/information/events</w:t>
        </w:r>
      </w:hyperlink>
    </w:p>
    <w:p w:rsidR="004D5CB1" w:rsidRPr="009833B6" w:rsidRDefault="004D5CB1" w:rsidP="00B32530">
      <w:pPr>
        <w:spacing w:before="1440"/>
        <w:jc w:val="left"/>
        <w:textAlignment w:val="auto"/>
        <w:rPr>
          <w:sz w:val="24"/>
          <w:szCs w:val="24"/>
        </w:rPr>
      </w:pPr>
      <w:r w:rsidRPr="009833B6">
        <w:rPr>
          <w:sz w:val="24"/>
          <w:szCs w:val="24"/>
        </w:rPr>
        <w:t>François Rancy</w:t>
      </w:r>
      <w:r w:rsidRPr="009833B6">
        <w:rPr>
          <w:sz w:val="24"/>
          <w:szCs w:val="24"/>
        </w:rPr>
        <w:br/>
        <w:t>Director</w:t>
      </w:r>
    </w:p>
    <w:p w:rsidR="004D5CB1" w:rsidRPr="009833B6" w:rsidRDefault="004D5CB1" w:rsidP="004D5CB1">
      <w:pPr>
        <w:tabs>
          <w:tab w:val="center" w:pos="7939"/>
          <w:tab w:val="right" w:pos="8505"/>
        </w:tabs>
        <w:spacing w:before="720"/>
        <w:textAlignment w:val="auto"/>
        <w:rPr>
          <w:sz w:val="24"/>
          <w:szCs w:val="24"/>
        </w:rPr>
      </w:pPr>
      <w:r w:rsidRPr="009833B6">
        <w:rPr>
          <w:b/>
          <w:bCs/>
          <w:sz w:val="24"/>
          <w:szCs w:val="24"/>
        </w:rPr>
        <w:t>Anexo:</w:t>
      </w:r>
      <w:r w:rsidR="00B32530" w:rsidRPr="009833B6">
        <w:rPr>
          <w:b/>
          <w:bCs/>
          <w:sz w:val="24"/>
          <w:szCs w:val="24"/>
        </w:rPr>
        <w:t xml:space="preserve"> </w:t>
      </w:r>
      <w:r w:rsidRPr="009833B6">
        <w:rPr>
          <w:sz w:val="24"/>
          <w:szCs w:val="24"/>
        </w:rPr>
        <w:t>1</w:t>
      </w:r>
    </w:p>
    <w:p w:rsidR="000D2A26" w:rsidRDefault="000D2A26" w:rsidP="004D5CB1">
      <w:pPr>
        <w:tabs>
          <w:tab w:val="left" w:pos="284"/>
          <w:tab w:val="left" w:pos="568"/>
        </w:tabs>
        <w:spacing w:before="480" w:after="120"/>
        <w:textAlignment w:val="auto"/>
        <w:rPr>
          <w:b/>
          <w:sz w:val="18"/>
          <w:szCs w:val="18"/>
        </w:rPr>
      </w:pPr>
    </w:p>
    <w:p w:rsidR="000D2A26" w:rsidRDefault="000D2A26" w:rsidP="004D5CB1">
      <w:pPr>
        <w:tabs>
          <w:tab w:val="left" w:pos="284"/>
          <w:tab w:val="left" w:pos="568"/>
        </w:tabs>
        <w:spacing w:before="480" w:after="120"/>
        <w:textAlignment w:val="auto"/>
        <w:rPr>
          <w:b/>
          <w:sz w:val="18"/>
          <w:szCs w:val="18"/>
        </w:rPr>
      </w:pPr>
    </w:p>
    <w:p w:rsidR="000D2A26" w:rsidRDefault="000D2A26" w:rsidP="004D5CB1">
      <w:pPr>
        <w:tabs>
          <w:tab w:val="left" w:pos="284"/>
          <w:tab w:val="left" w:pos="568"/>
        </w:tabs>
        <w:spacing w:before="480" w:after="120"/>
        <w:textAlignment w:val="auto"/>
        <w:rPr>
          <w:b/>
          <w:sz w:val="18"/>
          <w:szCs w:val="18"/>
        </w:rPr>
      </w:pPr>
    </w:p>
    <w:p w:rsidR="004D5CB1" w:rsidRPr="002F756C" w:rsidRDefault="004D5CB1" w:rsidP="004D5CB1">
      <w:pPr>
        <w:tabs>
          <w:tab w:val="left" w:pos="284"/>
          <w:tab w:val="left" w:pos="568"/>
        </w:tabs>
        <w:spacing w:before="480" w:after="120"/>
        <w:textAlignment w:val="auto"/>
        <w:rPr>
          <w:b/>
          <w:sz w:val="18"/>
          <w:szCs w:val="18"/>
        </w:rPr>
      </w:pPr>
      <w:r w:rsidRPr="002F756C">
        <w:rPr>
          <w:b/>
          <w:sz w:val="18"/>
          <w:szCs w:val="18"/>
        </w:rPr>
        <w:t>Distribución:</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Administraciones de los Estados Miembros de la UIT y Miembros del Sector de Radiocomunicaciones que participan en los trabajos de la Comisión Especial para Asuntos Reglamentarios y de Procedimiento</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Asociados del UIT-R que participan en los trabajos de la Comisión Especial para Asuntos Reglamentarios y de Procedimiento</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 xml:space="preserve">Presidentes y Vicepresidentes de las Comisiones de Estudio de Radiocomunicaciones y Comisión Especial para </w:t>
      </w:r>
      <w:r w:rsidR="000D2A26">
        <w:rPr>
          <w:sz w:val="18"/>
          <w:szCs w:val="18"/>
        </w:rPr>
        <w:t>A</w:t>
      </w:r>
      <w:r w:rsidRPr="002F756C">
        <w:rPr>
          <w:sz w:val="18"/>
          <w:szCs w:val="18"/>
        </w:rPr>
        <w:t xml:space="preserve">suntos </w:t>
      </w:r>
      <w:r w:rsidR="000D2A26">
        <w:rPr>
          <w:sz w:val="18"/>
          <w:szCs w:val="18"/>
        </w:rPr>
        <w:t>R</w:t>
      </w:r>
      <w:r w:rsidRPr="002F756C">
        <w:rPr>
          <w:sz w:val="18"/>
          <w:szCs w:val="18"/>
        </w:rPr>
        <w:t xml:space="preserve">eglamentarios y de </w:t>
      </w:r>
      <w:r w:rsidR="000D2A26">
        <w:rPr>
          <w:sz w:val="18"/>
          <w:szCs w:val="18"/>
        </w:rPr>
        <w:t>P</w:t>
      </w:r>
      <w:r w:rsidRPr="002F756C">
        <w:rPr>
          <w:sz w:val="18"/>
          <w:szCs w:val="18"/>
        </w:rPr>
        <w:t>rocedimiento</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Presidente y Vicepresidentes de la Reunión Preparatoria de la Conferencia</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Miembros de la Junta del Reglamento de Radiocomunicaciones</w:t>
      </w:r>
    </w:p>
    <w:p w:rsidR="004D5CB1" w:rsidRPr="002F756C" w:rsidRDefault="004D5CB1" w:rsidP="000D2A26">
      <w:pPr>
        <w:tabs>
          <w:tab w:val="left" w:pos="284"/>
        </w:tabs>
        <w:spacing w:before="0" w:line="240" w:lineRule="auto"/>
        <w:ind w:left="284" w:hanging="284"/>
        <w:textAlignment w:val="auto"/>
        <w:rPr>
          <w:sz w:val="18"/>
          <w:szCs w:val="18"/>
        </w:rPr>
      </w:pPr>
      <w:r w:rsidRPr="002F756C">
        <w:rPr>
          <w:sz w:val="18"/>
          <w:szCs w:val="18"/>
        </w:rPr>
        <w:t>–</w:t>
      </w:r>
      <w:r w:rsidRPr="002F756C">
        <w:rPr>
          <w:sz w:val="18"/>
          <w:szCs w:val="18"/>
        </w:rPr>
        <w:tab/>
        <w:t>Secretario General de la UIT, Director de la Oficina de Normalización de las Telecomunicaciones, Director de la Oficina de Desarrollo de Telecomunicaciones</w:t>
      </w:r>
    </w:p>
    <w:p w:rsidR="00B32530" w:rsidRDefault="00B32530">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sz w:val="28"/>
          <w:szCs w:val="20"/>
        </w:rPr>
      </w:pPr>
      <w:r>
        <w:br w:type="page"/>
      </w:r>
    </w:p>
    <w:p w:rsidR="004D5CB1" w:rsidRPr="0016770C" w:rsidRDefault="004D5CB1" w:rsidP="004D5CB1">
      <w:pPr>
        <w:pStyle w:val="AnnexNotitle0"/>
        <w:rPr>
          <w:rFonts w:asciiTheme="minorHAnsi" w:hAnsiTheme="minorHAnsi" w:cstheme="minorHAnsi"/>
          <w:szCs w:val="28"/>
        </w:rPr>
      </w:pPr>
      <w:r w:rsidRPr="0016770C">
        <w:rPr>
          <w:rFonts w:asciiTheme="minorHAnsi" w:hAnsiTheme="minorHAnsi" w:cstheme="minorHAnsi"/>
          <w:szCs w:val="28"/>
        </w:rPr>
        <w:lastRenderedPageBreak/>
        <w:t xml:space="preserve">Anexo </w:t>
      </w:r>
      <w:r w:rsidRPr="0016770C">
        <w:rPr>
          <w:rFonts w:asciiTheme="minorHAnsi" w:hAnsiTheme="minorHAnsi" w:cstheme="minorHAnsi"/>
          <w:szCs w:val="28"/>
        </w:rPr>
        <w:br/>
      </w:r>
      <w:r w:rsidRPr="0016770C">
        <w:rPr>
          <w:rFonts w:asciiTheme="minorHAnsi" w:hAnsiTheme="minorHAnsi" w:cstheme="minorHAnsi"/>
          <w:szCs w:val="28"/>
        </w:rPr>
        <w:br/>
        <w:t xml:space="preserve">Proyecto de orden del día de la reunión de la Comisión Especial </w:t>
      </w:r>
      <w:r w:rsidRPr="0016770C">
        <w:rPr>
          <w:rFonts w:asciiTheme="minorHAnsi" w:hAnsiTheme="minorHAnsi" w:cstheme="minorHAnsi"/>
          <w:szCs w:val="28"/>
        </w:rPr>
        <w:br/>
        <w:t xml:space="preserve">para Asuntos Reglamentarios y de Procedimiento </w:t>
      </w:r>
    </w:p>
    <w:p w:rsidR="004D5CB1" w:rsidRPr="002F4880" w:rsidRDefault="004D5CB1" w:rsidP="004D5CB1">
      <w:pPr>
        <w:spacing w:before="240"/>
        <w:jc w:val="center"/>
        <w:rPr>
          <w:sz w:val="24"/>
          <w:szCs w:val="24"/>
        </w:rPr>
      </w:pPr>
      <w:r w:rsidRPr="002F4880">
        <w:rPr>
          <w:sz w:val="24"/>
          <w:szCs w:val="24"/>
        </w:rPr>
        <w:t>(Ginebra, 1</w:t>
      </w:r>
      <w:r w:rsidRPr="002F4880">
        <w:rPr>
          <w:sz w:val="24"/>
          <w:szCs w:val="24"/>
        </w:rPr>
        <w:noBreakHyphen/>
        <w:t>5 de diciembre de 2014)</w:t>
      </w:r>
    </w:p>
    <w:p w:rsidR="004D5CB1" w:rsidRDefault="004D5CB1" w:rsidP="004D5CB1"/>
    <w:p w:rsidR="00417001" w:rsidRDefault="00417001" w:rsidP="004D5CB1"/>
    <w:p w:rsidR="004D5CB1" w:rsidRPr="00B32530" w:rsidRDefault="004D5CB1" w:rsidP="004D5CB1">
      <w:pPr>
        <w:pStyle w:val="enumlev1"/>
        <w:rPr>
          <w:sz w:val="24"/>
          <w:szCs w:val="24"/>
        </w:rPr>
      </w:pPr>
      <w:r w:rsidRPr="00B32530">
        <w:rPr>
          <w:b/>
          <w:sz w:val="24"/>
          <w:szCs w:val="24"/>
        </w:rPr>
        <w:t>1</w:t>
      </w:r>
      <w:r w:rsidRPr="00B32530">
        <w:rPr>
          <w:sz w:val="24"/>
          <w:szCs w:val="24"/>
        </w:rPr>
        <w:tab/>
        <w:t>Observaciones preliminares</w:t>
      </w:r>
    </w:p>
    <w:p w:rsidR="004D5CB1" w:rsidRPr="00B32530" w:rsidRDefault="004D5CB1" w:rsidP="004D5CB1">
      <w:pPr>
        <w:pStyle w:val="enumlev1"/>
        <w:rPr>
          <w:sz w:val="24"/>
          <w:szCs w:val="24"/>
        </w:rPr>
      </w:pPr>
      <w:r w:rsidRPr="00B32530">
        <w:rPr>
          <w:b/>
          <w:sz w:val="24"/>
          <w:szCs w:val="24"/>
        </w:rPr>
        <w:t>2</w:t>
      </w:r>
      <w:r w:rsidRPr="00B32530">
        <w:rPr>
          <w:sz w:val="24"/>
          <w:szCs w:val="24"/>
        </w:rPr>
        <w:tab/>
        <w:t>Aprobación del orden del día</w:t>
      </w:r>
    </w:p>
    <w:p w:rsidR="004D5CB1" w:rsidRPr="00B32530" w:rsidRDefault="004D5CB1" w:rsidP="004D5CB1">
      <w:pPr>
        <w:pStyle w:val="enumlev1"/>
        <w:rPr>
          <w:sz w:val="24"/>
          <w:szCs w:val="24"/>
        </w:rPr>
      </w:pPr>
      <w:r w:rsidRPr="00B32530">
        <w:rPr>
          <w:b/>
          <w:sz w:val="24"/>
          <w:szCs w:val="24"/>
        </w:rPr>
        <w:t>3</w:t>
      </w:r>
      <w:r w:rsidRPr="00B32530">
        <w:rPr>
          <w:sz w:val="24"/>
          <w:szCs w:val="24"/>
        </w:rPr>
        <w:tab/>
        <w:t xml:space="preserve">Informe Ejecutivo del Presidente del Grupo de Trabajo de la SC </w:t>
      </w:r>
    </w:p>
    <w:p w:rsidR="004D5CB1" w:rsidRPr="00B32530" w:rsidRDefault="004D5CB1" w:rsidP="004D5CB1">
      <w:pPr>
        <w:pStyle w:val="enumlev1"/>
        <w:rPr>
          <w:sz w:val="24"/>
          <w:szCs w:val="24"/>
        </w:rPr>
      </w:pPr>
      <w:r w:rsidRPr="00B32530">
        <w:rPr>
          <w:b/>
          <w:sz w:val="24"/>
          <w:szCs w:val="24"/>
        </w:rPr>
        <w:t>4</w:t>
      </w:r>
      <w:r w:rsidRPr="00B32530">
        <w:rPr>
          <w:sz w:val="24"/>
          <w:szCs w:val="24"/>
        </w:rPr>
        <w:tab/>
        <w:t xml:space="preserve">Asuntos </w:t>
      </w:r>
      <w:r w:rsidR="0016770C" w:rsidRPr="00B32530">
        <w:rPr>
          <w:sz w:val="24"/>
          <w:szCs w:val="24"/>
        </w:rPr>
        <w:t xml:space="preserve">Reglamentarios </w:t>
      </w:r>
      <w:r w:rsidRPr="00B32530">
        <w:rPr>
          <w:sz w:val="24"/>
          <w:szCs w:val="24"/>
        </w:rPr>
        <w:t xml:space="preserve">y de </w:t>
      </w:r>
      <w:r w:rsidR="0016770C" w:rsidRPr="00B32530">
        <w:rPr>
          <w:sz w:val="24"/>
          <w:szCs w:val="24"/>
        </w:rPr>
        <w:t xml:space="preserve">Procedimiento </w:t>
      </w:r>
      <w:r w:rsidRPr="00B32530">
        <w:rPr>
          <w:sz w:val="24"/>
          <w:szCs w:val="24"/>
        </w:rPr>
        <w:t>abordados en el proyecto de Informe de la RPC a la CMR</w:t>
      </w:r>
      <w:r w:rsidRPr="00B32530">
        <w:rPr>
          <w:sz w:val="24"/>
          <w:szCs w:val="24"/>
        </w:rPr>
        <w:noBreakHyphen/>
        <w:t>15</w:t>
      </w:r>
    </w:p>
    <w:p w:rsidR="004D5CB1" w:rsidRPr="00B32530" w:rsidRDefault="004D5CB1" w:rsidP="004D5CB1">
      <w:pPr>
        <w:pStyle w:val="enumlev1"/>
        <w:rPr>
          <w:sz w:val="24"/>
          <w:szCs w:val="24"/>
        </w:rPr>
      </w:pPr>
      <w:r w:rsidRPr="00B32530">
        <w:rPr>
          <w:b/>
          <w:sz w:val="24"/>
          <w:szCs w:val="24"/>
        </w:rPr>
        <w:t>5</w:t>
      </w:r>
      <w:r w:rsidRPr="00B32530">
        <w:rPr>
          <w:sz w:val="24"/>
          <w:szCs w:val="24"/>
        </w:rPr>
        <w:tab/>
        <w:t>Examen de documentos de las Comisiones de Estudio y los Grupos de Trabajo</w:t>
      </w:r>
    </w:p>
    <w:p w:rsidR="004D5CB1" w:rsidRPr="00B32530" w:rsidRDefault="004D5CB1" w:rsidP="004D5CB1">
      <w:pPr>
        <w:pStyle w:val="enumlev1"/>
        <w:rPr>
          <w:sz w:val="24"/>
          <w:szCs w:val="24"/>
        </w:rPr>
      </w:pPr>
      <w:r w:rsidRPr="00B32530">
        <w:rPr>
          <w:b/>
          <w:sz w:val="24"/>
          <w:szCs w:val="24"/>
        </w:rPr>
        <w:t>6</w:t>
      </w:r>
      <w:r w:rsidRPr="00B32530">
        <w:rPr>
          <w:sz w:val="24"/>
          <w:szCs w:val="24"/>
        </w:rPr>
        <w:tab/>
        <w:t xml:space="preserve">Examen de las contribuciones </w:t>
      </w:r>
    </w:p>
    <w:p w:rsidR="004D5CB1" w:rsidRPr="00B32530" w:rsidRDefault="004D5CB1" w:rsidP="004D5CB1">
      <w:pPr>
        <w:pStyle w:val="enumlev1"/>
        <w:rPr>
          <w:sz w:val="24"/>
          <w:szCs w:val="24"/>
        </w:rPr>
      </w:pPr>
      <w:r w:rsidRPr="00B32530">
        <w:rPr>
          <w:b/>
          <w:sz w:val="24"/>
          <w:szCs w:val="24"/>
        </w:rPr>
        <w:t>7</w:t>
      </w:r>
      <w:r w:rsidRPr="00B32530">
        <w:rPr>
          <w:sz w:val="24"/>
          <w:szCs w:val="24"/>
        </w:rPr>
        <w:tab/>
        <w:t xml:space="preserve">Organización de los trabajos y atribución de documentos </w:t>
      </w:r>
    </w:p>
    <w:p w:rsidR="004D5CB1" w:rsidRPr="00B32530" w:rsidRDefault="004D5CB1" w:rsidP="004D5CB1">
      <w:pPr>
        <w:pStyle w:val="enumlev1"/>
        <w:rPr>
          <w:sz w:val="24"/>
          <w:szCs w:val="24"/>
        </w:rPr>
      </w:pPr>
      <w:r w:rsidRPr="00B32530">
        <w:rPr>
          <w:b/>
          <w:sz w:val="24"/>
          <w:szCs w:val="24"/>
        </w:rPr>
        <w:t>8</w:t>
      </w:r>
      <w:r w:rsidRPr="00B32530">
        <w:rPr>
          <w:sz w:val="24"/>
          <w:szCs w:val="24"/>
        </w:rPr>
        <w:tab/>
        <w:t xml:space="preserve">Examen de los documentos de resultados y preparación de informes como contribución a los trabajos de la RPC </w:t>
      </w:r>
    </w:p>
    <w:p w:rsidR="004D5CB1" w:rsidRPr="00B32530" w:rsidRDefault="004D5CB1" w:rsidP="004D5CB1">
      <w:pPr>
        <w:pStyle w:val="enumlev1"/>
        <w:rPr>
          <w:sz w:val="24"/>
          <w:szCs w:val="24"/>
        </w:rPr>
      </w:pPr>
      <w:r w:rsidRPr="00B32530">
        <w:rPr>
          <w:b/>
          <w:sz w:val="24"/>
          <w:szCs w:val="24"/>
        </w:rPr>
        <w:t>9</w:t>
      </w:r>
      <w:r w:rsidRPr="00B32530">
        <w:rPr>
          <w:sz w:val="24"/>
          <w:szCs w:val="24"/>
        </w:rPr>
        <w:tab/>
        <w:t>Otros asuntos</w:t>
      </w:r>
    </w:p>
    <w:p w:rsidR="00810C3E" w:rsidRDefault="00810C3E" w:rsidP="00810C3E">
      <w:pPr>
        <w:tabs>
          <w:tab w:val="clear" w:pos="794"/>
          <w:tab w:val="clear" w:pos="1191"/>
          <w:tab w:val="clear" w:pos="1588"/>
          <w:tab w:val="clear" w:pos="1985"/>
          <w:tab w:val="center" w:pos="6663"/>
        </w:tabs>
        <w:jc w:val="left"/>
      </w:pPr>
    </w:p>
    <w:p w:rsidR="00810C3E" w:rsidRDefault="00810C3E" w:rsidP="00810C3E">
      <w:pPr>
        <w:tabs>
          <w:tab w:val="clear" w:pos="794"/>
          <w:tab w:val="clear" w:pos="1191"/>
          <w:tab w:val="clear" w:pos="1588"/>
          <w:tab w:val="clear" w:pos="1985"/>
          <w:tab w:val="center" w:pos="6663"/>
        </w:tabs>
        <w:jc w:val="left"/>
      </w:pPr>
    </w:p>
    <w:p w:rsidR="004D5CB1" w:rsidRDefault="00810C3E" w:rsidP="00810C3E">
      <w:pPr>
        <w:tabs>
          <w:tab w:val="clear" w:pos="794"/>
          <w:tab w:val="clear" w:pos="1191"/>
          <w:tab w:val="clear" w:pos="1588"/>
          <w:tab w:val="clear" w:pos="1985"/>
          <w:tab w:val="center" w:pos="6663"/>
        </w:tabs>
        <w:jc w:val="left"/>
        <w:rPr>
          <w:sz w:val="24"/>
          <w:szCs w:val="24"/>
        </w:rPr>
      </w:pPr>
      <w:r>
        <w:tab/>
      </w:r>
      <w:r w:rsidR="004D5CB1" w:rsidRPr="00810C3E">
        <w:rPr>
          <w:sz w:val="24"/>
          <w:szCs w:val="24"/>
        </w:rPr>
        <w:t>Sr. T. SHAFIEE</w:t>
      </w:r>
      <w:r w:rsidR="004D5CB1" w:rsidRPr="00810C3E">
        <w:rPr>
          <w:sz w:val="24"/>
          <w:szCs w:val="24"/>
        </w:rPr>
        <w:br/>
      </w:r>
      <w:r w:rsidRPr="00810C3E">
        <w:rPr>
          <w:sz w:val="24"/>
          <w:szCs w:val="24"/>
        </w:rPr>
        <w:tab/>
      </w:r>
      <w:r w:rsidR="004D5CB1" w:rsidRPr="00810C3E">
        <w:rPr>
          <w:sz w:val="24"/>
          <w:szCs w:val="24"/>
        </w:rPr>
        <w:t>Presidente de la Comisión Especial</w:t>
      </w:r>
    </w:p>
    <w:p w:rsidR="00417001" w:rsidRDefault="00417001" w:rsidP="00810C3E">
      <w:pPr>
        <w:tabs>
          <w:tab w:val="clear" w:pos="794"/>
          <w:tab w:val="clear" w:pos="1191"/>
          <w:tab w:val="clear" w:pos="1588"/>
          <w:tab w:val="clear" w:pos="1985"/>
          <w:tab w:val="center" w:pos="6663"/>
        </w:tabs>
        <w:jc w:val="left"/>
        <w:rPr>
          <w:sz w:val="24"/>
          <w:szCs w:val="24"/>
        </w:rPr>
      </w:pPr>
    </w:p>
    <w:p w:rsidR="00417001" w:rsidRPr="0093655B" w:rsidRDefault="00417001" w:rsidP="0032202E">
      <w:pPr>
        <w:pStyle w:val="Reasons"/>
        <w:rPr>
          <w:lang w:val="es-ES_tradnl"/>
        </w:rPr>
      </w:pPr>
    </w:p>
    <w:p w:rsidR="00417001" w:rsidRDefault="00417001">
      <w:pPr>
        <w:jc w:val="center"/>
      </w:pPr>
      <w:r>
        <w:t>______________</w:t>
      </w:r>
    </w:p>
    <w:p w:rsidR="00417001" w:rsidRPr="00810C3E" w:rsidRDefault="00417001" w:rsidP="00810C3E">
      <w:pPr>
        <w:tabs>
          <w:tab w:val="clear" w:pos="794"/>
          <w:tab w:val="clear" w:pos="1191"/>
          <w:tab w:val="clear" w:pos="1588"/>
          <w:tab w:val="clear" w:pos="1985"/>
          <w:tab w:val="center" w:pos="6663"/>
        </w:tabs>
        <w:jc w:val="left"/>
        <w:rPr>
          <w:sz w:val="24"/>
          <w:szCs w:val="24"/>
        </w:rPr>
      </w:pPr>
    </w:p>
    <w:sectPr w:rsidR="00417001" w:rsidRPr="00810C3E" w:rsidSect="00B32530">
      <w:headerReference w:type="even" r:id="rId17"/>
      <w:headerReference w:type="default" r:id="rId18"/>
      <w:headerReference w:type="first" r:id="rId19"/>
      <w:footerReference w:type="first" r:id="rId20"/>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CB1" w:rsidRDefault="004D5CB1">
      <w:r>
        <w:separator/>
      </w:r>
    </w:p>
  </w:endnote>
  <w:endnote w:type="continuationSeparator" w:id="0">
    <w:p w:rsidR="004D5CB1" w:rsidRDefault="004D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sz w:val="18"/>
          <w:szCs w:val="18"/>
        </w:rPr>
        <w:t>itumail@itu.int</w:t>
      </w:r>
    </w:hyperlink>
    <w:r w:rsidRPr="00F42C8C">
      <w:rPr>
        <w:sz w:val="18"/>
        <w:szCs w:val="18"/>
      </w:rPr>
      <w:t xml:space="preserve"> • </w:t>
    </w:r>
    <w:hyperlink r:id="rId2" w:history="1">
      <w:r w:rsidRPr="00F42C8C">
        <w:rPr>
          <w:rStyle w:val="Hyperlink"/>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CB1" w:rsidRDefault="004D5CB1">
      <w:r>
        <w:t>____________________</w:t>
      </w:r>
    </w:p>
  </w:footnote>
  <w:footnote w:type="continuationSeparator" w:id="0">
    <w:p w:rsidR="004D5CB1" w:rsidRDefault="004D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16770C" w:rsidRDefault="00026CF8" w:rsidP="006330D2">
    <w:pPr>
      <w:pStyle w:val="Header"/>
      <w:rPr>
        <w:sz w:val="18"/>
        <w:szCs w:val="18"/>
      </w:rPr>
    </w:pPr>
    <w:r>
      <w:tab/>
    </w:r>
    <w:r>
      <w:tab/>
    </w:r>
    <w:r w:rsidR="0016770C" w:rsidRPr="0016770C">
      <w:rPr>
        <w:sz w:val="18"/>
        <w:szCs w:val="18"/>
      </w:rPr>
      <w:t xml:space="preserve">- </w:t>
    </w:r>
    <w:r w:rsidR="00200936" w:rsidRPr="0016770C">
      <w:rPr>
        <w:rStyle w:val="PageNumber"/>
        <w:sz w:val="18"/>
        <w:szCs w:val="18"/>
      </w:rPr>
      <w:fldChar w:fldCharType="begin"/>
    </w:r>
    <w:r w:rsidRPr="0016770C">
      <w:rPr>
        <w:rStyle w:val="PageNumber"/>
        <w:sz w:val="18"/>
        <w:szCs w:val="18"/>
      </w:rPr>
      <w:instrText xml:space="preserve"> PAGE </w:instrText>
    </w:r>
    <w:r w:rsidR="00200936" w:rsidRPr="0016770C">
      <w:rPr>
        <w:rStyle w:val="PageNumber"/>
        <w:sz w:val="18"/>
        <w:szCs w:val="18"/>
      </w:rPr>
      <w:fldChar w:fldCharType="separate"/>
    </w:r>
    <w:r w:rsidR="0093655B">
      <w:rPr>
        <w:rStyle w:val="PageNumber"/>
        <w:noProof/>
        <w:sz w:val="18"/>
        <w:szCs w:val="18"/>
      </w:rPr>
      <w:t>4</w:t>
    </w:r>
    <w:r w:rsidR="00200936" w:rsidRPr="0016770C">
      <w:rPr>
        <w:rStyle w:val="PageNumber"/>
        <w:sz w:val="18"/>
        <w:szCs w:val="18"/>
      </w:rPr>
      <w:fldChar w:fldCharType="end"/>
    </w:r>
    <w:r w:rsidR="0016770C" w:rsidRPr="0016770C">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16770C" w:rsidRDefault="00026CF8">
    <w:pPr>
      <w:pStyle w:val="Header"/>
      <w:rPr>
        <w:iCs/>
        <w:sz w:val="18"/>
        <w:szCs w:val="18"/>
      </w:rPr>
    </w:pPr>
    <w:r>
      <w:tab/>
    </w:r>
    <w:r>
      <w:tab/>
    </w:r>
    <w:r w:rsidR="0016770C" w:rsidRPr="0016770C">
      <w:rPr>
        <w:sz w:val="18"/>
        <w:szCs w:val="18"/>
      </w:rPr>
      <w:t xml:space="preserve">- </w:t>
    </w:r>
    <w:r w:rsidR="00200936" w:rsidRPr="0016770C">
      <w:rPr>
        <w:iCs/>
        <w:sz w:val="18"/>
        <w:szCs w:val="18"/>
      </w:rPr>
      <w:fldChar w:fldCharType="begin"/>
    </w:r>
    <w:r w:rsidRPr="0016770C">
      <w:rPr>
        <w:iCs/>
        <w:sz w:val="18"/>
        <w:szCs w:val="18"/>
      </w:rPr>
      <w:instrText xml:space="preserve"> PAGE  \* MERGEFORMAT </w:instrText>
    </w:r>
    <w:r w:rsidR="00200936" w:rsidRPr="0016770C">
      <w:rPr>
        <w:iCs/>
        <w:sz w:val="18"/>
        <w:szCs w:val="18"/>
      </w:rPr>
      <w:fldChar w:fldCharType="separate"/>
    </w:r>
    <w:r w:rsidR="0093655B">
      <w:rPr>
        <w:iCs/>
        <w:noProof/>
        <w:sz w:val="18"/>
        <w:szCs w:val="18"/>
      </w:rPr>
      <w:t>3</w:t>
    </w:r>
    <w:r w:rsidR="00200936" w:rsidRPr="0016770C">
      <w:rPr>
        <w:iCs/>
        <w:sz w:val="18"/>
        <w:szCs w:val="18"/>
      </w:rPr>
      <w:fldChar w:fldCharType="end"/>
    </w:r>
    <w:r w:rsidR="0016770C" w:rsidRPr="0016770C">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3C4471">
      <w:rPr>
        <w:b/>
        <w:bCs/>
        <w:noProof/>
        <w:lang w:val="en-US" w:eastAsia="zh-CN"/>
      </w:rPr>
      <w:drawing>
        <wp:inline distT="0" distB="0" distL="0" distR="0" wp14:anchorId="6A117C69" wp14:editId="3BDEAAAD">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D5CB1"/>
    <w:rsid w:val="00010E30"/>
    <w:rsid w:val="00026CF8"/>
    <w:rsid w:val="00070258"/>
    <w:rsid w:val="00072B9B"/>
    <w:rsid w:val="00072E16"/>
    <w:rsid w:val="0007323C"/>
    <w:rsid w:val="00086D03"/>
    <w:rsid w:val="000A7051"/>
    <w:rsid w:val="000B0F83"/>
    <w:rsid w:val="000C03C7"/>
    <w:rsid w:val="000D2A26"/>
    <w:rsid w:val="000D786F"/>
    <w:rsid w:val="000E3DEE"/>
    <w:rsid w:val="000E77A5"/>
    <w:rsid w:val="00103C76"/>
    <w:rsid w:val="0011265F"/>
    <w:rsid w:val="0016308F"/>
    <w:rsid w:val="0016770C"/>
    <w:rsid w:val="001741A3"/>
    <w:rsid w:val="00196710"/>
    <w:rsid w:val="00197324"/>
    <w:rsid w:val="001B1CE8"/>
    <w:rsid w:val="001D7070"/>
    <w:rsid w:val="001F5A49"/>
    <w:rsid w:val="00200936"/>
    <w:rsid w:val="00201097"/>
    <w:rsid w:val="00201B6E"/>
    <w:rsid w:val="002240B2"/>
    <w:rsid w:val="00235A29"/>
    <w:rsid w:val="002861E6"/>
    <w:rsid w:val="002A2700"/>
    <w:rsid w:val="002D6688"/>
    <w:rsid w:val="002F0890"/>
    <w:rsid w:val="002F4880"/>
    <w:rsid w:val="003370B8"/>
    <w:rsid w:val="003666FF"/>
    <w:rsid w:val="003741EE"/>
    <w:rsid w:val="003B2BDA"/>
    <w:rsid w:val="003B55EC"/>
    <w:rsid w:val="003C4471"/>
    <w:rsid w:val="003E504F"/>
    <w:rsid w:val="00417001"/>
    <w:rsid w:val="004326DB"/>
    <w:rsid w:val="0043682E"/>
    <w:rsid w:val="004815EB"/>
    <w:rsid w:val="00496920"/>
    <w:rsid w:val="004B7C9A"/>
    <w:rsid w:val="004D5CB1"/>
    <w:rsid w:val="004E0DC4"/>
    <w:rsid w:val="004E0FB5"/>
    <w:rsid w:val="004E43BB"/>
    <w:rsid w:val="004F178E"/>
    <w:rsid w:val="00505309"/>
    <w:rsid w:val="0050789B"/>
    <w:rsid w:val="00515771"/>
    <w:rsid w:val="00542A47"/>
    <w:rsid w:val="00543DF8"/>
    <w:rsid w:val="00546101"/>
    <w:rsid w:val="00553DD7"/>
    <w:rsid w:val="0057469A"/>
    <w:rsid w:val="00580814"/>
    <w:rsid w:val="00593DE2"/>
    <w:rsid w:val="005A03A3"/>
    <w:rsid w:val="005B214C"/>
    <w:rsid w:val="00602D53"/>
    <w:rsid w:val="006330D2"/>
    <w:rsid w:val="00651777"/>
    <w:rsid w:val="006B01AB"/>
    <w:rsid w:val="006B0590"/>
    <w:rsid w:val="006B49DA"/>
    <w:rsid w:val="00707216"/>
    <w:rsid w:val="007234B1"/>
    <w:rsid w:val="00730B9A"/>
    <w:rsid w:val="007921A7"/>
    <w:rsid w:val="007A5C27"/>
    <w:rsid w:val="007B3DB1"/>
    <w:rsid w:val="007D183E"/>
    <w:rsid w:val="007E3F13"/>
    <w:rsid w:val="00800012"/>
    <w:rsid w:val="00810C3E"/>
    <w:rsid w:val="0081513E"/>
    <w:rsid w:val="00823210"/>
    <w:rsid w:val="00843445"/>
    <w:rsid w:val="00847D46"/>
    <w:rsid w:val="00854131"/>
    <w:rsid w:val="0085652D"/>
    <w:rsid w:val="0087694B"/>
    <w:rsid w:val="008E6B34"/>
    <w:rsid w:val="008F4094"/>
    <w:rsid w:val="008F4F21"/>
    <w:rsid w:val="00904D4A"/>
    <w:rsid w:val="009151BA"/>
    <w:rsid w:val="009277BC"/>
    <w:rsid w:val="00927D57"/>
    <w:rsid w:val="0093655B"/>
    <w:rsid w:val="00941D23"/>
    <w:rsid w:val="0095010C"/>
    <w:rsid w:val="00963D9D"/>
    <w:rsid w:val="00981B54"/>
    <w:rsid w:val="009833B6"/>
    <w:rsid w:val="009842C3"/>
    <w:rsid w:val="009A6BB6"/>
    <w:rsid w:val="009C161F"/>
    <w:rsid w:val="009D6A5F"/>
    <w:rsid w:val="009E4AEC"/>
    <w:rsid w:val="009E5BD8"/>
    <w:rsid w:val="009E681E"/>
    <w:rsid w:val="00A34D6F"/>
    <w:rsid w:val="00A41F91"/>
    <w:rsid w:val="00A7526A"/>
    <w:rsid w:val="00A963DF"/>
    <w:rsid w:val="00AC3896"/>
    <w:rsid w:val="00AE6CFA"/>
    <w:rsid w:val="00AF3325"/>
    <w:rsid w:val="00B116DE"/>
    <w:rsid w:val="00B32530"/>
    <w:rsid w:val="00B34CF9"/>
    <w:rsid w:val="00B67004"/>
    <w:rsid w:val="00B90C45"/>
    <w:rsid w:val="00B933BE"/>
    <w:rsid w:val="00BB4069"/>
    <w:rsid w:val="00BD7E5E"/>
    <w:rsid w:val="00BE6574"/>
    <w:rsid w:val="00C57E2C"/>
    <w:rsid w:val="00C608B7"/>
    <w:rsid w:val="00C66F24"/>
    <w:rsid w:val="00C9291E"/>
    <w:rsid w:val="00CA3F44"/>
    <w:rsid w:val="00CA4E58"/>
    <w:rsid w:val="00CB3771"/>
    <w:rsid w:val="00CB5153"/>
    <w:rsid w:val="00CC0DA0"/>
    <w:rsid w:val="00CF6752"/>
    <w:rsid w:val="00D10BA0"/>
    <w:rsid w:val="00D24EB5"/>
    <w:rsid w:val="00D41571"/>
    <w:rsid w:val="00D416A0"/>
    <w:rsid w:val="00D47672"/>
    <w:rsid w:val="00D5123C"/>
    <w:rsid w:val="00D51C9E"/>
    <w:rsid w:val="00D55560"/>
    <w:rsid w:val="00D61C5A"/>
    <w:rsid w:val="00DA4375"/>
    <w:rsid w:val="00DC1240"/>
    <w:rsid w:val="00DE66A5"/>
    <w:rsid w:val="00DF2B50"/>
    <w:rsid w:val="00E003F5"/>
    <w:rsid w:val="00E04C86"/>
    <w:rsid w:val="00E20F30"/>
    <w:rsid w:val="00E27BBA"/>
    <w:rsid w:val="00E34CD1"/>
    <w:rsid w:val="00E35E8F"/>
    <w:rsid w:val="00E438E8"/>
    <w:rsid w:val="00E520E2"/>
    <w:rsid w:val="00E64254"/>
    <w:rsid w:val="00EA15B3"/>
    <w:rsid w:val="00EB2358"/>
    <w:rsid w:val="00EB3EB8"/>
    <w:rsid w:val="00EF181D"/>
    <w:rsid w:val="00F42C8C"/>
    <w:rsid w:val="00F468C5"/>
    <w:rsid w:val="00F52F39"/>
    <w:rsid w:val="00F55EAB"/>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aliases w:val="Section of paper"/>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AnnexNotitle0">
    <w:name w:val="Annex_No &amp; title"/>
    <w:basedOn w:val="Normal"/>
    <w:next w:val="Normalaftertitle"/>
    <w:link w:val="AnnexNotitleChar"/>
    <w:rsid w:val="004D5CB1"/>
    <w:pPr>
      <w:keepNext/>
      <w:keepLines/>
      <w:spacing w:before="480" w:line="240" w:lineRule="auto"/>
      <w:jc w:val="center"/>
    </w:pPr>
    <w:rPr>
      <w:rFonts w:ascii="Times New Roman" w:hAnsi="Times New Roman" w:cs="Times New Roman"/>
      <w:b/>
      <w:sz w:val="28"/>
      <w:szCs w:val="20"/>
    </w:rPr>
  </w:style>
  <w:style w:type="character" w:customStyle="1" w:styleId="AnnexNotitleChar">
    <w:name w:val="Annex_No &amp; title Char"/>
    <w:basedOn w:val="DefaultParagraphFont"/>
    <w:link w:val="AnnexNotitle0"/>
    <w:rsid w:val="004D5CB1"/>
    <w:rPr>
      <w:rFonts w:ascii="Times New Roman" w:hAnsi="Times New Roman" w:cs="Times New Roman"/>
      <w:b/>
      <w:sz w:val="28"/>
      <w:lang w:val="es-ES_tradnl" w:eastAsia="en-US"/>
    </w:rPr>
  </w:style>
  <w:style w:type="character" w:customStyle="1" w:styleId="Heading1Char">
    <w:name w:val="Heading 1 Char"/>
    <w:aliases w:val="Section of paper Char"/>
    <w:basedOn w:val="DefaultParagraphFont"/>
    <w:link w:val="Heading1"/>
    <w:uiPriority w:val="99"/>
    <w:locked/>
    <w:rsid w:val="004D5CB1"/>
    <w:rPr>
      <w:b/>
      <w:sz w:val="24"/>
      <w:szCs w:val="22"/>
      <w:lang w:val="es-ES_tradnl" w:eastAsia="en-US"/>
    </w:rPr>
  </w:style>
  <w:style w:type="character" w:styleId="FollowedHyperlink">
    <w:name w:val="FollowedHyperlink"/>
    <w:basedOn w:val="DefaultParagraphFont"/>
    <w:rsid w:val="004D5CB1"/>
    <w:rPr>
      <w:color w:val="800080" w:themeColor="followedHyperlink"/>
      <w:u w:val="single"/>
    </w:rPr>
  </w:style>
  <w:style w:type="paragraph" w:customStyle="1" w:styleId="Reasons">
    <w:name w:val="Reasons"/>
    <w:basedOn w:val="Normal"/>
    <w:qFormat/>
    <w:rsid w:val="004170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aliases w:val="Section of paper"/>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AnnexNotitle0">
    <w:name w:val="Annex_No &amp; title"/>
    <w:basedOn w:val="Normal"/>
    <w:next w:val="Normalaftertitle"/>
    <w:link w:val="AnnexNotitleChar"/>
    <w:rsid w:val="004D5CB1"/>
    <w:pPr>
      <w:keepNext/>
      <w:keepLines/>
      <w:spacing w:before="480" w:line="240" w:lineRule="auto"/>
      <w:jc w:val="center"/>
    </w:pPr>
    <w:rPr>
      <w:rFonts w:ascii="Times New Roman" w:hAnsi="Times New Roman" w:cs="Times New Roman"/>
      <w:b/>
      <w:sz w:val="28"/>
      <w:szCs w:val="20"/>
    </w:rPr>
  </w:style>
  <w:style w:type="character" w:customStyle="1" w:styleId="AnnexNotitleChar">
    <w:name w:val="Annex_No &amp; title Char"/>
    <w:basedOn w:val="DefaultParagraphFont"/>
    <w:link w:val="AnnexNotitle0"/>
    <w:rsid w:val="004D5CB1"/>
    <w:rPr>
      <w:rFonts w:ascii="Times New Roman" w:hAnsi="Times New Roman" w:cs="Times New Roman"/>
      <w:b/>
      <w:sz w:val="28"/>
      <w:lang w:val="es-ES_tradnl" w:eastAsia="en-US"/>
    </w:rPr>
  </w:style>
  <w:style w:type="character" w:customStyle="1" w:styleId="Heading1Char">
    <w:name w:val="Heading 1 Char"/>
    <w:aliases w:val="Section of paper Char"/>
    <w:basedOn w:val="DefaultParagraphFont"/>
    <w:link w:val="Heading1"/>
    <w:uiPriority w:val="99"/>
    <w:locked/>
    <w:rsid w:val="004D5CB1"/>
    <w:rPr>
      <w:b/>
      <w:sz w:val="24"/>
      <w:szCs w:val="22"/>
      <w:lang w:val="es-ES_tradnl" w:eastAsia="en-US"/>
    </w:rPr>
  </w:style>
  <w:style w:type="character" w:styleId="FollowedHyperlink">
    <w:name w:val="FollowedHyperlink"/>
    <w:basedOn w:val="DefaultParagraphFont"/>
    <w:rsid w:val="004D5CB1"/>
    <w:rPr>
      <w:color w:val="800080" w:themeColor="followedHyperlink"/>
      <w:u w:val="single"/>
    </w:rPr>
  </w:style>
  <w:style w:type="paragraph" w:customStyle="1" w:styleId="Reasons">
    <w:name w:val="Reasons"/>
    <w:basedOn w:val="Normal"/>
    <w:qFormat/>
    <w:rsid w:val="004170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C.AR-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sc/go/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theme" Target="theme/theme1.xml"/><Relationship Id="rId10" Type="http://schemas.openxmlformats.org/officeDocument/2006/relationships/hyperlink" Target="http://www.itu.int/md/R12-SCWP-C-0034/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md/R12-SCWP-C-0034/en" TargetMode="External"/><Relationship Id="rId14" Type="http://schemas.openxmlformats.org/officeDocument/2006/relationships/hyperlink" Target="http://www.itu.int/md/R12-SC-C/en"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ITU\Letter-Fax-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BD0486870943DC88D8DBC002F34E70"/>
        <w:category>
          <w:name w:val="General"/>
          <w:gallery w:val="placeholder"/>
        </w:category>
        <w:types>
          <w:type w:val="bbPlcHdr"/>
        </w:types>
        <w:behaviors>
          <w:behavior w:val="content"/>
        </w:behaviors>
        <w:guid w:val="{EB63325D-4167-44E6-9039-224C64F24355}"/>
      </w:docPartPr>
      <w:docPartBody>
        <w:p w:rsidR="003359AB" w:rsidRDefault="003359AB">
          <w:pPr>
            <w:pStyle w:val="D1BD0486870943DC88D8DBC002F34E7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AB"/>
    <w:rsid w:val="00335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BD0486870943DC88D8DBC002F34E70">
    <w:name w:val="D1BD0486870943DC88D8DBC002F34E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BD0486870943DC88D8DBC002F34E70">
    <w:name w:val="D1BD0486870943DC88D8DBC002F34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7A8E-29AF-42A0-A834-BF5096EB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Letter-Fax-S.dotm</Template>
  <TotalTime>207</TotalTime>
  <Pages>4</Pages>
  <Words>1173</Words>
  <Characters>6757</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(Spanish)</vt:lpstr>
      <vt:lpstr>ITU-T Rec. Book 1 Resolutions ITU-T Series A Recommendations:</vt:lpstr>
    </vt:vector>
  </TitlesOfParts>
  <Company>International Telecommunication Union (ITU)</Company>
  <LinksUpToDate>false</LinksUpToDate>
  <CharactersWithSpaces>7915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ITU</cp:lastModifiedBy>
  <cp:revision>21</cp:revision>
  <cp:lastPrinted>2014-07-22T08:31:00Z</cp:lastPrinted>
  <dcterms:created xsi:type="dcterms:W3CDTF">2014-07-16T11:44:00Z</dcterms:created>
  <dcterms:modified xsi:type="dcterms:W3CDTF">2014-07-22T08:35:00Z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