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3543"/>
        <w:gridCol w:w="284"/>
        <w:gridCol w:w="4536"/>
      </w:tblGrid>
      <w:tr w:rsidR="00EA15B3" w:rsidRPr="007C08E6" w:rsidTr="00EA15B3">
        <w:tc>
          <w:tcPr>
            <w:tcW w:w="9889" w:type="dxa"/>
            <w:gridSpan w:val="5"/>
          </w:tcPr>
          <w:p w:rsidR="00EA15B3" w:rsidRPr="007C08E6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4"/>
                <w:szCs w:val="24"/>
              </w:rPr>
            </w:pPr>
            <w:bookmarkStart w:id="0" w:name="Logo"/>
            <w:bookmarkStart w:id="1" w:name="Origine"/>
            <w:bookmarkEnd w:id="0"/>
            <w:bookmarkEnd w:id="1"/>
            <w:r w:rsidRPr="007C08E6">
              <w:rPr>
                <w:rFonts w:cstheme="minorHAnsi"/>
                <w:b/>
                <w:bCs/>
                <w:color w:val="808080"/>
                <w:sz w:val="24"/>
                <w:szCs w:val="24"/>
              </w:rPr>
              <w:t>Oficina de Radiocomunicaciones (BR)</w:t>
            </w:r>
          </w:p>
        </w:tc>
      </w:tr>
      <w:tr w:rsidR="00EA15B3" w:rsidRPr="007C08E6" w:rsidTr="00EA15B3">
        <w:tc>
          <w:tcPr>
            <w:tcW w:w="9889" w:type="dxa"/>
            <w:gridSpan w:val="5"/>
          </w:tcPr>
          <w:p w:rsidR="00EA15B3" w:rsidRPr="007C08E6" w:rsidRDefault="00EA15B3" w:rsidP="00EA15B3">
            <w:pPr>
              <w:jc w:val="left"/>
              <w:rPr>
                <w:sz w:val="24"/>
                <w:szCs w:val="24"/>
              </w:rPr>
            </w:pPr>
          </w:p>
        </w:tc>
      </w:tr>
      <w:tr w:rsidR="00651777" w:rsidRPr="007C08E6" w:rsidTr="00651777">
        <w:tc>
          <w:tcPr>
            <w:tcW w:w="5353" w:type="dxa"/>
            <w:gridSpan w:val="4"/>
          </w:tcPr>
          <w:p w:rsidR="00651777" w:rsidRPr="007C08E6" w:rsidRDefault="00CD0E47" w:rsidP="00CD0E47">
            <w:pPr>
              <w:tabs>
                <w:tab w:val="left" w:pos="7513"/>
              </w:tabs>
              <w:jc w:val="left"/>
              <w:rPr>
                <w:sz w:val="24"/>
                <w:szCs w:val="24"/>
              </w:rPr>
            </w:pPr>
            <w:r w:rsidRPr="007C08E6">
              <w:rPr>
                <w:sz w:val="24"/>
                <w:szCs w:val="24"/>
              </w:rPr>
              <w:t>Circular Administrativa</w:t>
            </w:r>
            <w:r w:rsidRPr="007C08E6">
              <w:rPr>
                <w:sz w:val="24"/>
                <w:szCs w:val="24"/>
              </w:rPr>
              <w:br/>
            </w:r>
            <w:bookmarkStart w:id="2" w:name="dnum"/>
            <w:bookmarkEnd w:id="2"/>
            <w:r w:rsidRPr="007C08E6">
              <w:rPr>
                <w:b/>
                <w:bCs/>
                <w:sz w:val="24"/>
                <w:szCs w:val="24"/>
              </w:rPr>
              <w:t>CACE/</w:t>
            </w:r>
            <w:r w:rsidR="00E7183A">
              <w:rPr>
                <w:b/>
                <w:bCs/>
                <w:sz w:val="24"/>
                <w:szCs w:val="24"/>
              </w:rPr>
              <w:t>659</w:t>
            </w:r>
          </w:p>
        </w:tc>
        <w:tc>
          <w:tcPr>
            <w:tcW w:w="4536" w:type="dxa"/>
          </w:tcPr>
          <w:p w:rsidR="00651777" w:rsidRPr="007C08E6" w:rsidRDefault="00DA4A8C" w:rsidP="00E7183A">
            <w:pPr>
              <w:jc w:val="right"/>
              <w:rPr>
                <w:sz w:val="24"/>
                <w:szCs w:val="24"/>
              </w:rPr>
            </w:pPr>
            <w:r>
              <w:t>12 de mayo</w:t>
            </w:r>
            <w:r w:rsidR="00E7183A">
              <w:t xml:space="preserve"> de 2014</w:t>
            </w:r>
          </w:p>
        </w:tc>
      </w:tr>
      <w:tr w:rsidR="00D2339B" w:rsidRPr="007C08E6" w:rsidTr="00D2339B">
        <w:tc>
          <w:tcPr>
            <w:tcW w:w="1384" w:type="dxa"/>
          </w:tcPr>
          <w:p w:rsidR="00D2339B" w:rsidRPr="007C08E6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2339B" w:rsidRPr="007C08E6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2339B" w:rsidRPr="007C08E6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2339B" w:rsidRPr="007C08E6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</w:tr>
      <w:tr w:rsidR="00D2339B" w:rsidRPr="007C08E6" w:rsidTr="00EA15B3">
        <w:tc>
          <w:tcPr>
            <w:tcW w:w="9889" w:type="dxa"/>
            <w:gridSpan w:val="5"/>
          </w:tcPr>
          <w:p w:rsidR="00D2339B" w:rsidRPr="007C08E6" w:rsidRDefault="000E6C3E" w:rsidP="00E7183A">
            <w:pPr>
              <w:jc w:val="left"/>
              <w:rPr>
                <w:b/>
                <w:sz w:val="24"/>
                <w:szCs w:val="24"/>
              </w:rPr>
            </w:pPr>
            <w:r w:rsidRPr="007C08E6">
              <w:rPr>
                <w:b/>
                <w:bCs/>
                <w:sz w:val="24"/>
                <w:szCs w:val="24"/>
              </w:rPr>
              <w:t>A las Administraciones de los Estados Miembros de la UIT, a los Miembros</w:t>
            </w:r>
            <w:r w:rsidRPr="007C08E6">
              <w:rPr>
                <w:b/>
                <w:bCs/>
                <w:sz w:val="24"/>
                <w:szCs w:val="24"/>
              </w:rPr>
              <w:br/>
              <w:t>de Sector de Radiocomunicaciones y a los Asociados del UIT-R que participan</w:t>
            </w:r>
            <w:r w:rsidRPr="007C08E6">
              <w:rPr>
                <w:b/>
                <w:bCs/>
                <w:sz w:val="24"/>
                <w:szCs w:val="24"/>
              </w:rPr>
              <w:br/>
              <w:t xml:space="preserve">en los trabajos de la Comisión de Estudio </w:t>
            </w:r>
            <w:r w:rsidR="00E7183A">
              <w:rPr>
                <w:b/>
                <w:bCs/>
                <w:sz w:val="24"/>
                <w:szCs w:val="24"/>
              </w:rPr>
              <w:t>4</w:t>
            </w:r>
            <w:r w:rsidRPr="007C08E6">
              <w:rPr>
                <w:b/>
                <w:bCs/>
                <w:sz w:val="24"/>
                <w:szCs w:val="24"/>
              </w:rPr>
              <w:t xml:space="preserve"> de Radiocomunicaciones</w:t>
            </w:r>
          </w:p>
          <w:p w:rsidR="00CD0E47" w:rsidRPr="007C08E6" w:rsidRDefault="00CD0E47" w:rsidP="00CD0E47">
            <w:pPr>
              <w:jc w:val="left"/>
              <w:rPr>
                <w:sz w:val="24"/>
                <w:szCs w:val="24"/>
              </w:rPr>
            </w:pPr>
          </w:p>
        </w:tc>
      </w:tr>
      <w:tr w:rsidR="00CD0E47" w:rsidRPr="007C08E6" w:rsidTr="00471EDA">
        <w:tc>
          <w:tcPr>
            <w:tcW w:w="1526" w:type="dxa"/>
            <w:gridSpan w:val="2"/>
            <w:shd w:val="clear" w:color="auto" w:fill="auto"/>
          </w:tcPr>
          <w:p w:rsidR="00CD0E47" w:rsidRPr="007C08E6" w:rsidRDefault="00086444" w:rsidP="006C04E0">
            <w:pPr>
              <w:spacing w:before="0"/>
              <w:jc w:val="left"/>
              <w:rPr>
                <w:sz w:val="24"/>
                <w:szCs w:val="24"/>
              </w:rPr>
            </w:pPr>
            <w:bookmarkStart w:id="3" w:name="Formula"/>
            <w:bookmarkStart w:id="4" w:name="MainStory"/>
            <w:bookmarkStart w:id="5" w:name="CurrentLocation"/>
            <w:bookmarkEnd w:id="3"/>
            <w:bookmarkEnd w:id="4"/>
            <w:bookmarkEnd w:id="5"/>
            <w:r w:rsidRPr="007C08E6">
              <w:rPr>
                <w:sz w:val="24"/>
                <w:szCs w:val="24"/>
              </w:rPr>
              <w:t>Asunto</w:t>
            </w:r>
            <w:r w:rsidR="006C04E0" w:rsidRPr="007C08E6">
              <w:rPr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3"/>
            <w:vMerge w:val="restart"/>
            <w:shd w:val="clear" w:color="auto" w:fill="auto"/>
          </w:tcPr>
          <w:p w:rsidR="00CD0E47" w:rsidRPr="00AB6500" w:rsidRDefault="000E6C3E" w:rsidP="00E7183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AB6500">
              <w:rPr>
                <w:b/>
                <w:sz w:val="24"/>
                <w:szCs w:val="24"/>
              </w:rPr>
              <w:t xml:space="preserve">Comisión de Estudio </w:t>
            </w:r>
            <w:r w:rsidR="00E7183A" w:rsidRPr="00AB6500">
              <w:rPr>
                <w:b/>
                <w:sz w:val="24"/>
                <w:szCs w:val="24"/>
              </w:rPr>
              <w:t>4</w:t>
            </w:r>
            <w:r w:rsidRPr="00AB6500">
              <w:rPr>
                <w:b/>
                <w:sz w:val="24"/>
                <w:szCs w:val="24"/>
              </w:rPr>
              <w:t xml:space="preserve"> de Radiocomunicaciones </w:t>
            </w:r>
            <w:r w:rsidRPr="00AB6500">
              <w:rPr>
                <w:b/>
                <w:bCs/>
                <w:sz w:val="24"/>
                <w:szCs w:val="24"/>
              </w:rPr>
              <w:t>(</w:t>
            </w:r>
            <w:r w:rsidR="00E7183A" w:rsidRPr="00AB650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Servicios por satélite</w:t>
            </w:r>
            <w:r w:rsidRPr="00AB6500">
              <w:rPr>
                <w:b/>
                <w:bCs/>
                <w:sz w:val="24"/>
                <w:szCs w:val="24"/>
              </w:rPr>
              <w:t>)</w:t>
            </w:r>
          </w:p>
          <w:p w:rsidR="00CD0E47" w:rsidRPr="007C08E6" w:rsidRDefault="00CD0E47" w:rsidP="00E7183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7C08E6">
              <w:rPr>
                <w:sz w:val="24"/>
                <w:szCs w:val="24"/>
              </w:rPr>
              <w:t>–</w:t>
            </w:r>
            <w:r w:rsidRPr="007C08E6">
              <w:rPr>
                <w:b/>
                <w:bCs/>
                <w:sz w:val="24"/>
                <w:szCs w:val="24"/>
              </w:rPr>
              <w:tab/>
            </w:r>
            <w:r w:rsidR="00E7183A">
              <w:rPr>
                <w:b/>
                <w:sz w:val="24"/>
                <w:szCs w:val="24"/>
              </w:rPr>
              <w:t>Propuesta de aprobación de 1 proyecto</w:t>
            </w:r>
            <w:r w:rsidR="000E6C3E" w:rsidRPr="007C08E6">
              <w:rPr>
                <w:b/>
                <w:sz w:val="24"/>
                <w:szCs w:val="24"/>
              </w:rPr>
              <w:t xml:space="preserve"> de nueva Recomendación </w:t>
            </w:r>
            <w:r w:rsidR="0059687C" w:rsidRPr="007C08E6">
              <w:rPr>
                <w:b/>
                <w:sz w:val="24"/>
                <w:szCs w:val="24"/>
              </w:rPr>
              <w:t xml:space="preserve">UIT-R </w:t>
            </w:r>
            <w:r w:rsidR="000E6C3E" w:rsidRPr="007C08E6">
              <w:rPr>
                <w:b/>
                <w:sz w:val="24"/>
                <w:szCs w:val="24"/>
              </w:rPr>
              <w:t xml:space="preserve">y </w:t>
            </w:r>
            <w:r w:rsidR="00E7183A">
              <w:rPr>
                <w:b/>
                <w:sz w:val="24"/>
                <w:szCs w:val="24"/>
              </w:rPr>
              <w:br/>
              <w:t xml:space="preserve">1 proyecto </w:t>
            </w:r>
            <w:r w:rsidR="000E6C3E" w:rsidRPr="007C08E6">
              <w:rPr>
                <w:b/>
                <w:sz w:val="24"/>
                <w:szCs w:val="24"/>
              </w:rPr>
              <w:t xml:space="preserve">de Recomendación </w:t>
            </w:r>
            <w:r w:rsidR="0059687C" w:rsidRPr="007C08E6">
              <w:rPr>
                <w:b/>
                <w:sz w:val="24"/>
                <w:szCs w:val="24"/>
              </w:rPr>
              <w:t xml:space="preserve">UIT-R </w:t>
            </w:r>
            <w:r w:rsidR="000E6C3E" w:rsidRPr="007C08E6">
              <w:rPr>
                <w:b/>
                <w:sz w:val="24"/>
                <w:szCs w:val="24"/>
              </w:rPr>
              <w:t>revisada</w:t>
            </w:r>
          </w:p>
        </w:tc>
      </w:tr>
      <w:tr w:rsidR="00CD0E47" w:rsidRPr="007C08E6" w:rsidTr="00471EDA">
        <w:tc>
          <w:tcPr>
            <w:tcW w:w="1526" w:type="dxa"/>
            <w:gridSpan w:val="2"/>
            <w:shd w:val="clear" w:color="auto" w:fill="auto"/>
          </w:tcPr>
          <w:p w:rsidR="00CD0E47" w:rsidRPr="007C08E6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7C08E6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7C08E6" w:rsidTr="00471EDA">
        <w:tc>
          <w:tcPr>
            <w:tcW w:w="1526" w:type="dxa"/>
            <w:gridSpan w:val="2"/>
            <w:shd w:val="clear" w:color="auto" w:fill="auto"/>
          </w:tcPr>
          <w:p w:rsidR="00CD0E47" w:rsidRPr="007C08E6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7C08E6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7C08E6" w:rsidTr="00471EDA">
        <w:tc>
          <w:tcPr>
            <w:tcW w:w="9889" w:type="dxa"/>
            <w:gridSpan w:val="5"/>
            <w:shd w:val="clear" w:color="auto" w:fill="auto"/>
          </w:tcPr>
          <w:p w:rsidR="00CD0E47" w:rsidRPr="007C08E6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0E6C3E" w:rsidRPr="007C08E6" w:rsidRDefault="000E6C3E" w:rsidP="00E7183A">
      <w:pPr>
        <w:spacing w:before="240"/>
        <w:rPr>
          <w:sz w:val="24"/>
          <w:szCs w:val="24"/>
        </w:rPr>
      </w:pPr>
      <w:r w:rsidRPr="007C08E6">
        <w:rPr>
          <w:sz w:val="24"/>
          <w:szCs w:val="24"/>
        </w:rPr>
        <w:t xml:space="preserve">En la reunión de la Comisión de Estudio </w:t>
      </w:r>
      <w:r w:rsidR="00E7183A">
        <w:rPr>
          <w:sz w:val="24"/>
          <w:szCs w:val="24"/>
        </w:rPr>
        <w:t>4</w:t>
      </w:r>
      <w:r w:rsidRPr="007C08E6">
        <w:rPr>
          <w:sz w:val="24"/>
          <w:szCs w:val="24"/>
        </w:rPr>
        <w:t xml:space="preserve"> de</w:t>
      </w:r>
      <w:r w:rsidR="00F352C6">
        <w:rPr>
          <w:sz w:val="24"/>
          <w:szCs w:val="24"/>
        </w:rPr>
        <w:t xml:space="preserve"> Radiocomunicaciones celebrada </w:t>
      </w:r>
      <w:r w:rsidRPr="007C08E6">
        <w:rPr>
          <w:sz w:val="24"/>
          <w:szCs w:val="24"/>
        </w:rPr>
        <w:t xml:space="preserve">el </w:t>
      </w:r>
      <w:r w:rsidR="00E7183A">
        <w:rPr>
          <w:sz w:val="24"/>
          <w:szCs w:val="24"/>
        </w:rPr>
        <w:t>11 de octubre de</w:t>
      </w:r>
      <w:r w:rsidRPr="007C08E6">
        <w:rPr>
          <w:sz w:val="24"/>
          <w:szCs w:val="24"/>
        </w:rPr>
        <w:t xml:space="preserve"> 2013, la Comisión de Estudio de</w:t>
      </w:r>
      <w:r w:rsidR="00E7183A">
        <w:rPr>
          <w:sz w:val="24"/>
          <w:szCs w:val="24"/>
        </w:rPr>
        <w:t>cidió solicitar la adopción de 1</w:t>
      </w:r>
      <w:r w:rsidRPr="007C08E6">
        <w:rPr>
          <w:sz w:val="24"/>
          <w:szCs w:val="24"/>
        </w:rPr>
        <w:t xml:space="preserve"> proyecto de nueva Recomendación </w:t>
      </w:r>
      <w:r w:rsidR="00F3137D" w:rsidRPr="007C08E6">
        <w:rPr>
          <w:sz w:val="24"/>
          <w:szCs w:val="24"/>
        </w:rPr>
        <w:t xml:space="preserve">UIT-R </w:t>
      </w:r>
      <w:r w:rsidRPr="007C08E6">
        <w:rPr>
          <w:sz w:val="24"/>
          <w:szCs w:val="24"/>
        </w:rPr>
        <w:t xml:space="preserve">y </w:t>
      </w:r>
      <w:r w:rsidR="00E7183A">
        <w:rPr>
          <w:sz w:val="24"/>
          <w:szCs w:val="24"/>
        </w:rPr>
        <w:t xml:space="preserve">1 </w:t>
      </w:r>
      <w:r w:rsidRPr="007C08E6">
        <w:rPr>
          <w:sz w:val="24"/>
          <w:szCs w:val="24"/>
        </w:rPr>
        <w:t xml:space="preserve">proyecto de Recomendación </w:t>
      </w:r>
      <w:r w:rsidR="00F3137D" w:rsidRPr="007C08E6">
        <w:rPr>
          <w:sz w:val="24"/>
          <w:szCs w:val="24"/>
        </w:rPr>
        <w:t xml:space="preserve">UIT-R </w:t>
      </w:r>
      <w:r w:rsidRPr="007C08E6">
        <w:rPr>
          <w:sz w:val="24"/>
          <w:szCs w:val="24"/>
        </w:rPr>
        <w:t xml:space="preserve">revisada por correspondencia, de conformidad con el § 10.2.3 de la Resolución UIT-R 1-6. </w:t>
      </w:r>
    </w:p>
    <w:p w:rsidR="000E6C3E" w:rsidRPr="007C08E6" w:rsidRDefault="000E6C3E" w:rsidP="00E7183A">
      <w:pPr>
        <w:rPr>
          <w:sz w:val="24"/>
          <w:szCs w:val="24"/>
        </w:rPr>
      </w:pPr>
      <w:r w:rsidRPr="007C08E6">
        <w:rPr>
          <w:sz w:val="24"/>
          <w:szCs w:val="24"/>
        </w:rPr>
        <w:t xml:space="preserve">Como indica la </w:t>
      </w:r>
      <w:r w:rsidR="00E7183A">
        <w:rPr>
          <w:sz w:val="24"/>
          <w:szCs w:val="24"/>
        </w:rPr>
        <w:t>Circular Administrativa CACE/638</w:t>
      </w:r>
      <w:r w:rsidRPr="007C08E6">
        <w:rPr>
          <w:sz w:val="24"/>
          <w:szCs w:val="24"/>
        </w:rPr>
        <w:t xml:space="preserve"> de </w:t>
      </w:r>
      <w:r w:rsidR="00E7183A">
        <w:rPr>
          <w:sz w:val="24"/>
          <w:szCs w:val="24"/>
        </w:rPr>
        <w:t>28 de octubre</w:t>
      </w:r>
      <w:r w:rsidRPr="007C08E6">
        <w:rPr>
          <w:sz w:val="24"/>
          <w:szCs w:val="24"/>
        </w:rPr>
        <w:t xml:space="preserve"> de 2013, el periodo de consulta para la adopción de las Recomendaciones finalizó el </w:t>
      </w:r>
      <w:r w:rsidR="00E7183A">
        <w:rPr>
          <w:sz w:val="24"/>
          <w:szCs w:val="24"/>
        </w:rPr>
        <w:t>28 de diciembre de</w:t>
      </w:r>
      <w:r w:rsidRPr="007C08E6">
        <w:rPr>
          <w:sz w:val="24"/>
          <w:szCs w:val="24"/>
        </w:rPr>
        <w:t xml:space="preserve"> 2013.</w:t>
      </w:r>
    </w:p>
    <w:p w:rsidR="000E6C3E" w:rsidRDefault="00DA4A8C" w:rsidP="00DA4A8C">
      <w:pPr>
        <w:rPr>
          <w:sz w:val="24"/>
          <w:szCs w:val="24"/>
        </w:rPr>
      </w:pPr>
      <w:r w:rsidRPr="00DA4A8C">
        <w:rPr>
          <w:rFonts w:asciiTheme="minorHAnsi" w:hAnsiTheme="minorHAnsi" w:cstheme="minorHAnsi"/>
          <w:sz w:val="24"/>
          <w:szCs w:val="20"/>
        </w:rPr>
        <w:t>El p</w:t>
      </w:r>
      <w:r w:rsidRPr="00DA4A8C">
        <w:rPr>
          <w:rFonts w:asciiTheme="minorHAnsi" w:hAnsiTheme="minorHAnsi" w:cstheme="minorHAnsi"/>
          <w:sz w:val="24"/>
          <w:szCs w:val="20"/>
          <w:lang w:val="es-ES"/>
        </w:rPr>
        <w:t xml:space="preserve">royecto de revisión de la </w:t>
      </w:r>
      <w:r w:rsidRPr="00DA4A8C">
        <w:rPr>
          <w:rFonts w:asciiTheme="minorHAnsi" w:hAnsiTheme="minorHAnsi" w:cstheme="minorHAnsi"/>
          <w:sz w:val="24"/>
          <w:szCs w:val="24"/>
          <w:lang w:val="es-ES"/>
        </w:rPr>
        <w:t xml:space="preserve">Recomendación </w:t>
      </w:r>
      <w:r w:rsidRPr="00DA4A8C">
        <w:rPr>
          <w:sz w:val="24"/>
          <w:szCs w:val="24"/>
          <w:lang w:val="es-ES"/>
        </w:rPr>
        <w:t>UIT</w:t>
      </w:r>
      <w:r w:rsidRPr="00DA4A8C">
        <w:rPr>
          <w:rFonts w:asciiTheme="minorHAnsi" w:hAnsiTheme="minorHAnsi" w:cstheme="minorHAnsi"/>
          <w:sz w:val="24"/>
          <w:szCs w:val="24"/>
          <w:lang w:val="es-ES"/>
        </w:rPr>
        <w:t>-R BO.1443-2</w:t>
      </w:r>
      <w:r w:rsidRPr="00DA4A8C">
        <w:rPr>
          <w:sz w:val="24"/>
          <w:szCs w:val="24"/>
        </w:rPr>
        <w:t xml:space="preserve"> </w:t>
      </w:r>
      <w:r w:rsidR="000E6C3E" w:rsidRPr="007C08E6">
        <w:rPr>
          <w:sz w:val="24"/>
          <w:szCs w:val="24"/>
        </w:rPr>
        <w:t>ha sido adopta</w:t>
      </w:r>
      <w:r w:rsidR="00E7183A">
        <w:rPr>
          <w:sz w:val="24"/>
          <w:szCs w:val="24"/>
        </w:rPr>
        <w:t>da por la Comisión de Estudio 4</w:t>
      </w:r>
      <w:r w:rsidR="000E6C3E" w:rsidRPr="007C08E6">
        <w:rPr>
          <w:sz w:val="24"/>
          <w:szCs w:val="24"/>
        </w:rPr>
        <w:t xml:space="preserve"> y debe aplicarse el procedimiento de aprobación de la Resolució</w:t>
      </w:r>
      <w:r w:rsidR="00E7183A">
        <w:rPr>
          <w:sz w:val="24"/>
          <w:szCs w:val="24"/>
        </w:rPr>
        <w:t xml:space="preserve">n UIT-R 1-6 § 10.4. </w:t>
      </w:r>
      <w:r>
        <w:rPr>
          <w:sz w:val="24"/>
          <w:szCs w:val="24"/>
        </w:rPr>
        <w:br/>
        <w:t xml:space="preserve">El </w:t>
      </w:r>
      <w:r w:rsidR="00E7183A">
        <w:rPr>
          <w:sz w:val="24"/>
          <w:szCs w:val="24"/>
        </w:rPr>
        <w:t>título</w:t>
      </w:r>
      <w:r w:rsidR="000E6C3E" w:rsidRPr="007C08E6">
        <w:rPr>
          <w:sz w:val="24"/>
          <w:szCs w:val="24"/>
        </w:rPr>
        <w:t xml:space="preserve"> y res</w:t>
      </w:r>
      <w:r>
        <w:rPr>
          <w:sz w:val="24"/>
          <w:szCs w:val="24"/>
        </w:rPr>
        <w:t>u</w:t>
      </w:r>
      <w:r w:rsidR="000E6C3E" w:rsidRPr="007C08E6">
        <w:rPr>
          <w:sz w:val="24"/>
          <w:szCs w:val="24"/>
        </w:rPr>
        <w:t>men de</w:t>
      </w:r>
      <w:r>
        <w:rPr>
          <w:sz w:val="24"/>
          <w:szCs w:val="24"/>
        </w:rPr>
        <w:t xml:space="preserve">l </w:t>
      </w:r>
      <w:r w:rsidR="000E6C3E" w:rsidRPr="007C08E6">
        <w:rPr>
          <w:sz w:val="24"/>
          <w:szCs w:val="24"/>
        </w:rPr>
        <w:t>pro</w:t>
      </w:r>
      <w:r w:rsidR="00E7183A">
        <w:rPr>
          <w:sz w:val="24"/>
          <w:szCs w:val="24"/>
        </w:rPr>
        <w:t>yecto de Recomendación aparece</w:t>
      </w:r>
      <w:r w:rsidR="00754B00">
        <w:rPr>
          <w:sz w:val="24"/>
          <w:szCs w:val="24"/>
        </w:rPr>
        <w:t>n</w:t>
      </w:r>
      <w:r w:rsidR="000E6C3E" w:rsidRPr="007C08E6">
        <w:rPr>
          <w:sz w:val="24"/>
          <w:szCs w:val="24"/>
        </w:rPr>
        <w:t xml:space="preserve"> en el Anexo</w:t>
      </w:r>
      <w:r w:rsidR="00E7183A">
        <w:rPr>
          <w:sz w:val="24"/>
          <w:szCs w:val="24"/>
        </w:rPr>
        <w:t>.</w:t>
      </w:r>
    </w:p>
    <w:p w:rsidR="00DA4A8C" w:rsidRPr="00DA4A8C" w:rsidRDefault="00DA4A8C" w:rsidP="00DA4A8C">
      <w:pPr>
        <w:rPr>
          <w:rFonts w:asciiTheme="minorHAnsi" w:hAnsiTheme="minorHAnsi"/>
          <w:sz w:val="24"/>
          <w:szCs w:val="24"/>
        </w:rPr>
      </w:pPr>
      <w:r w:rsidRPr="00DA4A8C">
        <w:rPr>
          <w:rFonts w:asciiTheme="minorHAnsi" w:hAnsiTheme="minorHAnsi"/>
          <w:sz w:val="24"/>
          <w:szCs w:val="24"/>
        </w:rPr>
        <w:t xml:space="preserve">El proyecto de nueva Recomendación </w:t>
      </w:r>
      <w:r w:rsidRPr="00DA4A8C">
        <w:rPr>
          <w:rFonts w:asciiTheme="minorHAnsi" w:hAnsiTheme="minorHAnsi" w:cstheme="minorHAnsi"/>
          <w:sz w:val="24"/>
          <w:szCs w:val="24"/>
        </w:rPr>
        <w:t>UIT-R M.[AMS(R)S.METHODOLOGY]-0</w:t>
      </w:r>
      <w:r>
        <w:rPr>
          <w:rFonts w:asciiTheme="minorHAnsi" w:hAnsiTheme="minorHAnsi" w:cstheme="minorHAnsi"/>
          <w:szCs w:val="24"/>
        </w:rPr>
        <w:t xml:space="preserve"> </w:t>
      </w:r>
      <w:r w:rsidRPr="00DA4A8C">
        <w:rPr>
          <w:rFonts w:asciiTheme="minorHAnsi" w:hAnsiTheme="minorHAnsi"/>
          <w:sz w:val="24"/>
          <w:szCs w:val="24"/>
        </w:rPr>
        <w:t xml:space="preserve">no fue adoptado y se </w:t>
      </w:r>
      <w:r>
        <w:rPr>
          <w:rFonts w:asciiTheme="minorHAnsi" w:hAnsiTheme="minorHAnsi"/>
          <w:sz w:val="24"/>
          <w:szCs w:val="24"/>
        </w:rPr>
        <w:t>devolverá al Grupo de Trabajo 4C</w:t>
      </w:r>
      <w:r w:rsidRPr="00DA4A8C">
        <w:rPr>
          <w:rFonts w:asciiTheme="minorHAnsi" w:hAnsiTheme="minorHAnsi"/>
          <w:sz w:val="24"/>
          <w:szCs w:val="24"/>
        </w:rPr>
        <w:t xml:space="preserve"> para que siga discutiéndose.</w:t>
      </w:r>
    </w:p>
    <w:p w:rsidR="000E6C3E" w:rsidRPr="007C08E6" w:rsidRDefault="000E6C3E" w:rsidP="00CC1643">
      <w:pPr>
        <w:rPr>
          <w:sz w:val="24"/>
          <w:szCs w:val="24"/>
        </w:rPr>
      </w:pPr>
      <w:r w:rsidRPr="007C08E6">
        <w:rPr>
          <w:sz w:val="24"/>
          <w:szCs w:val="24"/>
        </w:rPr>
        <w:t>Teniendo en cuenta las disposiciones del § 10.4 de la Resolución UIT-R 1-6, se solicita a los Estados Miembros que informen a la Secretaría (</w:t>
      </w:r>
      <w:hyperlink r:id="rId9" w:history="1">
        <w:r w:rsidRPr="007C08E6">
          <w:rPr>
            <w:rStyle w:val="Hyperlink"/>
            <w:sz w:val="24"/>
            <w:szCs w:val="24"/>
          </w:rPr>
          <w:t>brsgd@itu.int</w:t>
        </w:r>
      </w:hyperlink>
      <w:r w:rsidRPr="007C08E6">
        <w:rPr>
          <w:sz w:val="24"/>
          <w:szCs w:val="24"/>
        </w:rPr>
        <w:t xml:space="preserve">) a más tardar el </w:t>
      </w:r>
      <w:r w:rsidR="00CC1643">
        <w:rPr>
          <w:sz w:val="24"/>
          <w:szCs w:val="24"/>
          <w:u w:val="single"/>
        </w:rPr>
        <w:t>12 de julio</w:t>
      </w:r>
      <w:r w:rsidR="00E7183A" w:rsidRPr="000659B4">
        <w:rPr>
          <w:sz w:val="24"/>
          <w:szCs w:val="24"/>
          <w:u w:val="single"/>
        </w:rPr>
        <w:t xml:space="preserve"> de</w:t>
      </w:r>
      <w:r w:rsidR="004E02C0">
        <w:rPr>
          <w:sz w:val="24"/>
          <w:szCs w:val="24"/>
          <w:u w:val="single"/>
        </w:rPr>
        <w:t xml:space="preserve"> </w:t>
      </w:r>
      <w:r w:rsidR="00E7183A" w:rsidRPr="000659B4">
        <w:rPr>
          <w:sz w:val="24"/>
          <w:szCs w:val="24"/>
          <w:u w:val="single"/>
        </w:rPr>
        <w:t>2014</w:t>
      </w:r>
      <w:r w:rsidRPr="007C08E6">
        <w:rPr>
          <w:sz w:val="24"/>
          <w:szCs w:val="24"/>
        </w:rPr>
        <w:t xml:space="preserve"> si apr</w:t>
      </w:r>
      <w:r w:rsidR="00AB6500">
        <w:rPr>
          <w:sz w:val="24"/>
          <w:szCs w:val="24"/>
        </w:rPr>
        <w:t>ueban o no las propuestas anteriores</w:t>
      </w:r>
      <w:r w:rsidRPr="007C08E6">
        <w:rPr>
          <w:sz w:val="24"/>
          <w:szCs w:val="24"/>
        </w:rPr>
        <w:t>.</w:t>
      </w:r>
    </w:p>
    <w:p w:rsidR="000E6C3E" w:rsidRPr="007C08E6" w:rsidRDefault="000E6C3E" w:rsidP="000E6C3E">
      <w:pPr>
        <w:rPr>
          <w:sz w:val="24"/>
          <w:szCs w:val="24"/>
        </w:rPr>
      </w:pPr>
      <w:r w:rsidRPr="007C08E6">
        <w:rPr>
          <w:sz w:val="24"/>
          <w:szCs w:val="24"/>
        </w:rPr>
        <w:t>Se solicita a todo Estado Miembro que se oponga a la aprobación de un proyecto de Recomendación que informe al Director y al Presidente de la Comisión de Estudio de las razones correspondientes.</w:t>
      </w:r>
    </w:p>
    <w:p w:rsidR="00BE79D9" w:rsidRPr="007C08E6" w:rsidRDefault="000E6C3E" w:rsidP="007C08E6">
      <w:pPr>
        <w:rPr>
          <w:sz w:val="24"/>
          <w:szCs w:val="24"/>
        </w:rPr>
      </w:pPr>
      <w:r w:rsidRPr="007C08E6">
        <w:rPr>
          <w:sz w:val="24"/>
          <w:szCs w:val="24"/>
        </w:rPr>
        <w:t>Una vez transcurrido el plazo señalado, se anunciarán los resultados de esta consulta en una Circular Administrativa y las Recomendaciones aprobadas se publicarán a la mayor brevedad posible (véase</w:t>
      </w:r>
      <w:r w:rsidR="003339D2" w:rsidRPr="007C08E6">
        <w:rPr>
          <w:sz w:val="24"/>
          <w:szCs w:val="24"/>
        </w:rPr>
        <w:t> </w:t>
      </w:r>
      <w:hyperlink r:id="rId10" w:history="1">
        <w:r w:rsidRPr="007C08E6">
          <w:rPr>
            <w:rStyle w:val="Hyperlink"/>
            <w:sz w:val="24"/>
            <w:szCs w:val="24"/>
          </w:rPr>
          <w:t>http://www.itu.int/pub/R-REC</w:t>
        </w:r>
      </w:hyperlink>
      <w:r w:rsidRPr="007C08E6">
        <w:rPr>
          <w:sz w:val="24"/>
          <w:szCs w:val="24"/>
        </w:rPr>
        <w:t>).</w:t>
      </w:r>
    </w:p>
    <w:p w:rsidR="000E6C3E" w:rsidRPr="007C08E6" w:rsidRDefault="000E6C3E" w:rsidP="007C08E6">
      <w:pPr>
        <w:keepNext/>
        <w:rPr>
          <w:sz w:val="24"/>
          <w:szCs w:val="24"/>
        </w:rPr>
      </w:pPr>
      <w:r w:rsidRPr="007C08E6">
        <w:rPr>
          <w:sz w:val="24"/>
          <w:szCs w:val="24"/>
        </w:rPr>
        <w:lastRenderedPageBreak/>
        <w:t xml:space="preserve">Se solicita a toda organización miembro de la UIT que tenga conocimiento de una patente, de su propiedad o de propiedad ajena, que cubra total o parcialmente elementos del proyecto o proyectos de Recomendaciones mencionados en esta carta, que comunique dicha información a la Secretaría tan pronto como sea posible. La Política común en materia de patentes para </w:t>
      </w:r>
      <w:r w:rsidR="00E7183A">
        <w:rPr>
          <w:sz w:val="24"/>
          <w:szCs w:val="24"/>
        </w:rPr>
        <w:br/>
      </w:r>
      <w:r w:rsidRPr="007C08E6">
        <w:rPr>
          <w:sz w:val="24"/>
          <w:szCs w:val="24"/>
        </w:rPr>
        <w:t xml:space="preserve">UIT-T/UIT-R/ISO/CEI puede consultarse en </w:t>
      </w:r>
      <w:hyperlink r:id="rId11" w:history="1">
        <w:r w:rsidR="003339D2" w:rsidRPr="007C08E6">
          <w:rPr>
            <w:rStyle w:val="Hyperlink"/>
            <w:sz w:val="24"/>
            <w:szCs w:val="24"/>
          </w:rPr>
          <w:t>http://www.itu.int/en/ITU-T/ipr/Pages/policy.aspx</w:t>
        </w:r>
      </w:hyperlink>
      <w:r w:rsidRPr="007C08E6">
        <w:rPr>
          <w:sz w:val="24"/>
          <w:szCs w:val="24"/>
        </w:rPr>
        <w:t>.</w:t>
      </w:r>
    </w:p>
    <w:p w:rsidR="002E1472" w:rsidRPr="007C08E6" w:rsidRDefault="00CD0E47" w:rsidP="008F762A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lear" w:pos="4820"/>
        </w:tabs>
        <w:spacing w:before="1320"/>
        <w:ind w:left="0"/>
        <w:jc w:val="left"/>
        <w:rPr>
          <w:rFonts w:asciiTheme="minorHAnsi" w:hAnsiTheme="minorHAnsi"/>
          <w:szCs w:val="24"/>
          <w:lang w:val="es-ES_tradnl"/>
        </w:rPr>
      </w:pPr>
      <w:r w:rsidRPr="007C08E6">
        <w:rPr>
          <w:rFonts w:asciiTheme="minorHAnsi" w:hAnsiTheme="minorHAnsi"/>
          <w:szCs w:val="24"/>
          <w:lang w:val="es-ES_tradnl"/>
        </w:rPr>
        <w:t>François Rancy</w:t>
      </w:r>
      <w:r w:rsidRPr="007C08E6">
        <w:rPr>
          <w:rFonts w:asciiTheme="minorHAnsi" w:hAnsiTheme="minorHAnsi"/>
          <w:szCs w:val="24"/>
          <w:lang w:val="es-ES_tradnl"/>
        </w:rPr>
        <w:br/>
        <w:t>Director</w:t>
      </w:r>
    </w:p>
    <w:p w:rsidR="00E7183A" w:rsidRDefault="00CD0E47" w:rsidP="00475554">
      <w:pPr>
        <w:tabs>
          <w:tab w:val="left" w:pos="4820"/>
        </w:tabs>
        <w:spacing w:before="840"/>
        <w:ind w:left="1588" w:hanging="1588"/>
        <w:jc w:val="left"/>
        <w:rPr>
          <w:sz w:val="24"/>
          <w:szCs w:val="24"/>
        </w:rPr>
      </w:pPr>
      <w:r w:rsidRPr="007C08E6">
        <w:rPr>
          <w:b/>
          <w:sz w:val="24"/>
          <w:szCs w:val="24"/>
        </w:rPr>
        <w:t>Anexo</w:t>
      </w:r>
      <w:r w:rsidR="003339D2" w:rsidRPr="007C08E6">
        <w:rPr>
          <w:bCs/>
          <w:sz w:val="24"/>
          <w:szCs w:val="24"/>
        </w:rPr>
        <w:t>:</w:t>
      </w:r>
      <w:r w:rsidR="003339D2" w:rsidRPr="007C08E6">
        <w:rPr>
          <w:bCs/>
          <w:sz w:val="24"/>
          <w:szCs w:val="24"/>
        </w:rPr>
        <w:tab/>
      </w:r>
      <w:r w:rsidR="00BE79D9" w:rsidRPr="007C08E6">
        <w:rPr>
          <w:bCs/>
          <w:sz w:val="24"/>
          <w:szCs w:val="24"/>
        </w:rPr>
        <w:tab/>
      </w:r>
      <w:r w:rsidR="00E7183A">
        <w:rPr>
          <w:bCs/>
          <w:sz w:val="24"/>
          <w:szCs w:val="24"/>
        </w:rPr>
        <w:tab/>
      </w:r>
      <w:r w:rsidR="00E7183A">
        <w:rPr>
          <w:sz w:val="24"/>
          <w:szCs w:val="24"/>
        </w:rPr>
        <w:t>Título y res</w:t>
      </w:r>
      <w:r w:rsidR="00475554">
        <w:rPr>
          <w:sz w:val="24"/>
          <w:szCs w:val="24"/>
        </w:rPr>
        <w:t>u</w:t>
      </w:r>
      <w:r w:rsidR="00E7183A">
        <w:rPr>
          <w:sz w:val="24"/>
          <w:szCs w:val="24"/>
        </w:rPr>
        <w:t>men</w:t>
      </w:r>
      <w:r w:rsidR="000E6C3E" w:rsidRPr="007C08E6">
        <w:rPr>
          <w:sz w:val="24"/>
          <w:szCs w:val="24"/>
        </w:rPr>
        <w:t xml:space="preserve"> del</w:t>
      </w:r>
      <w:r w:rsidR="00E7183A">
        <w:rPr>
          <w:sz w:val="24"/>
          <w:szCs w:val="24"/>
        </w:rPr>
        <w:t xml:space="preserve"> proyecto</w:t>
      </w:r>
      <w:r w:rsidR="00DB7205" w:rsidRPr="007C08E6">
        <w:rPr>
          <w:sz w:val="24"/>
          <w:szCs w:val="24"/>
        </w:rPr>
        <w:t xml:space="preserve"> de Recomendación</w:t>
      </w:r>
    </w:p>
    <w:p w:rsidR="00E7183A" w:rsidRDefault="00E7183A" w:rsidP="00E7183A">
      <w:pPr>
        <w:tabs>
          <w:tab w:val="left" w:pos="4820"/>
        </w:tabs>
        <w:ind w:left="1588" w:hanging="1588"/>
        <w:jc w:val="left"/>
        <w:rPr>
          <w:sz w:val="24"/>
          <w:szCs w:val="24"/>
        </w:rPr>
      </w:pPr>
    </w:p>
    <w:p w:rsidR="00BE79D9" w:rsidRPr="007C08E6" w:rsidRDefault="00475554" w:rsidP="00CC1643">
      <w:pPr>
        <w:tabs>
          <w:tab w:val="left" w:pos="4820"/>
        </w:tabs>
        <w:ind w:left="1588" w:hanging="1588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Documento</w:t>
      </w:r>
      <w:r w:rsidR="00E7183A" w:rsidRPr="00E7183A">
        <w:rPr>
          <w:b/>
          <w:bCs/>
          <w:sz w:val="24"/>
          <w:szCs w:val="24"/>
        </w:rPr>
        <w:t>:</w:t>
      </w:r>
      <w:r w:rsidR="00E7183A">
        <w:rPr>
          <w:bCs/>
          <w:sz w:val="24"/>
          <w:szCs w:val="24"/>
        </w:rPr>
        <w:tab/>
      </w:r>
      <w:r w:rsidR="000E6C3E" w:rsidRPr="00E7183A">
        <w:rPr>
          <w:bCs/>
          <w:sz w:val="24"/>
          <w:szCs w:val="24"/>
        </w:rPr>
        <w:t>Documento</w:t>
      </w:r>
      <w:r w:rsidR="00E7183A" w:rsidRPr="00E7183A">
        <w:rPr>
          <w:sz w:val="24"/>
          <w:szCs w:val="24"/>
          <w:lang w:val="es-ES"/>
        </w:rPr>
        <w:t xml:space="preserve"> 4/BL/4</w:t>
      </w:r>
    </w:p>
    <w:p w:rsidR="000E6C3E" w:rsidRPr="00F404B0" w:rsidRDefault="00754B00" w:rsidP="00AB6500">
      <w:pPr>
        <w:spacing w:before="120"/>
        <w:jc w:val="left"/>
        <w:rPr>
          <w:rFonts w:cs="Times New Roman"/>
          <w:sz w:val="24"/>
          <w:szCs w:val="24"/>
        </w:rPr>
      </w:pPr>
      <w:r>
        <w:rPr>
          <w:sz w:val="24"/>
          <w:szCs w:val="24"/>
        </w:rPr>
        <w:t>Este documento</w:t>
      </w:r>
      <w:r w:rsidR="00475554">
        <w:rPr>
          <w:sz w:val="24"/>
          <w:szCs w:val="24"/>
        </w:rPr>
        <w:t xml:space="preserve"> está disponible</w:t>
      </w:r>
      <w:r w:rsidR="000E6C3E" w:rsidRPr="007C08E6">
        <w:rPr>
          <w:sz w:val="24"/>
          <w:szCs w:val="24"/>
        </w:rPr>
        <w:t xml:space="preserve"> en formato electrónico en:</w:t>
      </w:r>
      <w:r w:rsidR="00E7183A">
        <w:rPr>
          <w:sz w:val="24"/>
          <w:szCs w:val="24"/>
        </w:rPr>
        <w:br/>
      </w:r>
      <w:hyperlink r:id="rId12" w:history="1">
        <w:r w:rsidR="00AB6500" w:rsidRPr="00F404B0">
          <w:rPr>
            <w:rStyle w:val="Hyperlink"/>
            <w:sz w:val="24"/>
            <w:szCs w:val="24"/>
          </w:rPr>
          <w:t>http://www.itu.int/rec/R-REC-BO/es</w:t>
        </w:r>
      </w:hyperlink>
      <w:r w:rsidR="00E7183A" w:rsidRPr="00F404B0">
        <w:rPr>
          <w:sz w:val="24"/>
          <w:szCs w:val="24"/>
        </w:rPr>
        <w:t xml:space="preserve"> </w:t>
      </w:r>
      <w:r w:rsidR="00503631" w:rsidRPr="00F404B0">
        <w:rPr>
          <w:sz w:val="24"/>
          <w:szCs w:val="24"/>
        </w:rPr>
        <w:t>y</w:t>
      </w:r>
      <w:r w:rsidR="00E7183A" w:rsidRPr="00F404B0">
        <w:rPr>
          <w:sz w:val="24"/>
          <w:szCs w:val="24"/>
        </w:rPr>
        <w:t xml:space="preserve"> </w:t>
      </w:r>
      <w:hyperlink r:id="rId13" w:history="1">
        <w:r w:rsidR="00AB6500" w:rsidRPr="00F404B0">
          <w:rPr>
            <w:rStyle w:val="Hyperlink"/>
            <w:sz w:val="24"/>
            <w:szCs w:val="24"/>
          </w:rPr>
          <w:t>http://www.itu.int/rec/R-REC-M/es</w:t>
        </w:r>
      </w:hyperlink>
    </w:p>
    <w:p w:rsidR="00AB6500" w:rsidRPr="007C08E6" w:rsidRDefault="00AB6500" w:rsidP="004E02C0">
      <w:pPr>
        <w:spacing w:before="120"/>
        <w:jc w:val="left"/>
        <w:rPr>
          <w:sz w:val="24"/>
          <w:szCs w:val="24"/>
        </w:rPr>
      </w:pPr>
    </w:p>
    <w:p w:rsidR="000E6C3E" w:rsidRPr="007C6605" w:rsidRDefault="000E6C3E" w:rsidP="008F762A">
      <w:pPr>
        <w:keepNext/>
        <w:tabs>
          <w:tab w:val="left" w:pos="284"/>
          <w:tab w:val="left" w:pos="568"/>
        </w:tabs>
        <w:spacing w:before="2280"/>
        <w:rPr>
          <w:b/>
          <w:bCs/>
          <w:sz w:val="18"/>
          <w:szCs w:val="18"/>
        </w:rPr>
      </w:pPr>
      <w:r w:rsidRPr="007C6605">
        <w:rPr>
          <w:b/>
          <w:bCs/>
          <w:sz w:val="18"/>
          <w:szCs w:val="18"/>
        </w:rPr>
        <w:t>Distribución:</w:t>
      </w:r>
      <w:bookmarkStart w:id="6" w:name="_GoBack"/>
      <w:bookmarkEnd w:id="6"/>
    </w:p>
    <w:p w:rsidR="000E6C3E" w:rsidRPr="00503631" w:rsidRDefault="000E6C3E" w:rsidP="00F352C6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</w:rPr>
      </w:pPr>
      <w:r w:rsidRPr="00503631">
        <w:rPr>
          <w:sz w:val="18"/>
          <w:szCs w:val="18"/>
        </w:rPr>
        <w:t>–</w:t>
      </w:r>
      <w:r w:rsidRPr="00503631">
        <w:rPr>
          <w:sz w:val="18"/>
          <w:szCs w:val="18"/>
        </w:rPr>
        <w:tab/>
        <w:t xml:space="preserve">Administraciones de los Estados Miembros </w:t>
      </w:r>
      <w:r w:rsidR="004226D0">
        <w:rPr>
          <w:sz w:val="18"/>
          <w:szCs w:val="18"/>
        </w:rPr>
        <w:t xml:space="preserve">de la UIT y Miembros </w:t>
      </w:r>
      <w:r w:rsidRPr="00503631">
        <w:rPr>
          <w:sz w:val="18"/>
          <w:szCs w:val="18"/>
        </w:rPr>
        <w:t>del Sector de Radiocomunicaciones que participan en los trab</w:t>
      </w:r>
      <w:r w:rsidR="00503631" w:rsidRPr="00503631">
        <w:rPr>
          <w:sz w:val="18"/>
          <w:szCs w:val="18"/>
        </w:rPr>
        <w:t>ajos de la Comisión de Estudio 4</w:t>
      </w:r>
      <w:r w:rsidRPr="00503631">
        <w:rPr>
          <w:sz w:val="18"/>
          <w:szCs w:val="18"/>
        </w:rPr>
        <w:t xml:space="preserve"> de Radiocomunicaciones </w:t>
      </w:r>
    </w:p>
    <w:p w:rsidR="000E6C3E" w:rsidRPr="00503631" w:rsidRDefault="000E6C3E" w:rsidP="00F352C6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</w:rPr>
      </w:pPr>
      <w:r w:rsidRPr="00503631">
        <w:rPr>
          <w:sz w:val="18"/>
          <w:szCs w:val="18"/>
        </w:rPr>
        <w:t>–</w:t>
      </w:r>
      <w:r w:rsidRPr="00503631">
        <w:rPr>
          <w:sz w:val="18"/>
          <w:szCs w:val="18"/>
        </w:rPr>
        <w:tab/>
        <w:t xml:space="preserve">Asociados del UIT-R que participan en los trabajos de la Comisión de Estudio </w:t>
      </w:r>
      <w:r w:rsidR="00503631" w:rsidRPr="00503631">
        <w:rPr>
          <w:sz w:val="18"/>
          <w:szCs w:val="18"/>
        </w:rPr>
        <w:t>4</w:t>
      </w:r>
      <w:r w:rsidRPr="00503631">
        <w:rPr>
          <w:sz w:val="18"/>
          <w:szCs w:val="18"/>
        </w:rPr>
        <w:t xml:space="preserve"> de Radiocomunicaciones </w:t>
      </w:r>
    </w:p>
    <w:p w:rsidR="000E6C3E" w:rsidRPr="00503631" w:rsidRDefault="000E6C3E" w:rsidP="00F352C6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</w:rPr>
      </w:pPr>
      <w:r w:rsidRPr="00503631">
        <w:rPr>
          <w:sz w:val="18"/>
          <w:szCs w:val="18"/>
        </w:rPr>
        <w:t>–</w:t>
      </w:r>
      <w:r w:rsidRPr="00503631">
        <w:rPr>
          <w:sz w:val="18"/>
          <w:szCs w:val="18"/>
        </w:rPr>
        <w:tab/>
        <w:t xml:space="preserve">Presidentes y Vicepresidentes de las Comisiones de Estudio de Radiocomunicaciones y Comisión Especial para Asuntos Reglamentarios y de Procedimiento </w:t>
      </w:r>
    </w:p>
    <w:p w:rsidR="000E6C3E" w:rsidRPr="00503631" w:rsidRDefault="000E6C3E" w:rsidP="00F352C6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</w:rPr>
      </w:pPr>
      <w:r w:rsidRPr="00503631">
        <w:rPr>
          <w:sz w:val="18"/>
          <w:szCs w:val="18"/>
        </w:rPr>
        <w:t>–</w:t>
      </w:r>
      <w:r w:rsidRPr="00503631">
        <w:rPr>
          <w:sz w:val="18"/>
          <w:szCs w:val="18"/>
        </w:rPr>
        <w:tab/>
        <w:t xml:space="preserve">Presidente y Vicepresidentes de la Reunión Preparatoria de la Conferencia </w:t>
      </w:r>
    </w:p>
    <w:p w:rsidR="000E6C3E" w:rsidRPr="00503631" w:rsidRDefault="000E6C3E" w:rsidP="00F352C6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</w:rPr>
      </w:pPr>
      <w:r w:rsidRPr="00503631">
        <w:rPr>
          <w:sz w:val="18"/>
          <w:szCs w:val="18"/>
        </w:rPr>
        <w:t>–</w:t>
      </w:r>
      <w:r w:rsidRPr="00503631">
        <w:rPr>
          <w:sz w:val="18"/>
          <w:szCs w:val="18"/>
        </w:rPr>
        <w:tab/>
        <w:t xml:space="preserve">Miembros de la Junta del Reglamento de Radiocomunicaciones </w:t>
      </w:r>
    </w:p>
    <w:p w:rsidR="000E6C3E" w:rsidRPr="00503631" w:rsidRDefault="000E6C3E" w:rsidP="00F352C6">
      <w:pPr>
        <w:tabs>
          <w:tab w:val="left" w:pos="567"/>
          <w:tab w:val="left" w:pos="6237"/>
        </w:tabs>
        <w:overflowPunct/>
        <w:autoSpaceDE/>
        <w:autoSpaceDN/>
        <w:adjustRightInd/>
        <w:spacing w:before="0" w:line="240" w:lineRule="auto"/>
        <w:ind w:left="567" w:hanging="567"/>
        <w:textAlignment w:val="auto"/>
        <w:rPr>
          <w:sz w:val="18"/>
          <w:szCs w:val="18"/>
        </w:rPr>
      </w:pPr>
      <w:r w:rsidRPr="00503631">
        <w:rPr>
          <w:sz w:val="18"/>
          <w:szCs w:val="18"/>
        </w:rPr>
        <w:t>–</w:t>
      </w:r>
      <w:r w:rsidRPr="00503631">
        <w:rPr>
          <w:sz w:val="18"/>
          <w:szCs w:val="18"/>
        </w:rPr>
        <w:tab/>
        <w:t xml:space="preserve">Secretario General de la UIT, Director de la Oficina de Normalización de las Telecomunicaciones, Director de la Oficina de Desarrollo de Telecomunicaciones </w:t>
      </w:r>
    </w:p>
    <w:p w:rsidR="00503631" w:rsidRDefault="00503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30C88" w:rsidRPr="00C30C88" w:rsidRDefault="00C30C88" w:rsidP="00C30C88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</w:rPr>
      </w:pPr>
      <w:r w:rsidRPr="00C30C88">
        <w:rPr>
          <w:b/>
          <w:bCs/>
          <w:sz w:val="28"/>
          <w:szCs w:val="28"/>
        </w:rPr>
        <w:lastRenderedPageBreak/>
        <w:t xml:space="preserve">Anexo </w:t>
      </w:r>
    </w:p>
    <w:p w:rsidR="00C30C88" w:rsidRDefault="00C30C88" w:rsidP="00C30C88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</w:rPr>
      </w:pPr>
      <w:r w:rsidRPr="00C30C88">
        <w:rPr>
          <w:b/>
          <w:bCs/>
          <w:sz w:val="28"/>
          <w:szCs w:val="28"/>
        </w:rPr>
        <w:t xml:space="preserve">Título y resumen del proyecto de Recomendación adoptado por </w:t>
      </w:r>
      <w:r w:rsidRPr="00C30C88">
        <w:rPr>
          <w:b/>
          <w:bCs/>
          <w:sz w:val="28"/>
          <w:szCs w:val="28"/>
        </w:rPr>
        <w:br/>
        <w:t>la Comisión de Estudio 4 de Radiocomunicaciones</w:t>
      </w:r>
    </w:p>
    <w:p w:rsidR="00C30C88" w:rsidRPr="00C30C88" w:rsidRDefault="00C30C88" w:rsidP="00C30C88">
      <w:pPr>
        <w:tabs>
          <w:tab w:val="right" w:pos="9639"/>
        </w:tabs>
        <w:spacing w:before="360"/>
        <w:jc w:val="left"/>
        <w:rPr>
          <w:b/>
          <w:bCs/>
          <w:sz w:val="24"/>
          <w:szCs w:val="24"/>
          <w:u w:val="single"/>
        </w:rPr>
      </w:pPr>
    </w:p>
    <w:p w:rsidR="00C30C88" w:rsidRPr="0037588F" w:rsidRDefault="00C30C88" w:rsidP="00C30C88">
      <w:pPr>
        <w:tabs>
          <w:tab w:val="right" w:pos="9639"/>
        </w:tabs>
        <w:rPr>
          <w:sz w:val="24"/>
          <w:szCs w:val="24"/>
          <w:lang w:eastAsia="ko-KR"/>
        </w:rPr>
      </w:pPr>
      <w:r w:rsidRPr="0037588F">
        <w:rPr>
          <w:sz w:val="24"/>
          <w:szCs w:val="24"/>
          <w:u w:val="single"/>
        </w:rPr>
        <w:t xml:space="preserve">Proyecto de revisión de la Recomendación UIT-R </w:t>
      </w:r>
      <w:r w:rsidRPr="0037588F">
        <w:rPr>
          <w:sz w:val="24"/>
          <w:szCs w:val="24"/>
          <w:u w:val="single"/>
          <w:lang w:eastAsia="ko-KR"/>
        </w:rPr>
        <w:t>BO.1443-2</w:t>
      </w:r>
      <w:r w:rsidRPr="0037588F">
        <w:rPr>
          <w:sz w:val="24"/>
          <w:szCs w:val="24"/>
          <w:lang w:eastAsia="ko-KR"/>
        </w:rPr>
        <w:tab/>
        <w:t>Doc. 4/BL/4</w:t>
      </w:r>
    </w:p>
    <w:p w:rsidR="00C30C88" w:rsidRPr="0062447D" w:rsidRDefault="00C30C88" w:rsidP="00754B00">
      <w:pPr>
        <w:pStyle w:val="Rectitle"/>
      </w:pPr>
      <w:r w:rsidRPr="0007025F">
        <w:t>Diagramas de antena de referencia de estación terrena del servicio</w:t>
      </w:r>
      <w:r>
        <w:t xml:space="preserve"> </w:t>
      </w:r>
      <w:r w:rsidRPr="0007025F">
        <w:t>de radiodifusión por satélite para utilizar en la evaluación de la</w:t>
      </w:r>
      <w:r>
        <w:t xml:space="preserve"> </w:t>
      </w:r>
      <w:r w:rsidRPr="0007025F">
        <w:t xml:space="preserve">interferencia </w:t>
      </w:r>
      <w:r>
        <w:br/>
      </w:r>
      <w:r w:rsidRPr="0007025F">
        <w:t>entre satélites no geoestacionarios en las bandas</w:t>
      </w:r>
      <w:r>
        <w:t xml:space="preserve"> </w:t>
      </w:r>
      <w:r w:rsidRPr="0007025F">
        <w:t xml:space="preserve">de frecuencias </w:t>
      </w:r>
      <w:r>
        <w:br/>
      </w:r>
      <w:r w:rsidRPr="0007025F">
        <w:t>incluidas en el Apéndice 30 del RR</w:t>
      </w:r>
    </w:p>
    <w:p w:rsidR="00C30C88" w:rsidRPr="0037588F" w:rsidRDefault="00C30C88" w:rsidP="00C30C88">
      <w:pPr>
        <w:spacing w:before="240"/>
        <w:jc w:val="left"/>
        <w:rPr>
          <w:sz w:val="24"/>
          <w:szCs w:val="24"/>
        </w:rPr>
      </w:pPr>
      <w:r w:rsidRPr="0037588F">
        <w:rPr>
          <w:sz w:val="24"/>
          <w:szCs w:val="24"/>
        </w:rPr>
        <w:t xml:space="preserve">En la Recomendación </w:t>
      </w:r>
      <w:r w:rsidRPr="0037588F">
        <w:rPr>
          <w:rFonts w:cs="Times New Roman"/>
          <w:sz w:val="24"/>
          <w:szCs w:val="24"/>
        </w:rPr>
        <w:t>UIT-R BO.1443</w:t>
      </w:r>
      <w:r w:rsidRPr="0037588F">
        <w:rPr>
          <w:sz w:val="24"/>
          <w:szCs w:val="24"/>
        </w:rPr>
        <w:t xml:space="preserve"> se define un diagrama de ganancia para que lo utilicen las estaciones terrenas del SRS en las evaluaciones de la interferencia que implica a satélites no OSG. Una de sus aplicaciones es para el análisis de las redes de satélites no OSG del SRS a fin de comprobar el cumplimiento de los límites de dfpe del Artículo </w:t>
      </w:r>
      <w:r w:rsidRPr="0037588F">
        <w:rPr>
          <w:b/>
          <w:bCs/>
          <w:sz w:val="24"/>
          <w:szCs w:val="24"/>
        </w:rPr>
        <w:t>22</w:t>
      </w:r>
      <w:r w:rsidRPr="0037588F">
        <w:rPr>
          <w:sz w:val="24"/>
          <w:szCs w:val="24"/>
        </w:rPr>
        <w:t xml:space="preserve"> del Reglamento de Radiocomunicaciones. El algoritmo fundamental para calcular la dfpe en relación con el análisis del Artículo </w:t>
      </w:r>
      <w:r w:rsidRPr="0037588F">
        <w:rPr>
          <w:b/>
          <w:bCs/>
          <w:sz w:val="24"/>
          <w:szCs w:val="24"/>
        </w:rPr>
        <w:t>22</w:t>
      </w:r>
      <w:r w:rsidRPr="0037588F">
        <w:rPr>
          <w:sz w:val="24"/>
          <w:szCs w:val="24"/>
        </w:rPr>
        <w:t xml:space="preserve"> se define en la Recomendación </w:t>
      </w:r>
      <w:r w:rsidRPr="0037588F">
        <w:rPr>
          <w:rFonts w:cs="Times New Roman"/>
          <w:sz w:val="24"/>
          <w:szCs w:val="24"/>
        </w:rPr>
        <w:t>UIT-R S.1503</w:t>
      </w:r>
      <w:r w:rsidRPr="0037588F">
        <w:rPr>
          <w:sz w:val="24"/>
          <w:szCs w:val="24"/>
        </w:rPr>
        <w:t>, que remite a su vez a los diagramas de ganancia recogidos en otras Recomendaciones como la Recomendación UIT-R BO.1443.</w:t>
      </w:r>
    </w:p>
    <w:p w:rsidR="00C30C88" w:rsidRPr="0037588F" w:rsidRDefault="00C30C88" w:rsidP="00C30C88">
      <w:pPr>
        <w:spacing w:before="240"/>
        <w:jc w:val="left"/>
        <w:rPr>
          <w:sz w:val="24"/>
          <w:szCs w:val="24"/>
        </w:rPr>
      </w:pPr>
      <w:r w:rsidRPr="0037588F">
        <w:rPr>
          <w:sz w:val="24"/>
          <w:szCs w:val="24"/>
        </w:rPr>
        <w:t>Durante la aplicación del programa informático para la implementación de la Recomendación UIT</w:t>
      </w:r>
      <w:r w:rsidRPr="0037588F">
        <w:rPr>
          <w:sz w:val="24"/>
          <w:szCs w:val="24"/>
        </w:rPr>
        <w:noBreakHyphen/>
        <w:t>R S.1503, se detectaron errores de redacción en la Recomendación UIT-R BO.1443-2, y se consideró muy conveniente la corrección de dichos errores, que se adjunta. En particular, se observó que, en la Figura 1 del Anexo 2, los ángulos esféricos a y b estaban intercambiados.</w:t>
      </w:r>
    </w:p>
    <w:p w:rsidR="008F762A" w:rsidRPr="007C08E6" w:rsidRDefault="008F762A" w:rsidP="00C30C88">
      <w:pPr>
        <w:spacing w:before="720"/>
        <w:jc w:val="center"/>
        <w:rPr>
          <w:sz w:val="24"/>
          <w:szCs w:val="24"/>
        </w:rPr>
      </w:pPr>
      <w:r w:rsidRPr="007C08E6">
        <w:rPr>
          <w:sz w:val="24"/>
          <w:szCs w:val="24"/>
        </w:rPr>
        <w:t>______________</w:t>
      </w:r>
    </w:p>
    <w:p w:rsidR="008F762A" w:rsidRPr="007C08E6" w:rsidRDefault="008F762A" w:rsidP="008F762A">
      <w:pPr>
        <w:rPr>
          <w:sz w:val="24"/>
          <w:szCs w:val="24"/>
        </w:rPr>
      </w:pPr>
    </w:p>
    <w:sectPr w:rsidR="008F762A" w:rsidRPr="007C08E6" w:rsidSect="00235A2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47" w:rsidRDefault="00CD0E47">
      <w:r>
        <w:separator/>
      </w:r>
    </w:p>
  </w:endnote>
  <w:endnote w:type="continuationSeparator" w:id="0">
    <w:p w:rsidR="00CD0E47" w:rsidRDefault="00CD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62A" w:rsidRPr="008F762A" w:rsidRDefault="008F762A" w:rsidP="008F762A">
    <w:pPr>
      <w:pStyle w:val="Footer"/>
      <w:tabs>
        <w:tab w:val="clear" w:pos="8640"/>
        <w:tab w:val="right" w:pos="7655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62A" w:rsidRPr="008F762A" w:rsidRDefault="008F762A" w:rsidP="008F762A">
    <w:pPr>
      <w:pStyle w:val="Footer"/>
      <w:tabs>
        <w:tab w:val="clear" w:pos="8640"/>
        <w:tab w:val="right" w:pos="765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62A" w:rsidRPr="00E7183A" w:rsidRDefault="00F42C8C" w:rsidP="00E7183A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F42C8C">
      <w:rPr>
        <w:sz w:val="18"/>
        <w:szCs w:val="18"/>
      </w:rPr>
      <w:t>Unión Internacional de Telecomunicaciones • Place des Nations • CH</w:t>
    </w:r>
    <w:r w:rsidRPr="00F42C8C">
      <w:rPr>
        <w:sz w:val="18"/>
        <w:szCs w:val="18"/>
      </w:rPr>
      <w:noBreakHyphen/>
      <w:t>1211 Ginebra 20 • Suiza</w:t>
    </w:r>
    <w:r w:rsidRPr="00F42C8C">
      <w:rPr>
        <w:sz w:val="18"/>
        <w:szCs w:val="18"/>
      </w:rPr>
      <w:br/>
      <w:t xml:space="preserve">Tel: +41 22 730 5111 • Fax: +41 22 733 7256 • Correo-e: </w:t>
    </w:r>
    <w:hyperlink r:id="rId1" w:history="1">
      <w:r w:rsidRPr="00F42C8C">
        <w:rPr>
          <w:rStyle w:val="Hyperlink"/>
          <w:rFonts w:cs="Calibri"/>
          <w:sz w:val="18"/>
          <w:szCs w:val="18"/>
        </w:rPr>
        <w:t>itumail@itu.int</w:t>
      </w:r>
    </w:hyperlink>
    <w:r w:rsidRPr="00F42C8C">
      <w:rPr>
        <w:sz w:val="18"/>
        <w:szCs w:val="18"/>
      </w:rPr>
      <w:t xml:space="preserve"> • </w:t>
    </w:r>
    <w:hyperlink r:id="rId2" w:history="1">
      <w:r w:rsidRPr="00F42C8C">
        <w:rPr>
          <w:rStyle w:val="Hyperlink"/>
          <w:rFonts w:cs="Calibri"/>
          <w:sz w:val="18"/>
          <w:szCs w:val="18"/>
        </w:rPr>
        <w:t>www.itu.int</w:t>
      </w:r>
    </w:hyperlink>
    <w:r w:rsidR="00F55EAB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47" w:rsidRDefault="00CD0E47">
      <w:r>
        <w:t>____________________</w:t>
      </w:r>
    </w:p>
  </w:footnote>
  <w:footnote w:type="continuationSeparator" w:id="0">
    <w:p w:rsidR="00CD0E47" w:rsidRDefault="00CD0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086444" w:rsidRDefault="00E7183A" w:rsidP="00086444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 xml:space="preserve">- </w:t>
    </w:r>
    <w:r w:rsidR="00086444" w:rsidRPr="00086444">
      <w:rPr>
        <w:sz w:val="18"/>
        <w:szCs w:val="18"/>
      </w:rPr>
      <w:t>2</w:t>
    </w:r>
    <w:r>
      <w:rPr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8F762A" w:rsidRDefault="00503631" w:rsidP="00503631">
    <w:pPr>
      <w:pStyle w:val="Header"/>
      <w:tabs>
        <w:tab w:val="clear" w:pos="4820"/>
        <w:tab w:val="left" w:pos="4696"/>
        <w:tab w:val="center" w:pos="4819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- </w:t>
    </w:r>
    <w:r>
      <w:rPr>
        <w:sz w:val="18"/>
        <w:szCs w:val="18"/>
      </w:rPr>
      <w:tab/>
    </w:r>
    <w:r w:rsidR="00026CF8" w:rsidRPr="008F762A">
      <w:rPr>
        <w:sz w:val="18"/>
        <w:szCs w:val="18"/>
      </w:rPr>
      <w:fldChar w:fldCharType="begin"/>
    </w:r>
    <w:r w:rsidR="00026CF8" w:rsidRPr="008F762A">
      <w:rPr>
        <w:sz w:val="18"/>
        <w:szCs w:val="18"/>
      </w:rPr>
      <w:instrText xml:space="preserve"> PAGE  \* MERGEFORMAT </w:instrText>
    </w:r>
    <w:r w:rsidR="00026CF8" w:rsidRPr="008F762A">
      <w:rPr>
        <w:sz w:val="18"/>
        <w:szCs w:val="18"/>
      </w:rPr>
      <w:fldChar w:fldCharType="separate"/>
    </w:r>
    <w:r w:rsidR="00F404B0">
      <w:rPr>
        <w:noProof/>
        <w:sz w:val="18"/>
        <w:szCs w:val="18"/>
      </w:rPr>
      <w:t>3</w:t>
    </w:r>
    <w:r w:rsidR="00026CF8" w:rsidRPr="008F762A">
      <w:rPr>
        <w:sz w:val="18"/>
        <w:szCs w:val="18"/>
      </w:rPr>
      <w:fldChar w:fldCharType="end"/>
    </w:r>
    <w:r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EA15B3" w:rsidRDefault="00026CF8" w:rsidP="00EA15B3">
    <w:pPr>
      <w:pStyle w:val="Header"/>
      <w:spacing w:line="360" w:lineRule="auto"/>
    </w:pPr>
    <w:r>
      <w:tab/>
    </w:r>
    <w:r>
      <w:tab/>
    </w:r>
    <w:r w:rsidR="00976AAD">
      <w:rPr>
        <w:b/>
        <w:bCs/>
        <w:noProof/>
        <w:lang w:val="en-US" w:eastAsia="zh-CN"/>
      </w:rPr>
      <w:drawing>
        <wp:inline distT="0" distB="0" distL="0" distR="0" wp14:anchorId="3ECAF04E" wp14:editId="0A71A63F">
          <wp:extent cx="628650" cy="7239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CD0E47"/>
    <w:rsid w:val="00010E30"/>
    <w:rsid w:val="00026CF8"/>
    <w:rsid w:val="00031E64"/>
    <w:rsid w:val="00040DF5"/>
    <w:rsid w:val="00054534"/>
    <w:rsid w:val="000603DE"/>
    <w:rsid w:val="000659B4"/>
    <w:rsid w:val="00070258"/>
    <w:rsid w:val="00072B9B"/>
    <w:rsid w:val="00072E16"/>
    <w:rsid w:val="0007323C"/>
    <w:rsid w:val="00086444"/>
    <w:rsid w:val="00086D03"/>
    <w:rsid w:val="000A7051"/>
    <w:rsid w:val="000C03C7"/>
    <w:rsid w:val="000D786F"/>
    <w:rsid w:val="000E2185"/>
    <w:rsid w:val="000E3DEE"/>
    <w:rsid w:val="000E6C3E"/>
    <w:rsid w:val="00103C76"/>
    <w:rsid w:val="0011265F"/>
    <w:rsid w:val="00145AA2"/>
    <w:rsid w:val="0016308F"/>
    <w:rsid w:val="00196710"/>
    <w:rsid w:val="00197324"/>
    <w:rsid w:val="001B1CE8"/>
    <w:rsid w:val="001D7070"/>
    <w:rsid w:val="001F5A49"/>
    <w:rsid w:val="00200936"/>
    <w:rsid w:val="00201097"/>
    <w:rsid w:val="00201B6E"/>
    <w:rsid w:val="002240B2"/>
    <w:rsid w:val="00235A29"/>
    <w:rsid w:val="00251766"/>
    <w:rsid w:val="002861E6"/>
    <w:rsid w:val="002A2700"/>
    <w:rsid w:val="002D6688"/>
    <w:rsid w:val="002E1472"/>
    <w:rsid w:val="002F0890"/>
    <w:rsid w:val="003339D2"/>
    <w:rsid w:val="003370B8"/>
    <w:rsid w:val="003666FF"/>
    <w:rsid w:val="003741EE"/>
    <w:rsid w:val="0037588F"/>
    <w:rsid w:val="003B2BDA"/>
    <w:rsid w:val="003B55EC"/>
    <w:rsid w:val="003C4471"/>
    <w:rsid w:val="003E504F"/>
    <w:rsid w:val="004226D0"/>
    <w:rsid w:val="004326DB"/>
    <w:rsid w:val="0043682E"/>
    <w:rsid w:val="0046516A"/>
    <w:rsid w:val="00475554"/>
    <w:rsid w:val="004815EB"/>
    <w:rsid w:val="00496920"/>
    <w:rsid w:val="004B7C9A"/>
    <w:rsid w:val="004E02C0"/>
    <w:rsid w:val="004E0DC4"/>
    <w:rsid w:val="004E0FB5"/>
    <w:rsid w:val="004E43BB"/>
    <w:rsid w:val="004F178E"/>
    <w:rsid w:val="004F6466"/>
    <w:rsid w:val="00503631"/>
    <w:rsid w:val="00505309"/>
    <w:rsid w:val="0050789B"/>
    <w:rsid w:val="00515771"/>
    <w:rsid w:val="00542A47"/>
    <w:rsid w:val="00543DF8"/>
    <w:rsid w:val="00546101"/>
    <w:rsid w:val="00553DD7"/>
    <w:rsid w:val="0057469A"/>
    <w:rsid w:val="00580814"/>
    <w:rsid w:val="0059687C"/>
    <w:rsid w:val="005A03A3"/>
    <w:rsid w:val="005B214C"/>
    <w:rsid w:val="00602D53"/>
    <w:rsid w:val="00610C83"/>
    <w:rsid w:val="00651777"/>
    <w:rsid w:val="00674F4F"/>
    <w:rsid w:val="006B0590"/>
    <w:rsid w:val="006B49DA"/>
    <w:rsid w:val="006C04E0"/>
    <w:rsid w:val="00700636"/>
    <w:rsid w:val="00707216"/>
    <w:rsid w:val="007234B1"/>
    <w:rsid w:val="00730B9A"/>
    <w:rsid w:val="00754B00"/>
    <w:rsid w:val="00783681"/>
    <w:rsid w:val="007921A7"/>
    <w:rsid w:val="007A5C27"/>
    <w:rsid w:val="007B3DB1"/>
    <w:rsid w:val="007C08E6"/>
    <w:rsid w:val="007C6605"/>
    <w:rsid w:val="007D183E"/>
    <w:rsid w:val="007E304D"/>
    <w:rsid w:val="007E3F13"/>
    <w:rsid w:val="00800012"/>
    <w:rsid w:val="0081513E"/>
    <w:rsid w:val="00823210"/>
    <w:rsid w:val="00843445"/>
    <w:rsid w:val="00847D46"/>
    <w:rsid w:val="00854131"/>
    <w:rsid w:val="0085652D"/>
    <w:rsid w:val="0087694B"/>
    <w:rsid w:val="008E03C2"/>
    <w:rsid w:val="008F4F21"/>
    <w:rsid w:val="008F762A"/>
    <w:rsid w:val="00900865"/>
    <w:rsid w:val="00904D4A"/>
    <w:rsid w:val="009151BA"/>
    <w:rsid w:val="009277BC"/>
    <w:rsid w:val="00927D57"/>
    <w:rsid w:val="00941D23"/>
    <w:rsid w:val="0095010C"/>
    <w:rsid w:val="00963D9D"/>
    <w:rsid w:val="00976AAD"/>
    <w:rsid w:val="00981B54"/>
    <w:rsid w:val="009842C3"/>
    <w:rsid w:val="009A6BB6"/>
    <w:rsid w:val="009B3F43"/>
    <w:rsid w:val="009C161F"/>
    <w:rsid w:val="009E4AEC"/>
    <w:rsid w:val="009E5BD8"/>
    <w:rsid w:val="009E681E"/>
    <w:rsid w:val="00A34D6F"/>
    <w:rsid w:val="00A41F91"/>
    <w:rsid w:val="00A963DF"/>
    <w:rsid w:val="00AB6500"/>
    <w:rsid w:val="00AC3896"/>
    <w:rsid w:val="00AE6CFA"/>
    <w:rsid w:val="00AF3325"/>
    <w:rsid w:val="00B34CF9"/>
    <w:rsid w:val="00B67004"/>
    <w:rsid w:val="00B90C45"/>
    <w:rsid w:val="00B933BE"/>
    <w:rsid w:val="00B9507C"/>
    <w:rsid w:val="00BB4069"/>
    <w:rsid w:val="00BC40F2"/>
    <w:rsid w:val="00BD7E5E"/>
    <w:rsid w:val="00BE6574"/>
    <w:rsid w:val="00BE79D9"/>
    <w:rsid w:val="00C30C88"/>
    <w:rsid w:val="00C57E2C"/>
    <w:rsid w:val="00C608B7"/>
    <w:rsid w:val="00C66F24"/>
    <w:rsid w:val="00C764BA"/>
    <w:rsid w:val="00C9291E"/>
    <w:rsid w:val="00CA3F44"/>
    <w:rsid w:val="00CA4E58"/>
    <w:rsid w:val="00CA5FE6"/>
    <w:rsid w:val="00CB3771"/>
    <w:rsid w:val="00CB5153"/>
    <w:rsid w:val="00CC0DA0"/>
    <w:rsid w:val="00CC1643"/>
    <w:rsid w:val="00CD0E47"/>
    <w:rsid w:val="00CF6752"/>
    <w:rsid w:val="00CF775E"/>
    <w:rsid w:val="00D10BA0"/>
    <w:rsid w:val="00D2339B"/>
    <w:rsid w:val="00D24EB5"/>
    <w:rsid w:val="00D41571"/>
    <w:rsid w:val="00D416A0"/>
    <w:rsid w:val="00D47672"/>
    <w:rsid w:val="00D5123C"/>
    <w:rsid w:val="00D51C9E"/>
    <w:rsid w:val="00D55560"/>
    <w:rsid w:val="00D61C5A"/>
    <w:rsid w:val="00DA4A8C"/>
    <w:rsid w:val="00DB3A18"/>
    <w:rsid w:val="00DB7205"/>
    <w:rsid w:val="00DE66A5"/>
    <w:rsid w:val="00DF2B50"/>
    <w:rsid w:val="00E003F5"/>
    <w:rsid w:val="00E04C86"/>
    <w:rsid w:val="00E20F30"/>
    <w:rsid w:val="00E27BBA"/>
    <w:rsid w:val="00E34CD1"/>
    <w:rsid w:val="00E35E8F"/>
    <w:rsid w:val="00E438E8"/>
    <w:rsid w:val="00E520E2"/>
    <w:rsid w:val="00E64254"/>
    <w:rsid w:val="00E7183A"/>
    <w:rsid w:val="00E85F31"/>
    <w:rsid w:val="00EA15B3"/>
    <w:rsid w:val="00EB2358"/>
    <w:rsid w:val="00EB3EB8"/>
    <w:rsid w:val="00EE7DD5"/>
    <w:rsid w:val="00F3137D"/>
    <w:rsid w:val="00F352C6"/>
    <w:rsid w:val="00F404B0"/>
    <w:rsid w:val="00F42C8C"/>
    <w:rsid w:val="00F43E8F"/>
    <w:rsid w:val="00F468C5"/>
    <w:rsid w:val="00F52F39"/>
    <w:rsid w:val="00F55EAB"/>
    <w:rsid w:val="00F778BF"/>
    <w:rsid w:val="00F914DD"/>
    <w:rsid w:val="00F938C0"/>
    <w:rsid w:val="00FA2358"/>
    <w:rsid w:val="00FB2592"/>
    <w:rsid w:val="00FB2810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9D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BE79D9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BE79D9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QuestionNoBR">
    <w:name w:val="Question_No_BR"/>
    <w:basedOn w:val="Normal"/>
    <w:next w:val="Questiontitle"/>
    <w:rsid w:val="00BE79D9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BE79D9"/>
    <w:rPr>
      <w:sz w:val="22"/>
      <w:szCs w:val="22"/>
      <w:lang w:val="es-ES_tradnl" w:eastAsia="en-US"/>
    </w:rPr>
  </w:style>
  <w:style w:type="character" w:customStyle="1" w:styleId="TabletextChar">
    <w:name w:val="Table_text Char"/>
    <w:link w:val="Tabletext"/>
    <w:uiPriority w:val="99"/>
    <w:locked/>
    <w:rsid w:val="00BE79D9"/>
    <w:rPr>
      <w:szCs w:val="22"/>
      <w:lang w:val="es-ES_tradnl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BE79D9"/>
    <w:rPr>
      <w:b/>
      <w:sz w:val="24"/>
      <w:szCs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E79D9"/>
    <w:rPr>
      <w:b/>
      <w:szCs w:val="22"/>
      <w:lang w:val="es-ES_tradnl" w:eastAsia="en-US"/>
    </w:rPr>
  </w:style>
  <w:style w:type="character" w:customStyle="1" w:styleId="RectitleChar">
    <w:name w:val="Rec_title Char"/>
    <w:link w:val="Rectitle"/>
    <w:rsid w:val="008F762A"/>
    <w:rPr>
      <w:b/>
      <w:sz w:val="28"/>
      <w:szCs w:val="22"/>
      <w:lang w:val="es-ES_tradnl" w:eastAsia="en-US"/>
    </w:rPr>
  </w:style>
  <w:style w:type="character" w:styleId="FollowedHyperlink">
    <w:name w:val="FollowedHyperlink"/>
    <w:basedOn w:val="DefaultParagraphFont"/>
    <w:rsid w:val="00AB65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9D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BE79D9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BE79D9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QuestionNoBR">
    <w:name w:val="Question_No_BR"/>
    <w:basedOn w:val="Normal"/>
    <w:next w:val="Questiontitle"/>
    <w:rsid w:val="00BE79D9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BE79D9"/>
    <w:rPr>
      <w:sz w:val="22"/>
      <w:szCs w:val="22"/>
      <w:lang w:val="es-ES_tradnl" w:eastAsia="en-US"/>
    </w:rPr>
  </w:style>
  <w:style w:type="character" w:customStyle="1" w:styleId="TabletextChar">
    <w:name w:val="Table_text Char"/>
    <w:link w:val="Tabletext"/>
    <w:uiPriority w:val="99"/>
    <w:locked/>
    <w:rsid w:val="00BE79D9"/>
    <w:rPr>
      <w:szCs w:val="22"/>
      <w:lang w:val="es-ES_tradnl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BE79D9"/>
    <w:rPr>
      <w:b/>
      <w:sz w:val="24"/>
      <w:szCs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E79D9"/>
    <w:rPr>
      <w:b/>
      <w:szCs w:val="22"/>
      <w:lang w:val="es-ES_tradnl" w:eastAsia="en-US"/>
    </w:rPr>
  </w:style>
  <w:style w:type="character" w:customStyle="1" w:styleId="RectitleChar">
    <w:name w:val="Rec_title Char"/>
    <w:link w:val="Rectitle"/>
    <w:rsid w:val="008F762A"/>
    <w:rPr>
      <w:b/>
      <w:sz w:val="28"/>
      <w:szCs w:val="22"/>
      <w:lang w:val="es-ES_tradnl" w:eastAsia="en-US"/>
    </w:rPr>
  </w:style>
  <w:style w:type="character" w:styleId="FollowedHyperlink">
    <w:name w:val="FollowedHyperlink"/>
    <w:basedOn w:val="DefaultParagraphFont"/>
    <w:rsid w:val="00AB65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rec/R-REC-M/e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tu.int/rec/R-REC-BO/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ipr/Pages/policy.asp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pub/R-REC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brsgd@itu.int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200D0-DD8E-4492-97B7-E7855C055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36</TotalTime>
  <Pages>3</Pages>
  <Words>749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Christe-Baldan, Susana</dc:creator>
  <cp:lastModifiedBy>ITU</cp:lastModifiedBy>
  <cp:revision>21</cp:revision>
  <cp:lastPrinted>2014-01-10T09:56:00Z</cp:lastPrinted>
  <dcterms:created xsi:type="dcterms:W3CDTF">2014-01-06T14:23:00Z</dcterms:created>
  <dcterms:modified xsi:type="dcterms:W3CDTF">2014-05-12T09:06:00Z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