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896E9F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141FB5">
              <w:rPr>
                <w:b/>
                <w:bCs/>
              </w:rPr>
              <w:t>63</w:t>
            </w:r>
            <w:r w:rsidR="00896E9F">
              <w:rPr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141FB5" w:rsidP="0082054E">
            <w:pPr>
              <w:jc w:val="right"/>
            </w:pPr>
            <w:r>
              <w:t>2</w:t>
            </w:r>
            <w:r w:rsidR="0082054E">
              <w:t>8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47143B">
              <w:rPr>
                <w:rFonts w:hint="cs"/>
                <w:rtl/>
              </w:rPr>
              <w:t>أكتوبر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C04986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141FB5">
              <w:rPr>
                <w:b/>
                <w:bCs/>
              </w:rPr>
              <w:t>4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FB05F7" w:rsidP="00141FB5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141FB5">
              <w:rPr>
                <w:b/>
                <w:bCs/>
              </w:rPr>
              <w:t>4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(</w:t>
            </w:r>
            <w:r w:rsidR="00141FB5">
              <w:rPr>
                <w:rFonts w:hint="cs"/>
                <w:b/>
                <w:bCs/>
                <w:rtl/>
              </w:rPr>
              <w:t>ال</w:t>
            </w:r>
            <w:r w:rsidR="006A7401">
              <w:rPr>
                <w:rFonts w:hint="cs"/>
                <w:b/>
                <w:bCs/>
                <w:rtl/>
              </w:rPr>
              <w:t>‍</w:t>
            </w:r>
            <w:r w:rsidR="00141FB5">
              <w:rPr>
                <w:rFonts w:hint="cs"/>
                <w:b/>
                <w:bCs/>
                <w:rtl/>
              </w:rPr>
              <w:t>خدمات الساتلية</w:t>
            </w:r>
            <w:r w:rsidRPr="0053780B">
              <w:rPr>
                <w:rFonts w:hint="cs"/>
                <w:b/>
                <w:bCs/>
                <w:rtl/>
              </w:rPr>
              <w:t>)</w:t>
            </w:r>
          </w:p>
          <w:p w:rsidR="00F130A4" w:rsidRPr="00141FB5" w:rsidRDefault="00FB05F7" w:rsidP="005F461E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4"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اقتراح </w:t>
            </w:r>
            <w:r w:rsidR="00141FB5" w:rsidRPr="00831543">
              <w:rPr>
                <w:rFonts w:ascii="Times New Roman Bold" w:hAnsi="Times New Roman Bold"/>
                <w:b/>
                <w:bCs/>
                <w:rtl/>
              </w:rPr>
              <w:t>اعتماد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896E9F">
              <w:rPr>
                <w:rFonts w:ascii="Times New Roman Bold" w:hAnsi="Times New Roman Bold" w:hint="cs"/>
                <w:b/>
                <w:bCs/>
                <w:rtl/>
              </w:rPr>
              <w:t>مشروع توصية جديدة ومشروع مراجعة توصية</w:t>
            </w:r>
            <w:r w:rsidR="00141FB5" w:rsidRPr="00831543">
              <w:rPr>
                <w:rFonts w:ascii="Times New Roman Bold" w:hAnsi="Times New Roman Bold" w:hint="cs"/>
                <w:b/>
                <w:bCs/>
                <w:rtl/>
              </w:rPr>
              <w:t xml:space="preserve"> لقطاع الاتصالات الراديوية</w:t>
            </w:r>
            <w:r w:rsidR="005F461E">
              <w:rPr>
                <w:rFonts w:hint="cs"/>
                <w:b/>
                <w:bCs/>
                <w:spacing w:val="-4"/>
                <w:rtl/>
                <w:lang w:bidi="ar-SY"/>
              </w:rPr>
              <w:t xml:space="preserve"> عن طريق</w:t>
            </w:r>
            <w:r w:rsidR="005F461E">
              <w:rPr>
                <w:rFonts w:hint="eastAsia"/>
                <w:b/>
                <w:bCs/>
                <w:spacing w:val="-4"/>
                <w:rtl/>
                <w:lang w:bidi="ar-SY"/>
              </w:rPr>
              <w:t> </w:t>
            </w:r>
            <w:r w:rsidR="005F461E">
              <w:rPr>
                <w:rFonts w:hint="cs"/>
                <w:b/>
                <w:bCs/>
                <w:spacing w:val="-4"/>
                <w:rtl/>
                <w:lang w:bidi="ar-SY"/>
              </w:rPr>
              <w:t>ال‍مراسلة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9929BE" w:rsidRPr="00DE29E8" w:rsidRDefault="00141FB5" w:rsidP="00553088">
      <w:pPr>
        <w:spacing w:before="1080"/>
        <w:rPr>
          <w:rtl/>
        </w:rPr>
      </w:pPr>
      <w:bookmarkStart w:id="0" w:name="CurrentLocation"/>
      <w:bookmarkEnd w:id="0"/>
      <w:r w:rsidRPr="00DE29E8">
        <w:rPr>
          <w:rtl/>
        </w:rPr>
        <w:t>قررت ل</w:t>
      </w:r>
      <w:r w:rsidR="00DB6F85">
        <w:rPr>
          <w:rFonts w:hint="cs"/>
          <w:rtl/>
        </w:rPr>
        <w:t>‍</w:t>
      </w:r>
      <w:r w:rsidRPr="00DE29E8">
        <w:rPr>
          <w:rtl/>
        </w:rPr>
        <w:t>جنة الدراسات</w:t>
      </w:r>
      <w:r w:rsidRPr="00DE29E8">
        <w:rPr>
          <w:rFonts w:hint="cs"/>
          <w:rtl/>
        </w:rPr>
        <w:t> </w:t>
      </w:r>
      <w:r w:rsidRPr="00DE29E8">
        <w:t>4</w:t>
      </w:r>
      <w:r w:rsidRPr="00DE29E8">
        <w:rPr>
          <w:rtl/>
        </w:rPr>
        <w:t xml:space="preserve"> للاتصالات الراديوية في اجتماعها ال</w:t>
      </w:r>
      <w:r w:rsidR="00AF56DC">
        <w:rPr>
          <w:rFonts w:hint="cs"/>
          <w:rtl/>
        </w:rPr>
        <w:t>‍</w:t>
      </w:r>
      <w:r w:rsidRPr="00DE29E8">
        <w:rPr>
          <w:rtl/>
        </w:rPr>
        <w:t xml:space="preserve">منعقد </w:t>
      </w:r>
      <w:r w:rsidR="00553088">
        <w:rPr>
          <w:rFonts w:hint="cs"/>
          <w:rtl/>
        </w:rPr>
        <w:t>يوم</w:t>
      </w:r>
      <w:r w:rsidRPr="00DE29E8">
        <w:rPr>
          <w:rFonts w:hint="cs"/>
          <w:rtl/>
        </w:rPr>
        <w:t xml:space="preserve"> </w:t>
      </w:r>
      <w:r w:rsidRPr="00DE29E8">
        <w:t>11</w:t>
      </w:r>
      <w:r w:rsidRPr="00DE29E8">
        <w:rPr>
          <w:rFonts w:hint="cs"/>
          <w:rtl/>
        </w:rPr>
        <w:t xml:space="preserve"> أكتوبر</w:t>
      </w:r>
      <w:r w:rsidRPr="00DE29E8">
        <w:rPr>
          <w:rFonts w:hint="eastAsia"/>
          <w:rtl/>
        </w:rPr>
        <w:t> </w:t>
      </w:r>
      <w:r w:rsidRPr="00DE29E8">
        <w:t>2013</w:t>
      </w:r>
      <w:r w:rsidRPr="00DE29E8">
        <w:rPr>
          <w:rtl/>
        </w:rPr>
        <w:t xml:space="preserve"> أن تلتمس اعتماد </w:t>
      </w:r>
      <w:r w:rsidR="001F5266">
        <w:rPr>
          <w:rFonts w:hint="cs"/>
          <w:rtl/>
        </w:rPr>
        <w:t>مشروع توصية جديدة ومشروع مراج</w:t>
      </w:r>
      <w:r w:rsidR="00C451A3">
        <w:rPr>
          <w:rFonts w:hint="cs"/>
          <w:rtl/>
        </w:rPr>
        <w:t>َ</w:t>
      </w:r>
      <w:r w:rsidR="001F5266">
        <w:rPr>
          <w:rFonts w:hint="cs"/>
          <w:rtl/>
        </w:rPr>
        <w:t>عة توصية</w:t>
      </w:r>
      <w:r w:rsidRPr="00DE29E8">
        <w:rPr>
          <w:rFonts w:hint="cs"/>
          <w:rtl/>
        </w:rPr>
        <w:t xml:space="preserve"> لقطاع الاتصالات الراديوية </w:t>
      </w:r>
      <w:r w:rsidR="001F5266">
        <w:rPr>
          <w:rFonts w:hint="cs"/>
          <w:rtl/>
        </w:rPr>
        <w:t>وفقاً للفقرة </w:t>
      </w:r>
      <w:r w:rsidR="001F5266">
        <w:t>3.2.10</w:t>
      </w:r>
      <w:r w:rsidR="001F5266">
        <w:rPr>
          <w:rFonts w:hint="cs"/>
          <w:rtl/>
        </w:rPr>
        <w:t xml:space="preserve"> من القرار </w:t>
      </w:r>
      <w:r w:rsidR="001F5266">
        <w:t>ITU-R 1-6</w:t>
      </w:r>
      <w:r w:rsidR="001F5266">
        <w:rPr>
          <w:rFonts w:hint="cs"/>
          <w:rtl/>
        </w:rPr>
        <w:t xml:space="preserve"> (اعتماد عن طريق ال</w:t>
      </w:r>
      <w:r w:rsidR="003756CB">
        <w:rPr>
          <w:rFonts w:hint="cs"/>
          <w:rtl/>
        </w:rPr>
        <w:t>‍</w:t>
      </w:r>
      <w:r w:rsidR="001F5266">
        <w:rPr>
          <w:rFonts w:hint="cs"/>
          <w:rtl/>
        </w:rPr>
        <w:t>مراسلة من جانب ل</w:t>
      </w:r>
      <w:r w:rsidR="003756CB">
        <w:rPr>
          <w:rFonts w:hint="cs"/>
          <w:rtl/>
        </w:rPr>
        <w:t>‍</w:t>
      </w:r>
      <w:r w:rsidR="001F5266">
        <w:rPr>
          <w:rFonts w:hint="cs"/>
          <w:rtl/>
        </w:rPr>
        <w:t>جنة الدراسات).</w:t>
      </w:r>
      <w:r w:rsidRPr="00DE29E8">
        <w:rPr>
          <w:rFonts w:hint="cs"/>
          <w:rtl/>
        </w:rPr>
        <w:t xml:space="preserve"> ويرد في ال</w:t>
      </w:r>
      <w:r w:rsidR="003756CB">
        <w:rPr>
          <w:rFonts w:hint="cs"/>
          <w:rtl/>
        </w:rPr>
        <w:t>‍</w:t>
      </w:r>
      <w:r w:rsidRPr="00DE29E8">
        <w:rPr>
          <w:rFonts w:hint="cs"/>
          <w:rtl/>
        </w:rPr>
        <w:t xml:space="preserve">ملحق </w:t>
      </w:r>
      <w:r w:rsidR="001F5266">
        <w:rPr>
          <w:rFonts w:hint="cs"/>
          <w:rtl/>
        </w:rPr>
        <w:t>عنوان وملخص كل من مشروعي التوصيتين</w:t>
      </w:r>
      <w:r w:rsidRPr="00DE29E8">
        <w:rPr>
          <w:rFonts w:hint="cs"/>
          <w:rtl/>
        </w:rPr>
        <w:t>.</w:t>
      </w:r>
    </w:p>
    <w:p w:rsidR="00141FB5" w:rsidRPr="00DE29E8" w:rsidRDefault="00141FB5" w:rsidP="0082054E">
      <w:pPr>
        <w:rPr>
          <w:rtl/>
        </w:rPr>
      </w:pPr>
      <w:r w:rsidRPr="00DE29E8">
        <w:rPr>
          <w:rtl/>
        </w:rPr>
        <w:t>وت</w:t>
      </w:r>
      <w:r w:rsidR="001F5266">
        <w:rPr>
          <w:rFonts w:hint="cs"/>
          <w:rtl/>
        </w:rPr>
        <w:t>‍</w:t>
      </w:r>
      <w:r w:rsidRPr="00DE29E8">
        <w:rPr>
          <w:rtl/>
        </w:rPr>
        <w:t xml:space="preserve">متد فترة النظر </w:t>
      </w:r>
      <w:r w:rsidRPr="00DE29E8">
        <w:rPr>
          <w:rFonts w:hint="cs"/>
          <w:rtl/>
        </w:rPr>
        <w:t>ل</w:t>
      </w:r>
      <w:r w:rsidR="00DF2653">
        <w:rPr>
          <w:rFonts w:hint="cs"/>
          <w:rtl/>
        </w:rPr>
        <w:t>‍</w:t>
      </w:r>
      <w:r w:rsidRPr="00DE29E8">
        <w:rPr>
          <w:rFonts w:hint="cs"/>
          <w:rtl/>
        </w:rPr>
        <w:t xml:space="preserve">مدة شهرين </w:t>
      </w:r>
      <w:r w:rsidRPr="00DE29E8">
        <w:rPr>
          <w:rtl/>
        </w:rPr>
        <w:t>تنتهي في</w:t>
      </w:r>
      <w:r w:rsidRPr="00DE29E8">
        <w:rPr>
          <w:rFonts w:hint="cs"/>
          <w:rtl/>
        </w:rPr>
        <w:t xml:space="preserve"> </w:t>
      </w:r>
      <w:r w:rsidRPr="00DE29E8">
        <w:rPr>
          <w:u w:val="single"/>
        </w:rPr>
        <w:t>2</w:t>
      </w:r>
      <w:r w:rsidR="0082054E">
        <w:rPr>
          <w:u w:val="single"/>
        </w:rPr>
        <w:t>8</w:t>
      </w:r>
      <w:bookmarkStart w:id="1" w:name="_GoBack"/>
      <w:bookmarkEnd w:id="1"/>
      <w:r w:rsidRPr="00DE29E8">
        <w:rPr>
          <w:rFonts w:hint="cs"/>
          <w:u w:val="single"/>
          <w:rtl/>
        </w:rPr>
        <w:t xml:space="preserve"> ديسمبر </w:t>
      </w:r>
      <w:r w:rsidRPr="00DE29E8">
        <w:rPr>
          <w:u w:val="single"/>
        </w:rPr>
        <w:t>2013</w:t>
      </w:r>
      <w:r w:rsidRPr="00DE29E8">
        <w:rPr>
          <w:rtl/>
        </w:rPr>
        <w:t>. وإذا ل</w:t>
      </w:r>
      <w:r w:rsidR="0097257F">
        <w:rPr>
          <w:rFonts w:hint="cs"/>
          <w:rtl/>
        </w:rPr>
        <w:t>‍</w:t>
      </w:r>
      <w:r w:rsidRPr="00DE29E8">
        <w:rPr>
          <w:rtl/>
        </w:rPr>
        <w:t>م ترد أي اعتراضات من الدول الأعضاء خلال هذه الفترة</w:t>
      </w:r>
      <w:r w:rsidRPr="00DE29E8">
        <w:rPr>
          <w:rFonts w:hint="cs"/>
          <w:rtl/>
        </w:rPr>
        <w:t xml:space="preserve">، </w:t>
      </w:r>
      <w:r w:rsidR="001F5266">
        <w:rPr>
          <w:rFonts w:hint="cs"/>
          <w:rtl/>
        </w:rPr>
        <w:t>عندئذ يُشرع في إجراء ال</w:t>
      </w:r>
      <w:r w:rsidR="00BD26F0">
        <w:rPr>
          <w:rFonts w:hint="cs"/>
          <w:rtl/>
        </w:rPr>
        <w:t>‍</w:t>
      </w:r>
      <w:r w:rsidR="001F5266">
        <w:rPr>
          <w:rFonts w:hint="cs"/>
          <w:rtl/>
        </w:rPr>
        <w:t>موافقة بالتشاور ال</w:t>
      </w:r>
      <w:r w:rsidR="00BD26F0">
        <w:rPr>
          <w:rFonts w:hint="cs"/>
          <w:rtl/>
        </w:rPr>
        <w:t>‍</w:t>
      </w:r>
      <w:r w:rsidR="001F5266">
        <w:rPr>
          <w:rFonts w:hint="cs"/>
          <w:rtl/>
        </w:rPr>
        <w:t>منصوص عليه في الفقرة </w:t>
      </w:r>
      <w:r w:rsidR="001F5266">
        <w:t>5.4.10</w:t>
      </w:r>
      <w:r w:rsidR="001F5266">
        <w:rPr>
          <w:rFonts w:hint="cs"/>
          <w:rtl/>
        </w:rPr>
        <w:t xml:space="preserve"> من القرار </w:t>
      </w:r>
      <w:r w:rsidR="001F5266">
        <w:t>ITU-R 1-6</w:t>
      </w:r>
      <w:r w:rsidRPr="00DE29E8">
        <w:rPr>
          <w:rFonts w:hint="cs"/>
          <w:rtl/>
        </w:rPr>
        <w:t>.</w:t>
      </w:r>
    </w:p>
    <w:p w:rsidR="0051048F" w:rsidRPr="004D247D" w:rsidRDefault="0051048F" w:rsidP="004D247D">
      <w:pPr>
        <w:rPr>
          <w:spacing w:val="-2"/>
          <w:rtl/>
        </w:rPr>
      </w:pPr>
      <w:r w:rsidRPr="004D247D">
        <w:rPr>
          <w:rFonts w:hint="cs"/>
          <w:spacing w:val="-2"/>
          <w:rtl/>
        </w:rPr>
        <w:t xml:space="preserve">ويرجى من أي دولة عضو تعترض على </w:t>
      </w:r>
      <w:r w:rsidRPr="00D66A0D">
        <w:rPr>
          <w:rFonts w:hint="cs"/>
          <w:spacing w:val="-2"/>
          <w:rtl/>
        </w:rPr>
        <w:t>اعتماد</w:t>
      </w:r>
      <w:r w:rsidRPr="004D247D">
        <w:rPr>
          <w:rFonts w:hint="cs"/>
          <w:spacing w:val="-2"/>
          <w:rtl/>
        </w:rPr>
        <w:t xml:space="preserve"> </w:t>
      </w:r>
      <w:r w:rsidR="004D247D" w:rsidRPr="004D247D">
        <w:rPr>
          <w:rFonts w:hint="cs"/>
          <w:spacing w:val="-2"/>
          <w:rtl/>
        </w:rPr>
        <w:t>مشروعي التوصيتين</w:t>
      </w:r>
      <w:r w:rsidRPr="004D247D">
        <w:rPr>
          <w:rFonts w:hint="cs"/>
          <w:spacing w:val="-2"/>
          <w:rtl/>
        </w:rPr>
        <w:t xml:space="preserve"> أن ت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خبر ال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مدير ورئيس 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جنة الدراسات بأسباب اعتراضها.</w:t>
      </w:r>
    </w:p>
    <w:p w:rsidR="00141FB5" w:rsidRPr="00F542D7" w:rsidRDefault="00141FB5" w:rsidP="009C72CD">
      <w:pPr>
        <w:keepNext/>
        <w:keepLines/>
        <w:rPr>
          <w:spacing w:val="-4"/>
          <w:rtl/>
          <w:lang w:bidi="ar-SA"/>
        </w:rPr>
      </w:pPr>
      <w:r w:rsidRPr="00F542D7">
        <w:rPr>
          <w:spacing w:val="-4"/>
          <w:rtl/>
        </w:rPr>
        <w:lastRenderedPageBreak/>
        <w:t>ويرجى من أي منظمة عضو في الات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حاد تعلم بوجود براءة اختراع لديها أو لدى غيرها تغطي كلياً أو جزئياً بعض</w:t>
      </w:r>
      <w:r w:rsidR="0058064C" w:rsidRPr="00F542D7">
        <w:rPr>
          <w:rFonts w:hint="cs"/>
          <w:spacing w:val="-4"/>
          <w:rtl/>
        </w:rPr>
        <w:t xml:space="preserve"> </w:t>
      </w:r>
      <w:r w:rsidRPr="00F542D7">
        <w:rPr>
          <w:spacing w:val="-4"/>
          <w:rtl/>
        </w:rPr>
        <w:t>عناصر</w:t>
      </w:r>
      <w:r w:rsidR="0058064C" w:rsidRPr="00F542D7">
        <w:rPr>
          <w:rFonts w:hint="cs"/>
          <w:spacing w:val="-4"/>
          <w:rtl/>
        </w:rPr>
        <w:t xml:space="preserve"> مشاريع</w:t>
      </w:r>
      <w:r w:rsidRPr="00F542D7">
        <w:rPr>
          <w:spacing w:val="-4"/>
          <w:rtl/>
        </w:rPr>
        <w:t xml:space="preserve"> </w:t>
      </w:r>
      <w:r w:rsidR="0058064C" w:rsidRPr="00F542D7">
        <w:rPr>
          <w:rFonts w:hint="cs"/>
          <w:spacing w:val="-4"/>
          <w:rtl/>
        </w:rPr>
        <w:t xml:space="preserve">التوصيات </w:t>
      </w:r>
      <w:r w:rsidRPr="00F542D7">
        <w:rPr>
          <w:spacing w:val="-4"/>
          <w:rtl/>
        </w:rPr>
        <w:t>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مذكورة في هذه الرسالة أو أحدها أن تبلغ الأمانة بهذه 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معلومات بأسرع ما</w:t>
      </w:r>
      <w:r w:rsidR="003A7EA4">
        <w:rPr>
          <w:rFonts w:hint="eastAsia"/>
          <w:spacing w:val="-4"/>
          <w:rtl/>
        </w:rPr>
        <w:t> </w:t>
      </w:r>
      <w:r w:rsidRPr="00F542D7">
        <w:rPr>
          <w:spacing w:val="-4"/>
          <w:rtl/>
        </w:rPr>
        <w:t>ي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مكن. وي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مكن</w:t>
      </w:r>
      <w:r w:rsidR="0058064C" w:rsidRPr="00F542D7">
        <w:rPr>
          <w:rFonts w:hint="cs"/>
          <w:spacing w:val="-4"/>
          <w:rtl/>
        </w:rPr>
        <w:t xml:space="preserve"> </w:t>
      </w:r>
      <w:r w:rsidRPr="00F542D7">
        <w:rPr>
          <w:spacing w:val="-4"/>
          <w:rtl/>
        </w:rPr>
        <w:t>الاطلاع على السياسة 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 xml:space="preserve">مشتركة للبراءات </w:t>
      </w:r>
      <w:r w:rsidRPr="00F542D7">
        <w:rPr>
          <w:spacing w:val="-4"/>
        </w:rPr>
        <w:t>"ITU</w:t>
      </w:r>
      <w:r w:rsidRPr="00F542D7">
        <w:rPr>
          <w:spacing w:val="-4"/>
        </w:rPr>
        <w:noBreakHyphen/>
        <w:t>T/ITU</w:t>
      </w:r>
      <w:r w:rsidRPr="00F542D7">
        <w:rPr>
          <w:spacing w:val="-4"/>
        </w:rPr>
        <w:noBreakHyphen/>
        <w:t>R/ISO/IEC"</w:t>
      </w:r>
      <w:r w:rsidRPr="00F542D7">
        <w:rPr>
          <w:spacing w:val="-4"/>
          <w:rtl/>
        </w:rPr>
        <w:t xml:space="preserve"> في ال</w:t>
      </w:r>
      <w:r w:rsidRPr="00F542D7">
        <w:rPr>
          <w:rFonts w:hint="cs"/>
          <w:spacing w:val="-4"/>
          <w:rtl/>
        </w:rPr>
        <w:t>‍</w:t>
      </w:r>
      <w:r w:rsidRPr="00F542D7">
        <w:rPr>
          <w:spacing w:val="-4"/>
          <w:rtl/>
        </w:rPr>
        <w:t>موقع الإلكتروني</w:t>
      </w:r>
      <w:r w:rsidRPr="00F542D7">
        <w:rPr>
          <w:rFonts w:hint="cs"/>
          <w:spacing w:val="-4"/>
          <w:rtl/>
        </w:rPr>
        <w:t xml:space="preserve">: </w:t>
      </w:r>
      <w:hyperlink r:id="rId9" w:history="1">
        <w:r w:rsidR="0058064C" w:rsidRPr="00F542D7">
          <w:rPr>
            <w:rStyle w:val="Hyperlink"/>
            <w:spacing w:val="-4"/>
            <w:szCs w:val="22"/>
          </w:rPr>
          <w:t>http://www.itu.int/en/ITU-T/ipr/Pages/policy.aspx</w:t>
        </w:r>
      </w:hyperlink>
      <w:r w:rsidR="00D960FE" w:rsidRPr="00F542D7">
        <w:rPr>
          <w:rFonts w:hint="cs"/>
          <w:spacing w:val="-4"/>
          <w:rtl/>
          <w:lang w:bidi="ar-SA"/>
        </w:rPr>
        <w:t>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148B3" w:rsidRPr="00DE29E8" w:rsidRDefault="00F542D7" w:rsidP="009C72C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</w:t>
      </w:r>
      <w:r w:rsidR="001E1D85">
        <w:rPr>
          <w:rFonts w:hint="cs"/>
          <w:b/>
          <w:bCs/>
          <w:rtl/>
        </w:rPr>
        <w:t>‍</w:t>
      </w:r>
      <w:r>
        <w:rPr>
          <w:rFonts w:hint="cs"/>
          <w:b/>
          <w:bCs/>
          <w:rtl/>
        </w:rPr>
        <w:t>ملحق</w:t>
      </w:r>
      <w:r w:rsidR="007F6F14"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3A7EA4">
        <w:rPr>
          <w:rFonts w:hint="cs"/>
          <w:rtl/>
        </w:rPr>
        <w:t>عنوان وملخص كل من مشروعي التوصيتين</w:t>
      </w:r>
    </w:p>
    <w:p w:rsidR="00141FB5" w:rsidRPr="00DE29E8" w:rsidRDefault="00141FB5" w:rsidP="009C72CD">
      <w:pPr>
        <w:keepNext/>
        <w:keepLines/>
        <w:tabs>
          <w:tab w:val="clear" w:pos="794"/>
          <w:tab w:val="clear" w:pos="1191"/>
          <w:tab w:val="left" w:pos="1134"/>
        </w:tabs>
        <w:spacing w:before="240"/>
        <w:rPr>
          <w:rtl/>
        </w:rPr>
      </w:pPr>
      <w:r w:rsidRPr="00DE29E8">
        <w:rPr>
          <w:rFonts w:hint="cs"/>
          <w:b/>
          <w:bCs/>
          <w:rtl/>
        </w:rPr>
        <w:t>الوثائق:</w:t>
      </w:r>
      <w:r w:rsidRPr="00DE29E8">
        <w:rPr>
          <w:rFonts w:hint="cs"/>
          <w:rtl/>
        </w:rPr>
        <w:tab/>
      </w:r>
      <w:r w:rsidR="00FB6C38">
        <w:rPr>
          <w:rFonts w:hint="cs"/>
          <w:rtl/>
        </w:rPr>
        <w:t>الوثيقة</w:t>
      </w:r>
      <w:r w:rsidRPr="00DE29E8">
        <w:rPr>
          <w:rFonts w:hint="cs"/>
          <w:rtl/>
        </w:rPr>
        <w:t xml:space="preserve"> </w:t>
      </w:r>
      <w:r w:rsidR="00F542D7">
        <w:t>4/</w:t>
      </w:r>
      <w:r w:rsidR="00FB6C38">
        <w:t>41</w:t>
      </w:r>
      <w:r w:rsidRPr="00DE29E8">
        <w:t>(Rev.1)</w:t>
      </w:r>
      <w:r w:rsidRPr="00DE29E8">
        <w:rPr>
          <w:rFonts w:hint="cs"/>
          <w:rtl/>
        </w:rPr>
        <w:t xml:space="preserve"> و</w:t>
      </w:r>
      <w:r w:rsidR="00F542D7">
        <w:t>4/</w:t>
      </w:r>
      <w:r w:rsidR="00FB6C38">
        <w:t>42</w:t>
      </w:r>
      <w:r w:rsidRPr="00DE29E8">
        <w:t>(Rev.1)</w:t>
      </w:r>
    </w:p>
    <w:p w:rsidR="00141FB5" w:rsidRPr="00DE29E8" w:rsidRDefault="00141FB5" w:rsidP="00FB6C38">
      <w:pPr>
        <w:tabs>
          <w:tab w:val="clear" w:pos="1191"/>
        </w:tabs>
        <w:spacing w:before="240"/>
        <w:rPr>
          <w:rtl/>
          <w:lang w:bidi="ar-SY"/>
        </w:rPr>
      </w:pPr>
      <w:r w:rsidRPr="00DE29E8">
        <w:rPr>
          <w:rFonts w:hint="cs"/>
          <w:rtl/>
        </w:rPr>
        <w:t xml:space="preserve">وتتاح </w:t>
      </w:r>
      <w:r w:rsidR="00FB6C38">
        <w:rPr>
          <w:rFonts w:hint="cs"/>
          <w:rtl/>
        </w:rPr>
        <w:t>نسخ إلكترونية من هذه الوثائق في</w:t>
      </w:r>
      <w:r w:rsidRPr="00DE29E8">
        <w:rPr>
          <w:rFonts w:hint="cs"/>
          <w:rtl/>
        </w:rPr>
        <w:t xml:space="preserve">: </w:t>
      </w:r>
      <w:hyperlink r:id="rId10" w:history="1">
        <w:r w:rsidRPr="00DE29E8">
          <w:rPr>
            <w:rStyle w:val="Hyperlink"/>
          </w:rPr>
          <w:t>http://www.itu.int/md/R12-SG04-C/en</w:t>
        </w:r>
      </w:hyperlink>
    </w:p>
    <w:p w:rsidR="00FB05F7" w:rsidRPr="00985D70" w:rsidRDefault="00FB05F7" w:rsidP="0058064C">
      <w:pPr>
        <w:spacing w:before="132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33436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141FB5">
        <w:rPr>
          <w:sz w:val="16"/>
          <w:szCs w:val="22"/>
          <w:lang w:val="fr-CH"/>
        </w:rPr>
        <w:t>4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141FB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141FB5">
        <w:rPr>
          <w:sz w:val="16"/>
          <w:szCs w:val="22"/>
        </w:rPr>
        <w:t>4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542EE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542EE0">
        <w:rPr>
          <w:rFonts w:hint="cs"/>
          <w:sz w:val="16"/>
          <w:szCs w:val="22"/>
          <w:rtl/>
        </w:rPr>
        <w:t>رئيس ل‍جنة الدراسات </w:t>
      </w:r>
      <w:r w:rsidR="00542EE0">
        <w:rPr>
          <w:sz w:val="16"/>
          <w:szCs w:val="22"/>
        </w:rPr>
        <w:t>4</w:t>
      </w:r>
      <w:r w:rsidR="00542EE0">
        <w:rPr>
          <w:rFonts w:hint="cs"/>
          <w:sz w:val="16"/>
          <w:szCs w:val="22"/>
          <w:rtl/>
        </w:rPr>
        <w:t xml:space="preserve"> للاتصالات الراديوية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D6618A">
      <w:pPr>
        <w:pStyle w:val="AnnexNo"/>
        <w:rPr>
          <w:rtl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5C548D">
      <w:pPr>
        <w:pStyle w:val="Annextitle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عنوان وملخص كل من</w:t>
      </w:r>
      <w:r w:rsidR="00141FB5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مشروعي التوصيتين</w:t>
      </w:r>
    </w:p>
    <w:p w:rsidR="00D35A0B" w:rsidRPr="00026B17" w:rsidRDefault="00D35A0B" w:rsidP="00D35A0B">
      <w:pPr>
        <w:tabs>
          <w:tab w:val="right" w:pos="9639"/>
        </w:tabs>
        <w:rPr>
          <w:rtl/>
        </w:rPr>
      </w:pPr>
      <w:r w:rsidRPr="00DA4260">
        <w:rPr>
          <w:rFonts w:hint="cs"/>
          <w:u w:val="single"/>
          <w:rtl/>
        </w:rPr>
        <w:t>مشروع</w:t>
      </w:r>
      <w:r w:rsidRPr="00DA4260">
        <w:rPr>
          <w:rFonts w:hint="cs"/>
          <w:u w:val="single"/>
          <w:rtl/>
          <w:lang w:bidi="ar-SY"/>
        </w:rPr>
        <w:t xml:space="preserve"> التوصية ال</w:t>
      </w:r>
      <w:r>
        <w:rPr>
          <w:rFonts w:hint="cs"/>
          <w:u w:val="single"/>
          <w:rtl/>
          <w:lang w:bidi="ar-SY"/>
        </w:rPr>
        <w:t>‍</w:t>
      </w:r>
      <w:r w:rsidRPr="00DA4260">
        <w:rPr>
          <w:rFonts w:hint="cs"/>
          <w:u w:val="single"/>
          <w:rtl/>
          <w:lang w:bidi="ar-SY"/>
        </w:rPr>
        <w:t xml:space="preserve">جديدة </w:t>
      </w:r>
      <w:r w:rsidRPr="00DA4260">
        <w:rPr>
          <w:u w:val="single"/>
          <w:lang w:bidi="ar-SY"/>
        </w:rPr>
        <w:t>ITU-R </w:t>
      </w:r>
      <w:r w:rsidRPr="00DA4260">
        <w:rPr>
          <w:spacing w:val="-2"/>
          <w:sz w:val="24"/>
          <w:szCs w:val="24"/>
          <w:u w:val="single"/>
        </w:rPr>
        <w:t>M.[AMS(R)S.METHODOLOGY]-0</w:t>
      </w:r>
      <w:r>
        <w:rPr>
          <w:rFonts w:hint="cs"/>
          <w:rtl/>
        </w:rPr>
        <w:tab/>
        <w:t xml:space="preserve">الوثيقة </w:t>
      </w:r>
      <w:r>
        <w:t>4/41(Rev.1)</w:t>
      </w:r>
    </w:p>
    <w:p w:rsidR="00D35A0B" w:rsidRDefault="00D35A0B" w:rsidP="008335AE">
      <w:pPr>
        <w:pStyle w:val="Rectitle"/>
        <w:tabs>
          <w:tab w:val="left" w:pos="574"/>
          <w:tab w:val="center" w:pos="4819"/>
        </w:tabs>
      </w:pPr>
      <w:r>
        <w:rPr>
          <w:rFonts w:hint="cs"/>
          <w:rtl/>
        </w:rPr>
        <w:t>منهجية ل</w:t>
      </w:r>
      <w:r w:rsidR="008335AE">
        <w:rPr>
          <w:rFonts w:hint="cs"/>
          <w:rtl/>
        </w:rPr>
        <w:t>‍</w:t>
      </w:r>
      <w:r>
        <w:rPr>
          <w:rFonts w:hint="cs"/>
          <w:rtl/>
        </w:rPr>
        <w:t xml:space="preserve">حساب الاحتياجات من الطيف في نطاقي التردد </w:t>
      </w:r>
      <w:r>
        <w:t>MHz</w:t>
      </w:r>
      <w:r w:rsidR="008335AE">
        <w:t> </w:t>
      </w:r>
      <w:r>
        <w:t>1</w:t>
      </w:r>
      <w:r w:rsidR="009129D3">
        <w:t> </w:t>
      </w:r>
      <w:r>
        <w:t>555-1</w:t>
      </w:r>
      <w:r w:rsidR="009129D3">
        <w:t> </w:t>
      </w:r>
      <w:r>
        <w:t>545</w:t>
      </w:r>
      <w:r>
        <w:rPr>
          <w:rFonts w:hint="cs"/>
          <w:rtl/>
        </w:rPr>
        <w:t xml:space="preserve"> (فضاء-أرض)</w:t>
      </w:r>
      <w:r>
        <w:rPr>
          <w:rtl/>
        </w:rPr>
        <w:br/>
      </w:r>
      <w:r>
        <w:rPr>
          <w:rFonts w:hint="cs"/>
          <w:rtl/>
        </w:rPr>
        <w:t>و</w:t>
      </w:r>
      <w:r>
        <w:t>MHz</w:t>
      </w:r>
      <w:r w:rsidR="008335AE">
        <w:t> </w:t>
      </w:r>
      <w:r>
        <w:t>1</w:t>
      </w:r>
      <w:r w:rsidR="009129D3">
        <w:t> </w:t>
      </w:r>
      <w:r>
        <w:t>656,5-1</w:t>
      </w:r>
      <w:r w:rsidR="009129D3">
        <w:t> </w:t>
      </w:r>
      <w:r>
        <w:t>646,5</w:t>
      </w:r>
      <w:r>
        <w:rPr>
          <w:rFonts w:hint="cs"/>
          <w:rtl/>
        </w:rPr>
        <w:t xml:space="preserve"> (أرض-فضاء) من أجل</w:t>
      </w:r>
      <w:r>
        <w:rPr>
          <w:rtl/>
        </w:rPr>
        <w:br/>
      </w:r>
      <w:r>
        <w:rPr>
          <w:rFonts w:hint="cs"/>
          <w:rtl/>
        </w:rPr>
        <w:t>اتصالات ال</w:t>
      </w:r>
      <w:r w:rsidR="002E5B15">
        <w:rPr>
          <w:rFonts w:hint="cs"/>
          <w:rtl/>
        </w:rPr>
        <w:t>‍</w:t>
      </w:r>
      <w:r>
        <w:rPr>
          <w:rFonts w:hint="cs"/>
          <w:rtl/>
        </w:rPr>
        <w:t>خدمة ال</w:t>
      </w:r>
      <w:r w:rsidR="008335AE">
        <w:rPr>
          <w:rFonts w:hint="cs"/>
          <w:rtl/>
        </w:rPr>
        <w:t>‍</w:t>
      </w:r>
      <w:r>
        <w:rPr>
          <w:rFonts w:hint="cs"/>
          <w:rtl/>
        </w:rPr>
        <w:t xml:space="preserve">متنقلة الساتلية للطيران </w:t>
      </w:r>
      <w:r>
        <w:t>(R)</w:t>
      </w:r>
      <w:r>
        <w:rPr>
          <w:rFonts w:hint="cs"/>
          <w:rtl/>
        </w:rPr>
        <w:t xml:space="preserve"> ال</w:t>
      </w:r>
      <w:r w:rsidR="008335AE">
        <w:rPr>
          <w:rFonts w:hint="cs"/>
          <w:rtl/>
        </w:rPr>
        <w:t>‍</w:t>
      </w:r>
      <w:r>
        <w:rPr>
          <w:rFonts w:hint="cs"/>
          <w:rtl/>
        </w:rPr>
        <w:t>متعلقة بفئات الأولوية</w:t>
      </w:r>
      <w:r>
        <w:br/>
      </w:r>
      <w:r>
        <w:rPr>
          <w:rFonts w:hint="cs"/>
          <w:rtl/>
        </w:rPr>
        <w:t xml:space="preserve">من </w:t>
      </w:r>
      <w:r>
        <w:t>1</w:t>
      </w:r>
      <w:r>
        <w:rPr>
          <w:rFonts w:hint="cs"/>
          <w:rtl/>
        </w:rPr>
        <w:t xml:space="preserve"> إلى </w:t>
      </w:r>
      <w:r>
        <w:t>6</w:t>
      </w:r>
      <w:r>
        <w:rPr>
          <w:rFonts w:hint="cs"/>
          <w:rtl/>
        </w:rPr>
        <w:t xml:space="preserve"> ال</w:t>
      </w:r>
      <w:r w:rsidR="008335AE">
        <w:rPr>
          <w:rFonts w:hint="cs"/>
          <w:rtl/>
        </w:rPr>
        <w:t>‍</w:t>
      </w:r>
      <w:r>
        <w:rPr>
          <w:rFonts w:hint="cs"/>
          <w:rtl/>
        </w:rPr>
        <w:t>منصوص عليها في ال</w:t>
      </w:r>
      <w:r w:rsidR="008335AE">
        <w:rPr>
          <w:rFonts w:hint="cs"/>
          <w:rtl/>
        </w:rPr>
        <w:t>‍</w:t>
      </w:r>
      <w:r>
        <w:rPr>
          <w:rFonts w:hint="cs"/>
          <w:rtl/>
        </w:rPr>
        <w:t xml:space="preserve">مادة </w:t>
      </w:r>
      <w:r>
        <w:t>44</w:t>
      </w:r>
      <w:r>
        <w:rPr>
          <w:rFonts w:hint="cs"/>
          <w:rtl/>
        </w:rPr>
        <w:t xml:space="preserve"> من لوائح الراديو</w:t>
      </w:r>
    </w:p>
    <w:p w:rsidR="00D35A0B" w:rsidRPr="00487190" w:rsidRDefault="00D35A0B" w:rsidP="00841A55">
      <w:pPr>
        <w:pStyle w:val="Normalaftertitle"/>
        <w:rPr>
          <w:spacing w:val="-4"/>
          <w:rtl/>
        </w:rPr>
      </w:pPr>
      <w:r w:rsidRPr="00487190">
        <w:rPr>
          <w:rFonts w:hint="cs"/>
          <w:spacing w:val="-4"/>
          <w:rtl/>
        </w:rPr>
        <w:t>تعرض هذه التوصية منهجية ل</w:t>
      </w:r>
      <w:r w:rsidR="00841A55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حساب احتياجات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ال</w:t>
      </w:r>
      <w:r w:rsidR="00841A55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خدمة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ال</w:t>
      </w:r>
      <w:r w:rsidR="00841A55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متنقلة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الساتلية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للطيران</w:t>
      </w:r>
      <w:r w:rsidR="00841A55">
        <w:rPr>
          <w:rFonts w:hint="cs"/>
          <w:spacing w:val="-4"/>
          <w:rtl/>
        </w:rPr>
        <w:t> </w:t>
      </w:r>
      <w:r w:rsidRPr="00487190">
        <w:rPr>
          <w:spacing w:val="-4"/>
        </w:rPr>
        <w:t>(R)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من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الطيف</w:t>
      </w:r>
      <w:r w:rsidRPr="00487190">
        <w:rPr>
          <w:spacing w:val="-4"/>
          <w:rtl/>
        </w:rPr>
        <w:t xml:space="preserve"> </w:t>
      </w:r>
      <w:r w:rsidRPr="00487190">
        <w:rPr>
          <w:rFonts w:hint="cs"/>
          <w:spacing w:val="-4"/>
          <w:rtl/>
        </w:rPr>
        <w:t>في</w:t>
      </w:r>
      <w:r w:rsidRPr="00487190">
        <w:rPr>
          <w:rFonts w:hint="eastAsia"/>
          <w:spacing w:val="-4"/>
          <w:rtl/>
        </w:rPr>
        <w:t> </w:t>
      </w:r>
      <w:r w:rsidRPr="00487190">
        <w:rPr>
          <w:rFonts w:hint="cs"/>
          <w:spacing w:val="-4"/>
          <w:rtl/>
        </w:rPr>
        <w:t>النطاقين</w:t>
      </w:r>
      <w:r w:rsidRPr="00487190">
        <w:rPr>
          <w:spacing w:val="-4"/>
          <w:rtl/>
        </w:rPr>
        <w:t xml:space="preserve"> </w:t>
      </w:r>
      <w:r w:rsidRPr="00487190">
        <w:rPr>
          <w:spacing w:val="-4"/>
        </w:rPr>
        <w:t>MHz 1 555</w:t>
      </w:r>
      <w:r w:rsidRPr="00487190">
        <w:rPr>
          <w:spacing w:val="-4"/>
        </w:rPr>
        <w:noBreakHyphen/>
        <w:t>1 545</w:t>
      </w:r>
      <w:r w:rsidRPr="00487190">
        <w:rPr>
          <w:spacing w:val="-4"/>
          <w:rtl/>
        </w:rPr>
        <w:t xml:space="preserve"> (</w:t>
      </w:r>
      <w:r w:rsidRPr="00487190">
        <w:rPr>
          <w:rFonts w:hint="cs"/>
          <w:spacing w:val="-4"/>
          <w:rtl/>
        </w:rPr>
        <w:t>فضاء</w:t>
      </w:r>
      <w:r w:rsidRPr="00487190">
        <w:rPr>
          <w:spacing w:val="-4"/>
          <w:rtl/>
        </w:rPr>
        <w:noBreakHyphen/>
      </w:r>
      <w:r w:rsidRPr="00487190">
        <w:rPr>
          <w:rFonts w:hint="cs"/>
          <w:spacing w:val="-4"/>
          <w:rtl/>
        </w:rPr>
        <w:t>أرض</w:t>
      </w:r>
      <w:r w:rsidRPr="00487190">
        <w:rPr>
          <w:spacing w:val="-4"/>
          <w:rtl/>
        </w:rPr>
        <w:t xml:space="preserve">) </w:t>
      </w:r>
      <w:r w:rsidRPr="00487190">
        <w:rPr>
          <w:rFonts w:hint="cs"/>
          <w:spacing w:val="-4"/>
          <w:rtl/>
        </w:rPr>
        <w:t>و</w:t>
      </w:r>
      <w:r w:rsidRPr="00487190">
        <w:rPr>
          <w:spacing w:val="-4"/>
        </w:rPr>
        <w:t>MHz 1 656,5</w:t>
      </w:r>
      <w:r w:rsidRPr="00487190">
        <w:rPr>
          <w:spacing w:val="-4"/>
        </w:rPr>
        <w:noBreakHyphen/>
        <w:t>1 646,5</w:t>
      </w:r>
      <w:r w:rsidRPr="00487190">
        <w:rPr>
          <w:spacing w:val="-4"/>
          <w:rtl/>
        </w:rPr>
        <w:t xml:space="preserve"> (</w:t>
      </w:r>
      <w:r w:rsidRPr="00487190">
        <w:rPr>
          <w:rFonts w:hint="cs"/>
          <w:spacing w:val="-4"/>
          <w:rtl/>
        </w:rPr>
        <w:t>أرض</w:t>
      </w:r>
      <w:r w:rsidRPr="00487190">
        <w:rPr>
          <w:spacing w:val="-4"/>
          <w:rtl/>
        </w:rPr>
        <w:noBreakHyphen/>
      </w:r>
      <w:r w:rsidRPr="00487190">
        <w:rPr>
          <w:rFonts w:hint="cs"/>
          <w:spacing w:val="-4"/>
          <w:rtl/>
        </w:rPr>
        <w:t>فضاء</w:t>
      </w:r>
      <w:r w:rsidRPr="00487190">
        <w:rPr>
          <w:spacing w:val="-4"/>
          <w:rtl/>
        </w:rPr>
        <w:t>)</w:t>
      </w:r>
      <w:r w:rsidRPr="00487190">
        <w:rPr>
          <w:rFonts w:hint="cs"/>
          <w:spacing w:val="-4"/>
          <w:rtl/>
        </w:rPr>
        <w:t>. والغرض منها ت</w:t>
      </w:r>
      <w:r w:rsidR="006F3DE3" w:rsidRPr="00487190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حديد القيمة ال</w:t>
      </w:r>
      <w:r w:rsidR="009109B9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مقابلة لاحتياجات من الطيف ال</w:t>
      </w:r>
      <w:r w:rsidR="006F3DE3" w:rsidRPr="00487190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 xml:space="preserve">متعلقة بفئات الأولوية من </w:t>
      </w:r>
      <w:r w:rsidRPr="00487190">
        <w:rPr>
          <w:spacing w:val="-4"/>
        </w:rPr>
        <w:t>1</w:t>
      </w:r>
      <w:r w:rsidRPr="00487190">
        <w:rPr>
          <w:rFonts w:hint="cs"/>
          <w:spacing w:val="-4"/>
          <w:rtl/>
        </w:rPr>
        <w:t xml:space="preserve"> إلى </w:t>
      </w:r>
      <w:r w:rsidRPr="00487190">
        <w:rPr>
          <w:spacing w:val="-4"/>
        </w:rPr>
        <w:t>6</w:t>
      </w:r>
      <w:r w:rsidRPr="00487190">
        <w:rPr>
          <w:rFonts w:hint="cs"/>
          <w:spacing w:val="-4"/>
          <w:rtl/>
        </w:rPr>
        <w:t xml:space="preserve"> ال</w:t>
      </w:r>
      <w:r w:rsidR="00D57622" w:rsidRPr="00487190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منصوص عليها في ال</w:t>
      </w:r>
      <w:r w:rsidR="00487190" w:rsidRPr="00487190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مادة</w:t>
      </w:r>
      <w:r w:rsidR="003346D8" w:rsidRPr="00487190">
        <w:rPr>
          <w:rFonts w:hint="eastAsia"/>
          <w:spacing w:val="-4"/>
          <w:rtl/>
        </w:rPr>
        <w:t> </w:t>
      </w:r>
      <w:r w:rsidRPr="00487190">
        <w:rPr>
          <w:b/>
          <w:bCs/>
          <w:spacing w:val="-4"/>
        </w:rPr>
        <w:t>44</w:t>
      </w:r>
      <w:r w:rsidRPr="00487190">
        <w:rPr>
          <w:rFonts w:hint="cs"/>
          <w:spacing w:val="-4"/>
          <w:rtl/>
        </w:rPr>
        <w:t xml:space="preserve"> من لوائح الراديو والتي ينطبق عليها أحكام القرار</w:t>
      </w:r>
      <w:r w:rsidR="00956810" w:rsidRPr="00487190">
        <w:rPr>
          <w:rFonts w:hint="eastAsia"/>
          <w:spacing w:val="-4"/>
          <w:rtl/>
        </w:rPr>
        <w:t> </w:t>
      </w:r>
      <w:r w:rsidRPr="00487190">
        <w:rPr>
          <w:b/>
          <w:bCs/>
          <w:spacing w:val="-4"/>
        </w:rPr>
        <w:t>222 (Rev.WRC</w:t>
      </w:r>
      <w:r w:rsidR="00AA029A" w:rsidRPr="00487190">
        <w:rPr>
          <w:b/>
          <w:bCs/>
          <w:spacing w:val="-4"/>
        </w:rPr>
        <w:noBreakHyphen/>
      </w:r>
      <w:r w:rsidRPr="00487190">
        <w:rPr>
          <w:b/>
          <w:bCs/>
          <w:spacing w:val="-4"/>
        </w:rPr>
        <w:t>12)</w:t>
      </w:r>
      <w:r w:rsidRPr="00487190">
        <w:rPr>
          <w:rFonts w:hint="cs"/>
          <w:spacing w:val="-4"/>
          <w:rtl/>
        </w:rPr>
        <w:t>. وقد</w:t>
      </w:r>
      <w:r w:rsidR="00AA029A" w:rsidRPr="00487190">
        <w:rPr>
          <w:rFonts w:hint="eastAsia"/>
          <w:spacing w:val="-4"/>
          <w:rtl/>
        </w:rPr>
        <w:t> </w:t>
      </w:r>
      <w:r w:rsidRPr="00487190">
        <w:rPr>
          <w:rFonts w:hint="cs"/>
          <w:spacing w:val="-4"/>
          <w:rtl/>
        </w:rPr>
        <w:t>كان إعداد هذه التوصية مطلوباً ب</w:t>
      </w:r>
      <w:r w:rsidR="0037688C" w:rsidRPr="00487190">
        <w:rPr>
          <w:rFonts w:hint="cs"/>
          <w:spacing w:val="-4"/>
          <w:rtl/>
        </w:rPr>
        <w:t>‍</w:t>
      </w:r>
      <w:r w:rsidRPr="00487190">
        <w:rPr>
          <w:rFonts w:hint="cs"/>
          <w:spacing w:val="-4"/>
          <w:rtl/>
        </w:rPr>
        <w:t>موجب أحكام القرار</w:t>
      </w:r>
      <w:r w:rsidR="00956810" w:rsidRPr="00487190">
        <w:rPr>
          <w:rFonts w:hint="eastAsia"/>
          <w:spacing w:val="-4"/>
          <w:rtl/>
        </w:rPr>
        <w:t> </w:t>
      </w:r>
      <w:r w:rsidRPr="00487190">
        <w:rPr>
          <w:b/>
          <w:bCs/>
          <w:spacing w:val="-4"/>
        </w:rPr>
        <w:t>422 (WRC</w:t>
      </w:r>
      <w:r w:rsidR="00AA029A" w:rsidRPr="00487190">
        <w:rPr>
          <w:b/>
          <w:bCs/>
          <w:spacing w:val="-4"/>
        </w:rPr>
        <w:noBreakHyphen/>
      </w:r>
      <w:r w:rsidRPr="00487190">
        <w:rPr>
          <w:b/>
          <w:bCs/>
          <w:spacing w:val="-4"/>
        </w:rPr>
        <w:t>12)</w:t>
      </w:r>
      <w:r w:rsidRPr="00487190">
        <w:rPr>
          <w:rFonts w:hint="cs"/>
          <w:spacing w:val="-4"/>
          <w:rtl/>
        </w:rPr>
        <w:t>.</w:t>
      </w:r>
    </w:p>
    <w:p w:rsidR="00D35A0B" w:rsidRPr="00026B17" w:rsidRDefault="00D35A0B" w:rsidP="006F14C5">
      <w:pPr>
        <w:tabs>
          <w:tab w:val="right" w:pos="9639"/>
        </w:tabs>
        <w:spacing w:before="360"/>
        <w:rPr>
          <w:rtl/>
        </w:rPr>
      </w:pPr>
      <w:r w:rsidRPr="006C6CCD">
        <w:rPr>
          <w:rFonts w:hint="cs"/>
          <w:u w:val="single"/>
          <w:rtl/>
        </w:rPr>
        <w:t>مشروع</w:t>
      </w:r>
      <w:r>
        <w:rPr>
          <w:rFonts w:hint="cs"/>
          <w:u w:val="single"/>
          <w:rtl/>
          <w:lang w:bidi="ar-SY"/>
        </w:rPr>
        <w:t xml:space="preserve"> مراجَعة التوصية</w:t>
      </w:r>
      <w:r w:rsidRPr="006C6CCD"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BO.1443-2</w:t>
      </w:r>
      <w:r>
        <w:rPr>
          <w:rFonts w:hint="cs"/>
          <w:rtl/>
        </w:rPr>
        <w:tab/>
        <w:t xml:space="preserve">الوثيقة </w:t>
      </w:r>
      <w:r>
        <w:t>4/42(Rev.1)</w:t>
      </w:r>
    </w:p>
    <w:p w:rsidR="00D35A0B" w:rsidRDefault="00D35A0B" w:rsidP="00A4293C">
      <w:pPr>
        <w:pStyle w:val="Rectitle"/>
        <w:rPr>
          <w:rtl/>
        </w:rPr>
      </w:pPr>
      <w:r w:rsidRPr="0097492F">
        <w:rPr>
          <w:rFonts w:hint="cs"/>
          <w:rtl/>
        </w:rPr>
        <w:t>م</w:t>
      </w:r>
      <w:r w:rsidR="00ED5701">
        <w:rPr>
          <w:rFonts w:hint="cs"/>
          <w:rtl/>
        </w:rPr>
        <w:t>‍</w:t>
      </w:r>
      <w:r w:rsidRPr="0097492F">
        <w:rPr>
          <w:rFonts w:hint="cs"/>
          <w:rtl/>
        </w:rPr>
        <w:t>خططات مرجعية لهوائيات ال</w:t>
      </w:r>
      <w:r w:rsidR="00ED5701">
        <w:rPr>
          <w:rFonts w:hint="cs"/>
          <w:rtl/>
        </w:rPr>
        <w:t>‍</w:t>
      </w:r>
      <w:r w:rsidRPr="0097492F">
        <w:rPr>
          <w:rFonts w:hint="cs"/>
          <w:rtl/>
        </w:rPr>
        <w:t>محطات الأرضية في ال</w:t>
      </w:r>
      <w:r w:rsidR="00ED5701">
        <w:rPr>
          <w:rFonts w:hint="cs"/>
          <w:rtl/>
        </w:rPr>
        <w:t>‍</w:t>
      </w:r>
      <w:r w:rsidRPr="0097492F">
        <w:rPr>
          <w:rFonts w:hint="cs"/>
          <w:rtl/>
        </w:rPr>
        <w:t>خدمة الإذاعية الساتلية</w:t>
      </w:r>
      <w:r w:rsidRPr="0097492F">
        <w:rPr>
          <w:rFonts w:hint="cs"/>
          <w:rtl/>
        </w:rPr>
        <w:br/>
        <w:t xml:space="preserve">من أجل استخدامها لتقييم التداخل </w:t>
      </w:r>
      <w:r>
        <w:rPr>
          <w:rFonts w:hint="cs"/>
          <w:rtl/>
        </w:rPr>
        <w:t>الذي يشمل</w:t>
      </w:r>
      <w:r w:rsidRPr="0097492F">
        <w:rPr>
          <w:rFonts w:hint="cs"/>
          <w:rtl/>
        </w:rPr>
        <w:t xml:space="preserve"> سواتل غير مستقر</w:t>
      </w:r>
      <w:r>
        <w:rPr>
          <w:rFonts w:hint="cs"/>
          <w:rtl/>
        </w:rPr>
        <w:t>ة</w:t>
      </w:r>
      <w:r>
        <w:rPr>
          <w:rFonts w:hint="cs"/>
          <w:rtl/>
        </w:rPr>
        <w:br/>
        <w:t xml:space="preserve">بالنسبة إلى الأرض في نطاقات </w:t>
      </w:r>
      <w:r w:rsidRPr="0097492F">
        <w:rPr>
          <w:rFonts w:hint="cs"/>
          <w:rtl/>
        </w:rPr>
        <w:t xml:space="preserve">تردد </w:t>
      </w:r>
      <w:r>
        <w:rPr>
          <w:rFonts w:hint="cs"/>
          <w:rtl/>
        </w:rPr>
        <w:t>يغطيها</w:t>
      </w:r>
      <w:r w:rsidRPr="0097492F">
        <w:rPr>
          <w:rFonts w:hint="cs"/>
          <w:rtl/>
        </w:rPr>
        <w:br/>
        <w:t>التذييل</w:t>
      </w:r>
      <w:r w:rsidR="00A4293C">
        <w:rPr>
          <w:rFonts w:hint="eastAsia"/>
          <w:rtl/>
        </w:rPr>
        <w:t> </w:t>
      </w:r>
      <w:r w:rsidRPr="0097492F">
        <w:t>30</w:t>
      </w:r>
      <w:r w:rsidRPr="0097492F">
        <w:rPr>
          <w:rFonts w:hint="cs"/>
          <w:rtl/>
        </w:rPr>
        <w:t xml:space="preserve"> من لوائح الراديو</w:t>
      </w:r>
    </w:p>
    <w:p w:rsidR="00D35A0B" w:rsidRDefault="00D35A0B" w:rsidP="002E0EB9">
      <w:pPr>
        <w:pStyle w:val="Normalaftertitle"/>
        <w:rPr>
          <w:rtl/>
        </w:rPr>
      </w:pPr>
      <w:r>
        <w:rPr>
          <w:rFonts w:hint="cs"/>
          <w:rtl/>
        </w:rPr>
        <w:t>ت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 xml:space="preserve">حدد التوصية </w:t>
      </w:r>
      <w:hyperlink r:id="rId11" w:history="1">
        <w:r w:rsidRPr="001540AF">
          <w:rPr>
            <w:rStyle w:val="Hyperlink"/>
          </w:rPr>
          <w:t>ITU</w:t>
        </w:r>
        <w:r w:rsidR="00CD0669" w:rsidRPr="001540AF">
          <w:rPr>
            <w:rStyle w:val="Hyperlink"/>
          </w:rPr>
          <w:noBreakHyphen/>
        </w:r>
        <w:r w:rsidRPr="001540AF">
          <w:rPr>
            <w:rStyle w:val="Hyperlink"/>
          </w:rPr>
          <w:t>R BO.1443</w:t>
        </w:r>
      </w:hyperlink>
      <w:r>
        <w:rPr>
          <w:rFonts w:hint="cs"/>
          <w:rtl/>
        </w:rPr>
        <w:t xml:space="preserve"> م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خطط كسب للمحطات الأرضية في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خدمة الإذاعية الساتلية من أجل استخدامه في</w:t>
      </w:r>
      <w:r w:rsidR="00ED5701">
        <w:rPr>
          <w:rFonts w:hint="eastAsia"/>
          <w:rtl/>
        </w:rPr>
        <w:t> </w:t>
      </w:r>
      <w:r>
        <w:rPr>
          <w:rFonts w:hint="cs"/>
          <w:rtl/>
        </w:rPr>
        <w:t>تقييم التداخلات التي تشمل سواتل غير مستقرة بالنسبة إلى الأرض. ويتمثل أحد استخداماته في ت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حليل الشبكات الساتلية غير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مستقرة بالنسبة إلى الأرض في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خدمة الثابتة الساتلية بغرض التحقق من تقيدها ب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حدود كثافة تدفق القدرة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مكافئة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منصوص عليها في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مادة</w:t>
      </w:r>
      <w:r>
        <w:rPr>
          <w:rFonts w:hint="eastAsia"/>
          <w:rtl/>
        </w:rPr>
        <w:t> </w:t>
      </w:r>
      <w:r w:rsidRPr="00ED5701">
        <w:rPr>
          <w:b/>
          <w:bCs/>
        </w:rPr>
        <w:t>22</w:t>
      </w:r>
      <w:r>
        <w:rPr>
          <w:rFonts w:hint="cs"/>
          <w:rtl/>
        </w:rPr>
        <w:t xml:space="preserve"> من لوائح الراديو. وال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خوارزمية الأساسية 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حساب كثافة تدفق القدرة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مكافئة التي تُستخدم من أجل التحليل ال</w:t>
      </w:r>
      <w:r w:rsidR="00027811">
        <w:rPr>
          <w:rFonts w:hint="cs"/>
          <w:rtl/>
        </w:rPr>
        <w:t>‍</w:t>
      </w:r>
      <w:r>
        <w:rPr>
          <w:rFonts w:hint="cs"/>
          <w:rtl/>
        </w:rPr>
        <w:t>متعلق بال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مادة</w:t>
      </w:r>
      <w:r>
        <w:rPr>
          <w:rFonts w:hint="eastAsia"/>
          <w:rtl/>
        </w:rPr>
        <w:t> </w:t>
      </w:r>
      <w:r w:rsidRPr="00ED5701">
        <w:rPr>
          <w:b/>
          <w:bCs/>
        </w:rPr>
        <w:t>22</w:t>
      </w:r>
      <w:r>
        <w:rPr>
          <w:rFonts w:hint="cs"/>
          <w:rtl/>
        </w:rPr>
        <w:t xml:space="preserve"> يرد تعريفها في التوصية</w:t>
      </w:r>
      <w:r w:rsidR="00ED5701">
        <w:rPr>
          <w:rFonts w:hint="eastAsia"/>
          <w:rtl/>
        </w:rPr>
        <w:t> </w:t>
      </w:r>
      <w:hyperlink r:id="rId12" w:history="1">
        <w:r w:rsidRPr="001540AF">
          <w:rPr>
            <w:rStyle w:val="Hyperlink"/>
          </w:rPr>
          <w:t>ITU</w:t>
        </w:r>
        <w:r w:rsidR="00ED5701" w:rsidRPr="001540AF">
          <w:rPr>
            <w:rStyle w:val="Hyperlink"/>
          </w:rPr>
          <w:noBreakHyphen/>
        </w:r>
        <w:r w:rsidRPr="001540AF">
          <w:rPr>
            <w:rStyle w:val="Hyperlink"/>
          </w:rPr>
          <w:t>R S.1503</w:t>
        </w:r>
      </w:hyperlink>
      <w:r>
        <w:rPr>
          <w:rFonts w:hint="cs"/>
          <w:rtl/>
        </w:rPr>
        <w:t xml:space="preserve"> التي تتضمن إحالات إلى م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خططات للكسب واردة في</w:t>
      </w:r>
      <w:r w:rsidR="00ED5701">
        <w:rPr>
          <w:rFonts w:hint="eastAsia"/>
          <w:rtl/>
        </w:rPr>
        <w:t> </w:t>
      </w:r>
      <w:r>
        <w:rPr>
          <w:rFonts w:hint="cs"/>
          <w:rtl/>
        </w:rPr>
        <w:t>توصيات أخرى مثل التوصية</w:t>
      </w:r>
      <w:r>
        <w:rPr>
          <w:rFonts w:hint="eastAsia"/>
          <w:rtl/>
        </w:rPr>
        <w:t> </w:t>
      </w:r>
      <w:r>
        <w:t>ITU</w:t>
      </w:r>
      <w:r w:rsidR="00ED5701">
        <w:noBreakHyphen/>
      </w:r>
      <w:r>
        <w:t>R BO.1443</w:t>
      </w:r>
      <w:r>
        <w:rPr>
          <w:rFonts w:hint="cs"/>
          <w:rtl/>
        </w:rPr>
        <w:t>.</w:t>
      </w:r>
    </w:p>
    <w:p w:rsidR="00D35A0B" w:rsidRPr="00116CD2" w:rsidRDefault="00D35A0B" w:rsidP="001540AF">
      <w:pPr>
        <w:rPr>
          <w:rtl/>
        </w:rPr>
      </w:pPr>
      <w:r>
        <w:rPr>
          <w:rFonts w:hint="cs"/>
          <w:rtl/>
        </w:rPr>
        <w:t>ولدى تطبيق برم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جية تنفيذ التوصية</w:t>
      </w:r>
      <w:r>
        <w:rPr>
          <w:rFonts w:hint="eastAsia"/>
          <w:rtl/>
        </w:rPr>
        <w:t> </w:t>
      </w:r>
      <w:r>
        <w:t>ITU</w:t>
      </w:r>
      <w:r w:rsidR="00ED5701">
        <w:noBreakHyphen/>
      </w:r>
      <w:r>
        <w:t>R S.1503</w:t>
      </w:r>
      <w:r>
        <w:rPr>
          <w:rFonts w:hint="cs"/>
          <w:rtl/>
        </w:rPr>
        <w:t>، تبين وجود بعض الأخطاء الصياغية في التوصية</w:t>
      </w:r>
      <w:r>
        <w:rPr>
          <w:rFonts w:hint="eastAsia"/>
          <w:rtl/>
        </w:rPr>
        <w:t> </w:t>
      </w:r>
      <w:r>
        <w:t>ITU</w:t>
      </w:r>
      <w:r w:rsidR="00ED5701">
        <w:noBreakHyphen/>
      </w:r>
      <w:r>
        <w:t>R BO.1443-2</w:t>
      </w:r>
      <w:r>
        <w:rPr>
          <w:rFonts w:hint="cs"/>
          <w:rtl/>
        </w:rPr>
        <w:t xml:space="preserve"> واعتُبر أن من 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مفيد للغاية تصويب هذه الأخطاء. ولوحظ خصوصاً أن الزاويتين الكرويتين</w:t>
      </w:r>
      <w:r w:rsidR="00CD0669">
        <w:rPr>
          <w:rFonts w:hint="eastAsia"/>
          <w:rtl/>
        </w:rPr>
        <w:t> </w:t>
      </w:r>
      <w:r>
        <w:t>a</w:t>
      </w:r>
      <w:r>
        <w:rPr>
          <w:rFonts w:hint="cs"/>
          <w:rtl/>
        </w:rPr>
        <w:t xml:space="preserve"> و</w:t>
      </w:r>
      <w:r>
        <w:t>b</w:t>
      </w:r>
      <w:r>
        <w:rPr>
          <w:rFonts w:hint="cs"/>
          <w:rtl/>
        </w:rPr>
        <w:t xml:space="preserve"> في</w:t>
      </w:r>
      <w:r w:rsidR="001540AF">
        <w:rPr>
          <w:rFonts w:hint="eastAsia"/>
          <w:rtl/>
        </w:rPr>
        <w:t> </w:t>
      </w:r>
      <w:r>
        <w:rPr>
          <w:rFonts w:hint="cs"/>
          <w:rtl/>
        </w:rPr>
        <w:t>الشكل</w:t>
      </w:r>
      <w:r w:rsidR="00CD0669"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 xml:space="preserve"> الوارد في</w:t>
      </w:r>
      <w:r w:rsidR="00ED5701">
        <w:rPr>
          <w:rFonts w:hint="eastAsia"/>
          <w:rtl/>
        </w:rPr>
        <w:t> </w:t>
      </w:r>
      <w:r>
        <w:rPr>
          <w:rFonts w:hint="cs"/>
          <w:rtl/>
        </w:rPr>
        <w:t>ال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ملحق</w:t>
      </w:r>
      <w:r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معروضتان في الات</w:t>
      </w:r>
      <w:r w:rsidR="00ED5701">
        <w:rPr>
          <w:rFonts w:hint="cs"/>
          <w:rtl/>
        </w:rPr>
        <w:t>‍</w:t>
      </w:r>
      <w:r>
        <w:rPr>
          <w:rFonts w:hint="cs"/>
          <w:rtl/>
        </w:rPr>
        <w:t>جاه العكسي.</w:t>
      </w:r>
    </w:p>
    <w:p w:rsidR="00B45FA0" w:rsidRPr="00753BD1" w:rsidRDefault="00707580" w:rsidP="00707580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13"/>
      <w:headerReference w:type="first" r:id="rId14"/>
      <w:footerReference w:type="first" r:id="rId15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82054E">
      <w:rPr>
        <w:rStyle w:val="PageNumber"/>
        <w:rFonts w:cs="Calibri"/>
        <w:noProof/>
        <w:sz w:val="22"/>
        <w:szCs w:val="22"/>
      </w:rPr>
      <w:t>3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1CE5"/>
    <w:rsid w:val="00072C95"/>
    <w:rsid w:val="00073B79"/>
    <w:rsid w:val="00077EC4"/>
    <w:rsid w:val="00083ED6"/>
    <w:rsid w:val="000A1733"/>
    <w:rsid w:val="000A35C5"/>
    <w:rsid w:val="000A3857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1FB5"/>
    <w:rsid w:val="00151719"/>
    <w:rsid w:val="00151B87"/>
    <w:rsid w:val="001540AF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608C"/>
    <w:rsid w:val="001D1D48"/>
    <w:rsid w:val="001D2954"/>
    <w:rsid w:val="001E15AA"/>
    <w:rsid w:val="001E1D85"/>
    <w:rsid w:val="001F045C"/>
    <w:rsid w:val="001F0B82"/>
    <w:rsid w:val="001F4D76"/>
    <w:rsid w:val="001F51CE"/>
    <w:rsid w:val="001F5266"/>
    <w:rsid w:val="002014D0"/>
    <w:rsid w:val="002022D7"/>
    <w:rsid w:val="00206E2B"/>
    <w:rsid w:val="00210B45"/>
    <w:rsid w:val="00210CB8"/>
    <w:rsid w:val="00214333"/>
    <w:rsid w:val="002162E8"/>
    <w:rsid w:val="0021748E"/>
    <w:rsid w:val="00227F65"/>
    <w:rsid w:val="00233C28"/>
    <w:rsid w:val="00234BE3"/>
    <w:rsid w:val="00245428"/>
    <w:rsid w:val="002518EE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C090D"/>
    <w:rsid w:val="002C753A"/>
    <w:rsid w:val="002D166F"/>
    <w:rsid w:val="002D34D0"/>
    <w:rsid w:val="002E0EB9"/>
    <w:rsid w:val="002E121B"/>
    <w:rsid w:val="002E3792"/>
    <w:rsid w:val="002E492B"/>
    <w:rsid w:val="002E5B15"/>
    <w:rsid w:val="002F09E5"/>
    <w:rsid w:val="002F1732"/>
    <w:rsid w:val="002F5120"/>
    <w:rsid w:val="00316B78"/>
    <w:rsid w:val="00317D3A"/>
    <w:rsid w:val="0032158B"/>
    <w:rsid w:val="0032177C"/>
    <w:rsid w:val="00322AF8"/>
    <w:rsid w:val="0033354D"/>
    <w:rsid w:val="00334360"/>
    <w:rsid w:val="003346D8"/>
    <w:rsid w:val="003411F3"/>
    <w:rsid w:val="00343581"/>
    <w:rsid w:val="00345C9C"/>
    <w:rsid w:val="0035399B"/>
    <w:rsid w:val="00362963"/>
    <w:rsid w:val="00362E1A"/>
    <w:rsid w:val="00363D9D"/>
    <w:rsid w:val="0036449B"/>
    <w:rsid w:val="003674A6"/>
    <w:rsid w:val="00367BBB"/>
    <w:rsid w:val="0037417F"/>
    <w:rsid w:val="003756CB"/>
    <w:rsid w:val="003757CC"/>
    <w:rsid w:val="0037688C"/>
    <w:rsid w:val="00377082"/>
    <w:rsid w:val="00377341"/>
    <w:rsid w:val="0038391B"/>
    <w:rsid w:val="003A241D"/>
    <w:rsid w:val="003A59BD"/>
    <w:rsid w:val="003A7EA4"/>
    <w:rsid w:val="003B1B5D"/>
    <w:rsid w:val="003B1FBA"/>
    <w:rsid w:val="003C6569"/>
    <w:rsid w:val="003D18B7"/>
    <w:rsid w:val="003D3993"/>
    <w:rsid w:val="003D44A1"/>
    <w:rsid w:val="003E0E63"/>
    <w:rsid w:val="003E10AB"/>
    <w:rsid w:val="003E2ED5"/>
    <w:rsid w:val="003F18DA"/>
    <w:rsid w:val="003F34DC"/>
    <w:rsid w:val="003F47F3"/>
    <w:rsid w:val="003F4D9B"/>
    <w:rsid w:val="00401D1F"/>
    <w:rsid w:val="0040641C"/>
    <w:rsid w:val="004100F4"/>
    <w:rsid w:val="00411A4F"/>
    <w:rsid w:val="004124FE"/>
    <w:rsid w:val="004140EA"/>
    <w:rsid w:val="00414A48"/>
    <w:rsid w:val="00432EC2"/>
    <w:rsid w:val="00434805"/>
    <w:rsid w:val="00434B10"/>
    <w:rsid w:val="00436EDB"/>
    <w:rsid w:val="004406E3"/>
    <w:rsid w:val="0044634B"/>
    <w:rsid w:val="00453D4D"/>
    <w:rsid w:val="00457565"/>
    <w:rsid w:val="004646F6"/>
    <w:rsid w:val="00466806"/>
    <w:rsid w:val="004668F7"/>
    <w:rsid w:val="0047143B"/>
    <w:rsid w:val="00471862"/>
    <w:rsid w:val="00471DD0"/>
    <w:rsid w:val="0047339A"/>
    <w:rsid w:val="00473950"/>
    <w:rsid w:val="004858AB"/>
    <w:rsid w:val="00487190"/>
    <w:rsid w:val="004976B3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2EE0"/>
    <w:rsid w:val="00550968"/>
    <w:rsid w:val="005522AE"/>
    <w:rsid w:val="00553088"/>
    <w:rsid w:val="005536CD"/>
    <w:rsid w:val="00554B1F"/>
    <w:rsid w:val="0055521C"/>
    <w:rsid w:val="00555296"/>
    <w:rsid w:val="005611F9"/>
    <w:rsid w:val="00564770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E0656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31F5"/>
    <w:rsid w:val="006D4BEB"/>
    <w:rsid w:val="006D4E72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795"/>
    <w:rsid w:val="00730DF4"/>
    <w:rsid w:val="00737537"/>
    <w:rsid w:val="00741561"/>
    <w:rsid w:val="00745C10"/>
    <w:rsid w:val="00746900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D2EBF"/>
    <w:rsid w:val="007E02F9"/>
    <w:rsid w:val="007E0A6F"/>
    <w:rsid w:val="007E6CD5"/>
    <w:rsid w:val="007F2EC0"/>
    <w:rsid w:val="007F3CB0"/>
    <w:rsid w:val="007F6F14"/>
    <w:rsid w:val="0080201E"/>
    <w:rsid w:val="0080744B"/>
    <w:rsid w:val="00811467"/>
    <w:rsid w:val="00813125"/>
    <w:rsid w:val="008172A1"/>
    <w:rsid w:val="0082054E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2811"/>
    <w:rsid w:val="008B4D20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56810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2E03"/>
    <w:rsid w:val="00A4293C"/>
    <w:rsid w:val="00A46274"/>
    <w:rsid w:val="00A47673"/>
    <w:rsid w:val="00A62B6B"/>
    <w:rsid w:val="00A62D1F"/>
    <w:rsid w:val="00A64BD3"/>
    <w:rsid w:val="00A71C23"/>
    <w:rsid w:val="00A77413"/>
    <w:rsid w:val="00A82657"/>
    <w:rsid w:val="00A849DB"/>
    <w:rsid w:val="00A974D1"/>
    <w:rsid w:val="00AA029A"/>
    <w:rsid w:val="00AA488A"/>
    <w:rsid w:val="00AB05FA"/>
    <w:rsid w:val="00AB07C5"/>
    <w:rsid w:val="00AB3CD0"/>
    <w:rsid w:val="00AC62A7"/>
    <w:rsid w:val="00AC6687"/>
    <w:rsid w:val="00AC66CB"/>
    <w:rsid w:val="00AC72E1"/>
    <w:rsid w:val="00AD0DA4"/>
    <w:rsid w:val="00AD5754"/>
    <w:rsid w:val="00AE1F6F"/>
    <w:rsid w:val="00AE236D"/>
    <w:rsid w:val="00AE736C"/>
    <w:rsid w:val="00AF260B"/>
    <w:rsid w:val="00AF3604"/>
    <w:rsid w:val="00AF46D6"/>
    <w:rsid w:val="00AF4F7D"/>
    <w:rsid w:val="00AF56DC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4BD4"/>
    <w:rsid w:val="00B37C92"/>
    <w:rsid w:val="00B427F9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65AE"/>
    <w:rsid w:val="00B86CBA"/>
    <w:rsid w:val="00B87E04"/>
    <w:rsid w:val="00B87F62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04986"/>
    <w:rsid w:val="00C14758"/>
    <w:rsid w:val="00C148B3"/>
    <w:rsid w:val="00C1691A"/>
    <w:rsid w:val="00C2024A"/>
    <w:rsid w:val="00C32B0A"/>
    <w:rsid w:val="00C37B75"/>
    <w:rsid w:val="00C4487E"/>
    <w:rsid w:val="00C451A3"/>
    <w:rsid w:val="00C46998"/>
    <w:rsid w:val="00C50B61"/>
    <w:rsid w:val="00C531B1"/>
    <w:rsid w:val="00C56ACE"/>
    <w:rsid w:val="00C60D6E"/>
    <w:rsid w:val="00C626AC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422AA"/>
    <w:rsid w:val="00D4383B"/>
    <w:rsid w:val="00D463D0"/>
    <w:rsid w:val="00D5513C"/>
    <w:rsid w:val="00D57622"/>
    <w:rsid w:val="00D611C7"/>
    <w:rsid w:val="00D61395"/>
    <w:rsid w:val="00D63D34"/>
    <w:rsid w:val="00D63E59"/>
    <w:rsid w:val="00D6618A"/>
    <w:rsid w:val="00D66A0D"/>
    <w:rsid w:val="00D6756E"/>
    <w:rsid w:val="00D70F15"/>
    <w:rsid w:val="00D744B4"/>
    <w:rsid w:val="00D84194"/>
    <w:rsid w:val="00D85C32"/>
    <w:rsid w:val="00D960F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F2653"/>
    <w:rsid w:val="00E0259A"/>
    <w:rsid w:val="00E039FF"/>
    <w:rsid w:val="00E20064"/>
    <w:rsid w:val="00E30F98"/>
    <w:rsid w:val="00E331F6"/>
    <w:rsid w:val="00E3357F"/>
    <w:rsid w:val="00E5049F"/>
    <w:rsid w:val="00E51D3F"/>
    <w:rsid w:val="00E673B8"/>
    <w:rsid w:val="00E67F70"/>
    <w:rsid w:val="00E77927"/>
    <w:rsid w:val="00E8544E"/>
    <w:rsid w:val="00E85F49"/>
    <w:rsid w:val="00E87362"/>
    <w:rsid w:val="00E962CA"/>
    <w:rsid w:val="00EA3486"/>
    <w:rsid w:val="00EB2911"/>
    <w:rsid w:val="00EB7A7B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B05F7"/>
    <w:rsid w:val="00FB1538"/>
    <w:rsid w:val="00FB442A"/>
    <w:rsid w:val="00FB5847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.15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BO.1443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4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24FF-FBD2-4814-AA02-C83382A0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587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4118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detraz</cp:lastModifiedBy>
  <cp:revision>46</cp:revision>
  <cp:lastPrinted>2013-10-22T11:45:00Z</cp:lastPrinted>
  <dcterms:created xsi:type="dcterms:W3CDTF">2013-10-22T08:54:00Z</dcterms:created>
  <dcterms:modified xsi:type="dcterms:W3CDTF">2013-10-22T11:46:00Z</dcterms:modified>
</cp:coreProperties>
</file>