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A283A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283A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7C9A6C5" wp14:editId="4E0FAD1B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EA11F3">
        <w:trPr>
          <w:cantSplit/>
        </w:trPr>
        <w:tc>
          <w:tcPr>
            <w:tcW w:w="3794" w:type="dxa"/>
          </w:tcPr>
          <w:p w:rsidR="00EA11F3" w:rsidRPr="001D4DD3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A11F3" w:rsidRDefault="00EA11F3" w:rsidP="00091994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091994">
              <w:rPr>
                <w:b/>
                <w:bCs/>
              </w:rPr>
              <w:t>599</w:t>
            </w:r>
          </w:p>
        </w:tc>
        <w:tc>
          <w:tcPr>
            <w:tcW w:w="6226" w:type="dxa"/>
          </w:tcPr>
          <w:p w:rsidR="00B87E04" w:rsidRPr="00EA11F3" w:rsidRDefault="007B5BB7" w:rsidP="002D770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2D7709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="002D7709">
              <w:rPr>
                <w:bCs/>
              </w:rPr>
              <w:t>January</w:t>
            </w:r>
            <w:r w:rsidR="009C0359">
              <w:rPr>
                <w:bCs/>
              </w:rPr>
              <w:t xml:space="preserve"> 201</w:t>
            </w:r>
            <w:r w:rsidR="002D7709">
              <w:rPr>
                <w:bCs/>
              </w:rPr>
              <w:t>3</w:t>
            </w:r>
            <w:bookmarkStart w:id="3" w:name="_GoBack"/>
            <w:bookmarkEnd w:id="3"/>
          </w:p>
        </w:tc>
      </w:tr>
    </w:tbl>
    <w:p w:rsidR="00606D42" w:rsidRDefault="00606D42" w:rsidP="007B5BB7">
      <w:pPr>
        <w:tabs>
          <w:tab w:val="left" w:pos="7513"/>
        </w:tabs>
        <w:spacing w:before="3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r w:rsidRPr="00311A18">
        <w:rPr>
          <w:b/>
          <w:bCs/>
        </w:rPr>
        <w:t>Radiocommunication Sector Members, ITU-R Associates</w:t>
      </w:r>
      <w:r w:rsidR="00E237E2">
        <w:rPr>
          <w:b/>
          <w:bCs/>
        </w:rPr>
        <w:t xml:space="preserve"> </w:t>
      </w:r>
      <w:r w:rsidR="00650A05">
        <w:rPr>
          <w:b/>
          <w:bCs/>
        </w:rPr>
        <w:t xml:space="preserve">participating in the work of </w:t>
      </w:r>
      <w:proofErr w:type="spellStart"/>
      <w:r w:rsidR="00650A05">
        <w:rPr>
          <w:b/>
          <w:bCs/>
        </w:rPr>
        <w:t>Radiocommunication</w:t>
      </w:r>
      <w:proofErr w:type="spellEnd"/>
      <w:r w:rsidR="000A283A">
        <w:rPr>
          <w:b/>
          <w:bCs/>
        </w:rPr>
        <w:t xml:space="preserve"> </w:t>
      </w:r>
      <w:r w:rsidRPr="00311A18">
        <w:rPr>
          <w:b/>
          <w:bCs/>
        </w:rPr>
        <w:t xml:space="preserve">Study Group </w:t>
      </w:r>
      <w:r w:rsidR="007B5BB7">
        <w:rPr>
          <w:b/>
          <w:bCs/>
        </w:rPr>
        <w:t>4</w:t>
      </w:r>
      <w:r w:rsidR="000A283A">
        <w:rPr>
          <w:b/>
          <w:bCs/>
        </w:rPr>
        <w:br/>
      </w:r>
      <w:r w:rsidRPr="00311A18">
        <w:rPr>
          <w:b/>
          <w:bCs/>
        </w:rPr>
        <w:t xml:space="preserve">and </w:t>
      </w:r>
      <w:r w:rsidR="00E237E2">
        <w:rPr>
          <w:b/>
          <w:bCs/>
        </w:rPr>
        <w:t>ITU-R Academia</w:t>
      </w:r>
    </w:p>
    <w:p w:rsidR="00606D42" w:rsidRPr="00942890" w:rsidRDefault="00606D42" w:rsidP="00336E1B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480" w:after="120"/>
        <w:ind w:left="1843" w:hanging="1843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proofErr w:type="spellStart"/>
      <w:r w:rsidRPr="00942890">
        <w:rPr>
          <w:b/>
          <w:bCs/>
        </w:rPr>
        <w:t>Radiocommunication</w:t>
      </w:r>
      <w:proofErr w:type="spellEnd"/>
      <w:r w:rsidRPr="00942890">
        <w:rPr>
          <w:b/>
          <w:bCs/>
        </w:rPr>
        <w:t xml:space="preserve"> Study Group </w:t>
      </w:r>
      <w:r w:rsidR="007B5BB7">
        <w:rPr>
          <w:b/>
          <w:bCs/>
        </w:rPr>
        <w:t>4 (Satellite services)</w:t>
      </w:r>
    </w:p>
    <w:p w:rsidR="00DF4981" w:rsidRDefault="00606D42" w:rsidP="007B5BB7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4" w:name="OLE_LINK1"/>
      <w:bookmarkStart w:id="5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 w:rsidR="007B5BB7" w:rsidRPr="00336E1B">
        <w:rPr>
          <w:b/>
          <w:bCs/>
        </w:rPr>
        <w:t xml:space="preserve">2 </w:t>
      </w:r>
      <w:r w:rsidR="009C0359" w:rsidRPr="00336E1B">
        <w:rPr>
          <w:b/>
          <w:bCs/>
        </w:rPr>
        <w:t>new</w:t>
      </w:r>
      <w:r w:rsidR="009C0359">
        <w:rPr>
          <w:b/>
          <w:bCs/>
        </w:rPr>
        <w:t xml:space="preserve"> </w:t>
      </w:r>
      <w:r w:rsidR="00626E73">
        <w:rPr>
          <w:b/>
          <w:bCs/>
        </w:rPr>
        <w:t xml:space="preserve">ITU-R </w:t>
      </w:r>
      <w:r w:rsidR="009C0359">
        <w:rPr>
          <w:b/>
          <w:bCs/>
        </w:rPr>
        <w:t>Recommendation</w:t>
      </w:r>
      <w:r w:rsidR="009C0359" w:rsidRPr="00336E1B">
        <w:rPr>
          <w:b/>
          <w:bCs/>
        </w:rPr>
        <w:t>s</w:t>
      </w:r>
      <w:r w:rsidR="009C0359">
        <w:rPr>
          <w:b/>
          <w:bCs/>
        </w:rPr>
        <w:t xml:space="preserve"> and </w:t>
      </w:r>
      <w:r w:rsidR="007B5BB7" w:rsidRPr="00336E1B">
        <w:rPr>
          <w:b/>
          <w:bCs/>
        </w:rPr>
        <w:t xml:space="preserve">3 </w:t>
      </w:r>
      <w:r w:rsidRPr="00336E1B">
        <w:rPr>
          <w:b/>
          <w:bCs/>
        </w:rPr>
        <w:t xml:space="preserve">revised </w:t>
      </w:r>
      <w:r w:rsidR="00626E73">
        <w:rPr>
          <w:b/>
          <w:bCs/>
        </w:rPr>
        <w:t xml:space="preserve">ITU-R </w:t>
      </w:r>
      <w:r w:rsidRPr="00942890">
        <w:rPr>
          <w:b/>
          <w:bCs/>
        </w:rPr>
        <w:t>Recomm</w:t>
      </w:r>
      <w:r w:rsidR="00F92E07">
        <w:rPr>
          <w:b/>
          <w:bCs/>
        </w:rPr>
        <w:t>endation</w:t>
      </w:r>
      <w:r w:rsidR="009C0359" w:rsidRPr="00336E1B">
        <w:rPr>
          <w:b/>
          <w:bCs/>
        </w:rPr>
        <w:t>s</w:t>
      </w:r>
      <w:r w:rsidR="00F92E07">
        <w:rPr>
          <w:b/>
          <w:bCs/>
        </w:rPr>
        <w:t xml:space="preserve"> and </w:t>
      </w:r>
      <w:r w:rsidR="009C0359">
        <w:rPr>
          <w:b/>
          <w:bCs/>
        </w:rPr>
        <w:t>their</w:t>
      </w:r>
      <w:r w:rsidR="009C0359" w:rsidRPr="00942890">
        <w:rPr>
          <w:b/>
          <w:bCs/>
        </w:rPr>
        <w:t xml:space="preserve"> </w:t>
      </w:r>
      <w:r w:rsidRPr="00942890">
        <w:rPr>
          <w:b/>
          <w:bCs/>
        </w:rPr>
        <w:t>simultaneous approval</w:t>
      </w:r>
      <w:r w:rsidR="009C0359">
        <w:rPr>
          <w:b/>
          <w:bCs/>
        </w:rPr>
        <w:t xml:space="preserve"> by correspondence</w:t>
      </w:r>
      <w:r w:rsidR="00336E1B">
        <w:rPr>
          <w:b/>
          <w:bCs/>
        </w:rPr>
        <w:t xml:space="preserve"> in </w:t>
      </w:r>
      <w:r w:rsidRPr="00942890">
        <w:rPr>
          <w:b/>
          <w:bCs/>
        </w:rPr>
        <w:t>accordance with § 10.3 of Resolution ITU-R 1-</w:t>
      </w:r>
      <w:r w:rsidR="00844C31">
        <w:rPr>
          <w:b/>
          <w:bCs/>
        </w:rPr>
        <w:t>6</w:t>
      </w:r>
      <w:r w:rsidR="00844C31" w:rsidRPr="00942890">
        <w:rPr>
          <w:b/>
          <w:bCs/>
        </w:rPr>
        <w:t xml:space="preserve"> </w:t>
      </w:r>
      <w:r w:rsidRPr="00942890">
        <w:rPr>
          <w:b/>
          <w:bCs/>
        </w:rPr>
        <w:t>(Procedure for the simultaneous adoption and approval by correspondence)</w:t>
      </w:r>
    </w:p>
    <w:bookmarkEnd w:id="4"/>
    <w:bookmarkEnd w:id="5"/>
    <w:p w:rsidR="00DF4981" w:rsidRDefault="00606D42" w:rsidP="00336E1B">
      <w:pPr>
        <w:pStyle w:val="Normalaftertitle"/>
        <w:spacing w:before="480"/>
        <w:ind w:right="-142"/>
      </w:pPr>
      <w:r>
        <w:t xml:space="preserve">By Administrative Circular </w:t>
      </w:r>
      <w:r w:rsidR="00390EAF">
        <w:t>CACE</w:t>
      </w:r>
      <w:r>
        <w:t>/</w:t>
      </w:r>
      <w:r w:rsidR="007B5BB7">
        <w:t xml:space="preserve">587 </w:t>
      </w:r>
      <w:r>
        <w:t xml:space="preserve">dated </w:t>
      </w:r>
      <w:r w:rsidR="007B5BB7">
        <w:t>19 October</w:t>
      </w:r>
      <w:r w:rsidR="009C0359">
        <w:t xml:space="preserve"> </w:t>
      </w:r>
      <w:r w:rsidR="00E237E2">
        <w:t>201</w:t>
      </w:r>
      <w:r w:rsidR="00390EAF">
        <w:t>2</w:t>
      </w:r>
      <w:r>
        <w:t xml:space="preserve">, </w:t>
      </w:r>
      <w:r w:rsidR="007B5BB7">
        <w:t xml:space="preserve">2 </w:t>
      </w:r>
      <w:r w:rsidR="009C0359" w:rsidRPr="00336E1B">
        <w:t>draft new</w:t>
      </w:r>
      <w:r w:rsidR="00234AD0" w:rsidRPr="00336E1B">
        <w:t xml:space="preserve"> </w:t>
      </w:r>
      <w:r w:rsidR="008C260F">
        <w:t xml:space="preserve">ITU-R </w:t>
      </w:r>
      <w:r w:rsidR="00234AD0">
        <w:t>Recommenda</w:t>
      </w:r>
      <w:r w:rsidR="00A90D9F">
        <w:t>t</w:t>
      </w:r>
      <w:r w:rsidR="00234AD0">
        <w:t>ion</w:t>
      </w:r>
      <w:r w:rsidR="00234AD0" w:rsidRPr="00336E1B">
        <w:t>s</w:t>
      </w:r>
      <w:r w:rsidR="009C0359">
        <w:t xml:space="preserve"> and </w:t>
      </w:r>
      <w:r w:rsidR="007B5BB7" w:rsidRPr="00336E1B">
        <w:t>3 </w:t>
      </w:r>
      <w:r w:rsidRPr="00336E1B">
        <w:t xml:space="preserve">draft revised </w:t>
      </w:r>
      <w:r w:rsidR="008C260F">
        <w:t xml:space="preserve">ITU-R </w:t>
      </w:r>
      <w:r>
        <w:t>Recommendation</w:t>
      </w:r>
      <w:r w:rsidR="009C0359" w:rsidRPr="00336E1B">
        <w:t>s</w:t>
      </w:r>
      <w:r>
        <w:t xml:space="preserve"> </w:t>
      </w:r>
      <w:r w:rsidR="009C0359">
        <w:t xml:space="preserve">were </w:t>
      </w:r>
      <w:r>
        <w:t xml:space="preserve">submitted for simultaneous adoption and approval by correspondence (PSAA), following </w:t>
      </w:r>
      <w:r w:rsidR="00336E1B">
        <w:t>the procedure of Resolution ITU-R 1-</w:t>
      </w:r>
      <w:r w:rsidR="00844C31">
        <w:t xml:space="preserve">6 </w:t>
      </w:r>
      <w:r w:rsidR="00336E1B">
        <w:t>(§ 10.3).</w:t>
      </w:r>
    </w:p>
    <w:p w:rsidR="00DF4981" w:rsidRDefault="00606D42" w:rsidP="007B5BB7">
      <w:r>
        <w:t>The conditions governing this procedure were met on</w:t>
      </w:r>
      <w:r w:rsidR="007B5BB7">
        <w:t xml:space="preserve"> </w:t>
      </w:r>
      <w:r w:rsidR="007B5BB7" w:rsidRPr="00336E1B">
        <w:rPr>
          <w:u w:val="single"/>
        </w:rPr>
        <w:t>19 December 2012</w:t>
      </w:r>
      <w:r w:rsidR="00650A05">
        <w:t>.</w:t>
      </w:r>
    </w:p>
    <w:p w:rsidR="00DF4981" w:rsidRDefault="00606D42" w:rsidP="007B5BB7">
      <w:pPr>
        <w:tabs>
          <w:tab w:val="left" w:pos="7938"/>
        </w:tabs>
        <w:spacing w:before="136"/>
      </w:pPr>
      <w:r>
        <w:t>The approved Recommendation</w:t>
      </w:r>
      <w:r w:rsidR="009C0359" w:rsidRPr="00336E1B">
        <w:t>s</w:t>
      </w:r>
      <w:r>
        <w:t xml:space="preserve"> will be published by the ITU and </w:t>
      </w:r>
      <w:r w:rsidR="007B5BB7">
        <w:t xml:space="preserve">the </w:t>
      </w:r>
      <w:r>
        <w:t xml:space="preserve">Annex to this Circular provides </w:t>
      </w:r>
      <w:r w:rsidR="009C0359">
        <w:t xml:space="preserve">their </w:t>
      </w:r>
      <w:r>
        <w:t>title</w:t>
      </w:r>
      <w:r w:rsidR="009C0359">
        <w:t>s</w:t>
      </w:r>
      <w:r>
        <w:t>, with the assigned number</w:t>
      </w:r>
      <w:r w:rsidR="00234AD0">
        <w:t>s</w:t>
      </w:r>
      <w:r w:rsidR="00336E1B">
        <w:t>.</w:t>
      </w:r>
    </w:p>
    <w:p w:rsidR="00606D42" w:rsidRPr="00336E1B" w:rsidRDefault="00606D42" w:rsidP="00552F57">
      <w:pPr>
        <w:pStyle w:val="BodyTextIndent2"/>
        <w:spacing w:before="1418"/>
        <w:rPr>
          <w:lang w:val="fr-CH"/>
        </w:rPr>
      </w:pPr>
      <w:r w:rsidRPr="00336E1B">
        <w:rPr>
          <w:lang w:val="fr-CH"/>
        </w:rPr>
        <w:t xml:space="preserve">François </w:t>
      </w:r>
      <w:proofErr w:type="spellStart"/>
      <w:r w:rsidRPr="00336E1B">
        <w:rPr>
          <w:lang w:val="fr-CH"/>
        </w:rPr>
        <w:t>Rancy</w:t>
      </w:r>
      <w:proofErr w:type="spellEnd"/>
      <w:r w:rsidRPr="00336E1B">
        <w:rPr>
          <w:lang w:val="fr-CH"/>
        </w:rPr>
        <w:br/>
      </w:r>
      <w:proofErr w:type="spellStart"/>
      <w:r w:rsidRPr="00336E1B">
        <w:rPr>
          <w:lang w:val="fr-CH"/>
        </w:rPr>
        <w:t>Director</w:t>
      </w:r>
      <w:proofErr w:type="spellEnd"/>
      <w:r w:rsidRPr="00336E1B">
        <w:rPr>
          <w:lang w:val="fr-CH"/>
        </w:rPr>
        <w:t>, Radiocommunication Bureau</w:t>
      </w:r>
    </w:p>
    <w:p w:rsidR="00606D42" w:rsidRPr="00336E1B" w:rsidRDefault="00606D42" w:rsidP="007B5BB7">
      <w:pPr>
        <w:tabs>
          <w:tab w:val="left" w:pos="4820"/>
        </w:tabs>
        <w:spacing w:before="0"/>
        <w:rPr>
          <w:u w:val="single"/>
          <w:lang w:val="fr-CH"/>
        </w:rPr>
      </w:pPr>
      <w:proofErr w:type="spellStart"/>
      <w:r w:rsidRPr="00336E1B">
        <w:rPr>
          <w:b/>
          <w:lang w:val="fr-CH"/>
        </w:rPr>
        <w:t>Annex</w:t>
      </w:r>
      <w:proofErr w:type="spellEnd"/>
      <w:r w:rsidRPr="00336E1B">
        <w:rPr>
          <w:b/>
          <w:lang w:val="fr-CH"/>
        </w:rPr>
        <w:t>:</w:t>
      </w:r>
      <w:r w:rsidR="00336E1B">
        <w:rPr>
          <w:lang w:val="fr-CH"/>
        </w:rPr>
        <w:t xml:space="preserve">  </w:t>
      </w:r>
      <w:r w:rsidR="007B5BB7" w:rsidRPr="00336E1B">
        <w:rPr>
          <w:lang w:val="fr-CH"/>
        </w:rPr>
        <w:t>1</w:t>
      </w:r>
    </w:p>
    <w:p w:rsidR="00606D42" w:rsidRPr="00F0013E" w:rsidRDefault="00606D42" w:rsidP="00336E1B">
      <w:pPr>
        <w:tabs>
          <w:tab w:val="left" w:pos="6237"/>
        </w:tabs>
        <w:spacing w:before="360"/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606D42" w:rsidRPr="00F0013E" w:rsidRDefault="00606D42" w:rsidP="007B5BB7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Administrations of Member States</w:t>
      </w:r>
      <w:r w:rsidR="009C030C">
        <w:rPr>
          <w:sz w:val="18"/>
          <w:szCs w:val="18"/>
        </w:rPr>
        <w:t xml:space="preserve"> of the ITU</w:t>
      </w:r>
      <w:r w:rsidRPr="00F0013E">
        <w:rPr>
          <w:sz w:val="18"/>
          <w:szCs w:val="18"/>
        </w:rPr>
        <w:t xml:space="preserve"> and Radiocommunication Sector Members</w:t>
      </w:r>
      <w:r w:rsidR="00E237E2">
        <w:rPr>
          <w:sz w:val="18"/>
          <w:szCs w:val="18"/>
        </w:rPr>
        <w:t xml:space="preserve"> participating in the work of </w:t>
      </w:r>
      <w:proofErr w:type="spellStart"/>
      <w:r w:rsidR="00E237E2">
        <w:rPr>
          <w:sz w:val="18"/>
          <w:szCs w:val="18"/>
        </w:rPr>
        <w:t>Radiocommunication</w:t>
      </w:r>
      <w:proofErr w:type="spellEnd"/>
      <w:r w:rsidR="00E237E2">
        <w:rPr>
          <w:sz w:val="18"/>
          <w:szCs w:val="18"/>
        </w:rPr>
        <w:t xml:space="preserve"> Study Group </w:t>
      </w:r>
      <w:r w:rsidR="007B5BB7">
        <w:rPr>
          <w:sz w:val="18"/>
          <w:szCs w:val="18"/>
        </w:rPr>
        <w:t>4</w:t>
      </w:r>
    </w:p>
    <w:p w:rsidR="00606D42" w:rsidRDefault="00606D42" w:rsidP="007B5BB7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F0013E">
        <w:rPr>
          <w:sz w:val="18"/>
          <w:szCs w:val="18"/>
          <w:lang w:val="en-US"/>
        </w:rPr>
        <w:t>Radiocommunication</w:t>
      </w:r>
      <w:proofErr w:type="spellEnd"/>
      <w:r w:rsidRPr="00F0013E">
        <w:rPr>
          <w:sz w:val="18"/>
          <w:szCs w:val="18"/>
          <w:lang w:val="en-US"/>
        </w:rPr>
        <w:t xml:space="preserve"> Study Group </w:t>
      </w:r>
      <w:r w:rsidR="007B5BB7">
        <w:rPr>
          <w:sz w:val="18"/>
          <w:szCs w:val="18"/>
          <w:lang w:val="en-US"/>
        </w:rPr>
        <w:t>4</w:t>
      </w:r>
    </w:p>
    <w:p w:rsidR="00E237E2" w:rsidRPr="00F0013E" w:rsidRDefault="00E237E2" w:rsidP="00E237E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>ITU-R</w:t>
      </w:r>
      <w:r>
        <w:rPr>
          <w:sz w:val="18"/>
          <w:szCs w:val="18"/>
          <w:lang w:val="en-US"/>
        </w:rPr>
        <w:t xml:space="preserve"> Academia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606D42" w:rsidRPr="00F0013E" w:rsidRDefault="00606D42" w:rsidP="00606D42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184508" w:rsidRDefault="00606D42" w:rsidP="00184508">
      <w:pPr>
        <w:pStyle w:val="AnnexNotitle"/>
        <w:spacing w:before="360"/>
      </w:pPr>
      <w:r>
        <w:br w:type="page"/>
      </w:r>
      <w:r w:rsidR="00336E1B">
        <w:lastRenderedPageBreak/>
        <w:t>Annex</w:t>
      </w:r>
    </w:p>
    <w:p w:rsidR="00606D42" w:rsidRDefault="00606D42" w:rsidP="007B5BB7">
      <w:pPr>
        <w:pStyle w:val="AnnexNotitle"/>
        <w:spacing w:before="240"/>
      </w:pPr>
      <w:r>
        <w:t>Title</w:t>
      </w:r>
      <w:r w:rsidR="00E66163" w:rsidRPr="00336E1B">
        <w:t>s</w:t>
      </w:r>
      <w:r>
        <w:t xml:space="preserve"> of the approved Recommendation</w:t>
      </w:r>
      <w:r w:rsidR="009C0359" w:rsidRPr="00336E1B">
        <w:t>s</w:t>
      </w:r>
    </w:p>
    <w:p w:rsidR="00184508" w:rsidRDefault="00184508" w:rsidP="00184508"/>
    <w:p w:rsidR="007B5BB7" w:rsidRPr="00EA1FB0" w:rsidRDefault="00336E1B" w:rsidP="00091994">
      <w:pPr>
        <w:tabs>
          <w:tab w:val="right" w:pos="9639"/>
        </w:tabs>
        <w:spacing w:before="360"/>
      </w:pPr>
      <w:r>
        <w:rPr>
          <w:u w:val="single"/>
        </w:rPr>
        <w:t xml:space="preserve">Recommendation </w:t>
      </w:r>
      <w:r w:rsidR="007B5BB7" w:rsidRPr="00EA1FB0">
        <w:rPr>
          <w:u w:val="single"/>
        </w:rPr>
        <w:t>ITU-R</w:t>
      </w:r>
      <w:r w:rsidR="007B5BB7">
        <w:rPr>
          <w:u w:val="single"/>
        </w:rPr>
        <w:t xml:space="preserve"> M.</w:t>
      </w:r>
      <w:r w:rsidR="00091994">
        <w:rPr>
          <w:u w:val="single"/>
        </w:rPr>
        <w:t>2030</w:t>
      </w:r>
      <w:r w:rsidR="007B5BB7" w:rsidRPr="00EA1FB0">
        <w:tab/>
        <w:t>Doc. 4/11(Rev.1)</w:t>
      </w:r>
    </w:p>
    <w:p w:rsidR="007B5BB7" w:rsidRDefault="007B5BB7" w:rsidP="007B5BB7">
      <w:pPr>
        <w:pStyle w:val="Rectitle"/>
      </w:pPr>
      <w:r>
        <w:t xml:space="preserve">Evaluation method for pulsed interference from relevant radio sources other than in the </w:t>
      </w:r>
      <w:proofErr w:type="spellStart"/>
      <w:r>
        <w:t>radionavigation</w:t>
      </w:r>
      <w:proofErr w:type="spellEnd"/>
      <w:r>
        <w:t xml:space="preserve">-satellite service to the </w:t>
      </w:r>
      <w:proofErr w:type="spellStart"/>
      <w:r>
        <w:t>radionavigation</w:t>
      </w:r>
      <w:proofErr w:type="spellEnd"/>
      <w:r>
        <w:t xml:space="preserve">-satellite </w:t>
      </w:r>
      <w:r>
        <w:br/>
        <w:t>service systems and networks operating in the 1 164-1 215 MHz,</w:t>
      </w:r>
      <w:r>
        <w:br/>
        <w:t>1 215-1 300 MHz and 1 559-1 610 MHz frequency bands</w:t>
      </w:r>
    </w:p>
    <w:p w:rsidR="007B5BB7" w:rsidRDefault="007B5BB7" w:rsidP="007B5BB7"/>
    <w:p w:rsidR="007B5BB7" w:rsidRPr="00EA1FB0" w:rsidRDefault="007B5BB7" w:rsidP="00091994">
      <w:pPr>
        <w:pStyle w:val="Normalaftertitle"/>
        <w:tabs>
          <w:tab w:val="right" w:pos="9639"/>
        </w:tabs>
      </w:pPr>
      <w:r w:rsidRPr="00EA1FB0">
        <w:rPr>
          <w:u w:val="single"/>
        </w:rPr>
        <w:t>Recommendation ITU-R</w:t>
      </w:r>
      <w:r>
        <w:rPr>
          <w:u w:val="single"/>
        </w:rPr>
        <w:t xml:space="preserve"> </w:t>
      </w:r>
      <w:r w:rsidRPr="00EA1FB0">
        <w:rPr>
          <w:u w:val="single"/>
        </w:rPr>
        <w:t>S.</w:t>
      </w:r>
      <w:r w:rsidR="00091994">
        <w:rPr>
          <w:u w:val="single"/>
        </w:rPr>
        <w:t>2029</w:t>
      </w:r>
      <w:r>
        <w:tab/>
        <w:t>Doc. 4/20(Rev.1)</w:t>
      </w:r>
    </w:p>
    <w:p w:rsidR="007B5BB7" w:rsidRDefault="007B5BB7" w:rsidP="007B5BB7">
      <w:pPr>
        <w:pStyle w:val="Rectitle"/>
      </w:pPr>
      <w:r w:rsidRPr="00C561C6">
        <w:t>Statistical methodology to assess time-var</w:t>
      </w:r>
      <w:r>
        <w:t>ying interference produced by a </w:t>
      </w:r>
      <w:r w:rsidRPr="00C561C6">
        <w:t>geostationary fixed-satellite se</w:t>
      </w:r>
      <w:r>
        <w:t>rvice network of earth stations</w:t>
      </w:r>
      <w:r>
        <w:br/>
      </w:r>
      <w:r w:rsidRPr="00C561C6">
        <w:t>operating with M</w:t>
      </w:r>
      <w:r>
        <w:t>F-TDMA schemes to geostationary</w:t>
      </w:r>
      <w:r>
        <w:br/>
      </w:r>
      <w:r w:rsidRPr="00C561C6">
        <w:t>fixed-satellite service networks</w:t>
      </w:r>
    </w:p>
    <w:p w:rsidR="007B5BB7" w:rsidRDefault="007B5BB7" w:rsidP="007B5BB7"/>
    <w:p w:rsidR="007B5BB7" w:rsidRDefault="007B5BB7" w:rsidP="007B5BB7">
      <w:pPr>
        <w:pStyle w:val="Normalaftertitle"/>
        <w:tabs>
          <w:tab w:val="right" w:pos="9639"/>
        </w:tabs>
        <w:rPr>
          <w:lang w:eastAsia="ko-KR"/>
        </w:rPr>
      </w:pPr>
      <w:r w:rsidRPr="00EA1FB0">
        <w:rPr>
          <w:u w:val="single"/>
        </w:rPr>
        <w:t>Recommendation ITU-R</w:t>
      </w:r>
      <w:r>
        <w:rPr>
          <w:u w:val="single"/>
        </w:rPr>
        <w:t xml:space="preserve"> </w:t>
      </w:r>
      <w:r w:rsidRPr="00EA1FB0">
        <w:rPr>
          <w:u w:val="single"/>
          <w:lang w:eastAsia="ko-KR"/>
        </w:rPr>
        <w:t>M.</w:t>
      </w:r>
      <w:r w:rsidRPr="00EA1FB0">
        <w:rPr>
          <w:rFonts w:hint="eastAsia"/>
          <w:u w:val="single"/>
          <w:lang w:eastAsia="ko-KR"/>
        </w:rPr>
        <w:t>1850</w:t>
      </w:r>
      <w:r w:rsidR="00091994">
        <w:rPr>
          <w:u w:val="single"/>
          <w:lang w:eastAsia="ko-KR"/>
        </w:rPr>
        <w:t>-1</w:t>
      </w:r>
      <w:r>
        <w:rPr>
          <w:lang w:eastAsia="ko-KR"/>
        </w:rPr>
        <w:tab/>
        <w:t>Doc. 4/12(Rev.1)</w:t>
      </w:r>
    </w:p>
    <w:p w:rsidR="007B5BB7" w:rsidRDefault="007B5BB7" w:rsidP="007B5BB7">
      <w:pPr>
        <w:pStyle w:val="Rectitle"/>
        <w:rPr>
          <w:lang w:eastAsia="ko-KR"/>
        </w:rPr>
      </w:pPr>
      <w:r w:rsidRPr="00753B3D">
        <w:rPr>
          <w:rFonts w:hint="eastAsia"/>
          <w:lang w:eastAsia="ko-KR"/>
        </w:rPr>
        <w:t>Detailed specifications of the radio interfaces for the satellite component of International Mobile Telecommunications-2000 (IMT-2000)</w:t>
      </w:r>
    </w:p>
    <w:p w:rsidR="007B5BB7" w:rsidRDefault="007B5BB7" w:rsidP="007B5BB7"/>
    <w:p w:rsidR="007B5BB7" w:rsidRDefault="007B5BB7" w:rsidP="007B5BB7">
      <w:pPr>
        <w:pStyle w:val="Normalaftertitle"/>
        <w:tabs>
          <w:tab w:val="right" w:pos="9639"/>
        </w:tabs>
        <w:rPr>
          <w:lang w:eastAsia="ko-KR"/>
        </w:rPr>
      </w:pPr>
      <w:r w:rsidRPr="00EA1FB0">
        <w:rPr>
          <w:u w:val="single"/>
        </w:rPr>
        <w:t>Recommendation ITU-R</w:t>
      </w:r>
      <w:r>
        <w:rPr>
          <w:u w:val="single"/>
        </w:rPr>
        <w:t xml:space="preserve"> </w:t>
      </w:r>
      <w:r w:rsidRPr="00EA1FB0">
        <w:rPr>
          <w:u w:val="single"/>
          <w:lang w:eastAsia="ko-KR"/>
        </w:rPr>
        <w:t>BO.1898</w:t>
      </w:r>
      <w:r w:rsidR="00091994">
        <w:rPr>
          <w:u w:val="single"/>
          <w:lang w:eastAsia="ko-KR"/>
        </w:rPr>
        <w:t>-1</w:t>
      </w:r>
      <w:r>
        <w:rPr>
          <w:lang w:eastAsia="ko-KR"/>
        </w:rPr>
        <w:tab/>
        <w:t>Doc. 4/17(Rev.1)</w:t>
      </w:r>
    </w:p>
    <w:p w:rsidR="007B5BB7" w:rsidRDefault="007B5BB7" w:rsidP="007B5BB7">
      <w:pPr>
        <w:pStyle w:val="Rectitle"/>
      </w:pPr>
      <w:r>
        <w:t xml:space="preserve">Power flux-density value required for the protection of receiving earth stations </w:t>
      </w:r>
      <w:r>
        <w:br/>
        <w:t xml:space="preserve">in the broadcasting-satellite service in Regions 1 and 3 from emissions by </w:t>
      </w:r>
      <w:r>
        <w:br/>
        <w:t>a station in the fixed and/or mobile services in the band 21.4-22 GHz</w:t>
      </w:r>
    </w:p>
    <w:p w:rsidR="007B5BB7" w:rsidRDefault="007B5BB7" w:rsidP="007B5BB7"/>
    <w:p w:rsidR="007B5BB7" w:rsidRDefault="007B5BB7" w:rsidP="007B5BB7">
      <w:pPr>
        <w:pStyle w:val="Normalaftertitle"/>
        <w:tabs>
          <w:tab w:val="right" w:pos="9639"/>
        </w:tabs>
        <w:rPr>
          <w:lang w:eastAsia="ko-KR"/>
        </w:rPr>
      </w:pPr>
      <w:r w:rsidRPr="00EA1FB0">
        <w:rPr>
          <w:u w:val="single"/>
        </w:rPr>
        <w:t>Recommendation ITU-R</w:t>
      </w:r>
      <w:r>
        <w:rPr>
          <w:u w:val="single"/>
        </w:rPr>
        <w:t xml:space="preserve"> </w:t>
      </w:r>
      <w:r w:rsidRPr="00EA1FB0">
        <w:rPr>
          <w:u w:val="single"/>
        </w:rPr>
        <w:t>S.732</w:t>
      </w:r>
      <w:r w:rsidR="00091994">
        <w:rPr>
          <w:u w:val="single"/>
        </w:rPr>
        <w:t>-1</w:t>
      </w:r>
      <w:r>
        <w:rPr>
          <w:lang w:eastAsia="ko-KR"/>
        </w:rPr>
        <w:tab/>
        <w:t>Doc. 4/18(Rev.1)</w:t>
      </w:r>
    </w:p>
    <w:p w:rsidR="007B5BB7" w:rsidRDefault="00091994" w:rsidP="00091994">
      <w:pPr>
        <w:pStyle w:val="Reptitle"/>
      </w:pPr>
      <w:r w:rsidRPr="00336E1B">
        <w:t>Method for statistical processing of earth</w:t>
      </w:r>
      <w:r>
        <w:t xml:space="preserve"> </w:t>
      </w:r>
      <w:r w:rsidRPr="00336E1B">
        <w:t xml:space="preserve">station antenna side-lobe peaks </w:t>
      </w:r>
      <w:r>
        <w:br/>
      </w:r>
      <w:r w:rsidRPr="00336E1B">
        <w:t>to determine excess over antenna reference patterns and conditions for acceptability of any excess</w:t>
      </w:r>
    </w:p>
    <w:p w:rsidR="001E15AA" w:rsidRPr="00CB3C3E" w:rsidRDefault="00184508" w:rsidP="00336E1B">
      <w:pPr>
        <w:pStyle w:val="Headingb"/>
        <w:spacing w:before="360" w:after="120"/>
        <w:jc w:val="center"/>
        <w:rPr>
          <w:b w:val="0"/>
          <w:bCs/>
        </w:rPr>
      </w:pPr>
      <w:r w:rsidRPr="00CB3C3E">
        <w:rPr>
          <w:b w:val="0"/>
          <w:bCs/>
        </w:rPr>
        <w:t>_______________</w:t>
      </w:r>
    </w:p>
    <w:sectPr w:rsidR="001E15AA" w:rsidRPr="00CB3C3E" w:rsidSect="00F6267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B7" w:rsidRDefault="007B5BB7">
      <w:r>
        <w:separator/>
      </w:r>
    </w:p>
  </w:endnote>
  <w:endnote w:type="continuationSeparator" w:id="0">
    <w:p w:rsidR="007B5BB7" w:rsidRDefault="007B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B7" w:rsidRPr="00336E1B" w:rsidRDefault="002D7709" w:rsidP="00336E1B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Y:\APP\BR\CIRCS_DMS\CACE\500\599\599e.docx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B5BB7" w:rsidTr="001164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B5BB7" w:rsidRDefault="007B5BB7" w:rsidP="001164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B5BB7" w:rsidRDefault="007B5BB7" w:rsidP="001164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B5BB7" w:rsidRDefault="007B5BB7" w:rsidP="001164B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B5BB7" w:rsidRDefault="007B5BB7" w:rsidP="001164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B5BB7" w:rsidTr="001164B4">
      <w:trPr>
        <w:cantSplit/>
      </w:trPr>
      <w:tc>
        <w:tcPr>
          <w:tcW w:w="1062" w:type="pct"/>
        </w:tcPr>
        <w:p w:rsidR="007B5BB7" w:rsidRDefault="007B5BB7" w:rsidP="001164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B5BB7" w:rsidRDefault="007B5BB7" w:rsidP="001164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B5BB7" w:rsidRDefault="007B5BB7" w:rsidP="001164B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B5BB7" w:rsidRDefault="007B5BB7" w:rsidP="001164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B5BB7" w:rsidTr="001164B4">
      <w:trPr>
        <w:cantSplit/>
      </w:trPr>
      <w:tc>
        <w:tcPr>
          <w:tcW w:w="1062" w:type="pct"/>
        </w:tcPr>
        <w:p w:rsidR="007B5BB7" w:rsidRDefault="007B5BB7" w:rsidP="001164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7B5BB7" w:rsidRDefault="007B5BB7" w:rsidP="001164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B5BB7" w:rsidRDefault="007B5BB7" w:rsidP="001164B4">
          <w:pPr>
            <w:pStyle w:val="itu"/>
          </w:pPr>
        </w:p>
      </w:tc>
      <w:tc>
        <w:tcPr>
          <w:tcW w:w="1131" w:type="pct"/>
        </w:tcPr>
        <w:p w:rsidR="007B5BB7" w:rsidRDefault="007B5BB7" w:rsidP="001164B4">
          <w:pPr>
            <w:pStyle w:val="itu"/>
          </w:pPr>
        </w:p>
      </w:tc>
    </w:tr>
  </w:tbl>
  <w:p w:rsidR="007B5BB7" w:rsidRPr="009E1957" w:rsidRDefault="007B5BB7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B7" w:rsidRDefault="007B5BB7">
      <w:r>
        <w:t>____________________</w:t>
      </w:r>
    </w:p>
  </w:footnote>
  <w:footnote w:type="continuationSeparator" w:id="0">
    <w:p w:rsidR="007B5BB7" w:rsidRDefault="007B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B7" w:rsidRDefault="007B5BB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770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B5BB7" w:rsidRPr="001E15AA" w:rsidRDefault="007B5BB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40AF"/>
    <w:rsid w:val="00016557"/>
    <w:rsid w:val="00091994"/>
    <w:rsid w:val="00091A5D"/>
    <w:rsid w:val="000A283A"/>
    <w:rsid w:val="000D1D2A"/>
    <w:rsid w:val="000E15C1"/>
    <w:rsid w:val="000E64DA"/>
    <w:rsid w:val="000F527D"/>
    <w:rsid w:val="001164B4"/>
    <w:rsid w:val="0015050B"/>
    <w:rsid w:val="00184508"/>
    <w:rsid w:val="001D0EB5"/>
    <w:rsid w:val="001E15AA"/>
    <w:rsid w:val="00210B45"/>
    <w:rsid w:val="00227F65"/>
    <w:rsid w:val="00234AD0"/>
    <w:rsid w:val="002628C8"/>
    <w:rsid w:val="002D1248"/>
    <w:rsid w:val="002D7709"/>
    <w:rsid w:val="00316D3B"/>
    <w:rsid w:val="00325E6E"/>
    <w:rsid w:val="00332FA4"/>
    <w:rsid w:val="00336E1B"/>
    <w:rsid w:val="00387556"/>
    <w:rsid w:val="00390188"/>
    <w:rsid w:val="00390EAF"/>
    <w:rsid w:val="003B0951"/>
    <w:rsid w:val="003D3993"/>
    <w:rsid w:val="00415A0E"/>
    <w:rsid w:val="0044634B"/>
    <w:rsid w:val="00475D48"/>
    <w:rsid w:val="00485699"/>
    <w:rsid w:val="004962B0"/>
    <w:rsid w:val="004A5AB1"/>
    <w:rsid w:val="004C1881"/>
    <w:rsid w:val="004F26AE"/>
    <w:rsid w:val="0050552C"/>
    <w:rsid w:val="00530602"/>
    <w:rsid w:val="00552F57"/>
    <w:rsid w:val="00595800"/>
    <w:rsid w:val="005F130D"/>
    <w:rsid w:val="005F7F4C"/>
    <w:rsid w:val="00606D42"/>
    <w:rsid w:val="006136BC"/>
    <w:rsid w:val="00626E73"/>
    <w:rsid w:val="00650A05"/>
    <w:rsid w:val="00684E2F"/>
    <w:rsid w:val="006B3F95"/>
    <w:rsid w:val="0071106C"/>
    <w:rsid w:val="00746900"/>
    <w:rsid w:val="00784E53"/>
    <w:rsid w:val="007B5BB7"/>
    <w:rsid w:val="00804AC5"/>
    <w:rsid w:val="008069C8"/>
    <w:rsid w:val="00811467"/>
    <w:rsid w:val="00834B81"/>
    <w:rsid w:val="00844C31"/>
    <w:rsid w:val="00881D43"/>
    <w:rsid w:val="008C260F"/>
    <w:rsid w:val="008D4874"/>
    <w:rsid w:val="00927898"/>
    <w:rsid w:val="0093776F"/>
    <w:rsid w:val="009676DC"/>
    <w:rsid w:val="009746CA"/>
    <w:rsid w:val="009846D5"/>
    <w:rsid w:val="009C030C"/>
    <w:rsid w:val="009C0359"/>
    <w:rsid w:val="009D067D"/>
    <w:rsid w:val="009E14F3"/>
    <w:rsid w:val="009E1957"/>
    <w:rsid w:val="00A06093"/>
    <w:rsid w:val="00A90D9F"/>
    <w:rsid w:val="00AA1CA2"/>
    <w:rsid w:val="00AB07C5"/>
    <w:rsid w:val="00AB1815"/>
    <w:rsid w:val="00AC5B7E"/>
    <w:rsid w:val="00B57344"/>
    <w:rsid w:val="00B87E04"/>
    <w:rsid w:val="00BF7316"/>
    <w:rsid w:val="00C96B90"/>
    <w:rsid w:val="00CB3C3E"/>
    <w:rsid w:val="00D35752"/>
    <w:rsid w:val="00D463D0"/>
    <w:rsid w:val="00D61395"/>
    <w:rsid w:val="00D744B4"/>
    <w:rsid w:val="00DD7C4A"/>
    <w:rsid w:val="00DF3FC7"/>
    <w:rsid w:val="00DF4981"/>
    <w:rsid w:val="00E237E2"/>
    <w:rsid w:val="00E37825"/>
    <w:rsid w:val="00E66163"/>
    <w:rsid w:val="00E82BFB"/>
    <w:rsid w:val="00EA11F3"/>
    <w:rsid w:val="00EC710F"/>
    <w:rsid w:val="00EF7E37"/>
    <w:rsid w:val="00F0557C"/>
    <w:rsid w:val="00F62679"/>
    <w:rsid w:val="00F71F18"/>
    <w:rsid w:val="00F92E07"/>
    <w:rsid w:val="00FB5838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9</TotalTime>
  <Pages>2</Pages>
  <Words>414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3146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5</cp:revision>
  <cp:lastPrinted>2013-01-29T15:02:00Z</cp:lastPrinted>
  <dcterms:created xsi:type="dcterms:W3CDTF">2012-12-05T09:50:00Z</dcterms:created>
  <dcterms:modified xsi:type="dcterms:W3CDTF">2013-01-29T15:03:00Z</dcterms:modified>
</cp:coreProperties>
</file>