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0266B0">
        <w:tc>
          <w:tcPr>
            <w:tcW w:w="9039" w:type="dxa"/>
            <w:vAlign w:val="center"/>
          </w:tcPr>
          <w:p w:rsidR="00F96264" w:rsidRPr="000266B0" w:rsidRDefault="00BD5208" w:rsidP="00F96264">
            <w:pPr>
              <w:spacing w:before="0"/>
            </w:pP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0266B0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0266B0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0266B0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0266B0" w:rsidRDefault="00BD0273" w:rsidP="00F96264">
            <w:pPr>
              <w:spacing w:before="0"/>
              <w:jc w:val="right"/>
            </w:pPr>
            <w:r w:rsidRPr="000266B0">
              <w:rPr>
                <w:noProof/>
                <w:lang w:val="en-US" w:eastAsia="zh-CN"/>
              </w:rPr>
              <w:drawing>
                <wp:inline distT="0" distB="0" distL="0" distR="0" wp14:anchorId="73A9A506" wp14:editId="4E2CD2B3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0266B0">
        <w:trPr>
          <w:cantSplit/>
        </w:trPr>
        <w:tc>
          <w:tcPr>
            <w:tcW w:w="5075" w:type="dxa"/>
          </w:tcPr>
          <w:p w:rsidR="00F96264" w:rsidRPr="000266B0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0266B0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266B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0266B0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266B0" w:rsidRDefault="00F96264" w:rsidP="00F96264">
      <w:pPr>
        <w:tabs>
          <w:tab w:val="left" w:pos="7513"/>
        </w:tabs>
      </w:pPr>
    </w:p>
    <w:p w:rsidR="00F96264" w:rsidRPr="000266B0" w:rsidRDefault="00F96264" w:rsidP="005667AC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80"/>
        <w:gridCol w:w="7140"/>
      </w:tblGrid>
      <w:tr w:rsidR="00F96264" w:rsidRPr="000266B0" w:rsidTr="00A353D3">
        <w:trPr>
          <w:cantSplit/>
        </w:trPr>
        <w:tc>
          <w:tcPr>
            <w:tcW w:w="2880" w:type="dxa"/>
          </w:tcPr>
          <w:p w:rsidR="00A353D3" w:rsidRPr="000266B0" w:rsidRDefault="00A353D3" w:rsidP="000266B0">
            <w:pPr>
              <w:rPr>
                <w:b/>
                <w:bCs/>
              </w:rPr>
            </w:pPr>
            <w:bookmarkStart w:id="0" w:name="dletter"/>
            <w:bookmarkEnd w:id="0"/>
            <w:r w:rsidRPr="000266B0">
              <w:rPr>
                <w:b/>
                <w:bCs/>
              </w:rPr>
              <w:t>Circular Administrativa</w:t>
            </w:r>
          </w:p>
          <w:p w:rsidR="00F96264" w:rsidRPr="000266B0" w:rsidRDefault="00A353D3" w:rsidP="00E0765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266B0">
              <w:rPr>
                <w:b/>
                <w:bCs/>
              </w:rPr>
              <w:t>CACE/</w:t>
            </w:r>
            <w:r w:rsidR="00E07650">
              <w:rPr>
                <w:b/>
                <w:bCs/>
              </w:rPr>
              <w:t>596</w:t>
            </w:r>
          </w:p>
        </w:tc>
        <w:tc>
          <w:tcPr>
            <w:tcW w:w="7140" w:type="dxa"/>
          </w:tcPr>
          <w:p w:rsidR="00F96264" w:rsidRPr="000266B0" w:rsidRDefault="00E07650" w:rsidP="00E0765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11 de</w:t>
            </w:r>
            <w:r w:rsidR="00D80BD3">
              <w:t xml:space="preserve"> </w:t>
            </w:r>
            <w:r>
              <w:t>diciembre</w:t>
            </w:r>
            <w:r w:rsidR="009937C1" w:rsidRPr="000266B0">
              <w:t xml:space="preserve"> de 2012</w:t>
            </w:r>
          </w:p>
        </w:tc>
      </w:tr>
    </w:tbl>
    <w:p w:rsidR="00F96264" w:rsidRPr="000266B0" w:rsidRDefault="00A353D3" w:rsidP="00D71C12">
      <w:pPr>
        <w:tabs>
          <w:tab w:val="left" w:pos="7513"/>
        </w:tabs>
        <w:spacing w:before="480"/>
        <w:jc w:val="center"/>
        <w:rPr>
          <w:b/>
          <w:bCs/>
        </w:rPr>
      </w:pPr>
      <w:r w:rsidRPr="000266B0">
        <w:rPr>
          <w:b/>
          <w:bCs/>
        </w:rPr>
        <w:t>A las Administraciones de los Estados Miembros de la UIT, a los Miembros del Sec</w:t>
      </w:r>
      <w:r w:rsidR="009937C1" w:rsidRPr="000266B0">
        <w:rPr>
          <w:b/>
          <w:bCs/>
        </w:rPr>
        <w:t>t</w:t>
      </w:r>
      <w:r w:rsidRPr="000266B0">
        <w:rPr>
          <w:b/>
          <w:bCs/>
        </w:rPr>
        <w:t xml:space="preserve">or de </w:t>
      </w:r>
      <w:r w:rsidR="009937C1" w:rsidRPr="000266B0">
        <w:rPr>
          <w:b/>
          <w:bCs/>
        </w:rPr>
        <w:t>R</w:t>
      </w:r>
      <w:r w:rsidRPr="000266B0">
        <w:rPr>
          <w:b/>
          <w:bCs/>
        </w:rPr>
        <w:t xml:space="preserve">adiocomunicaciones, a los Asociados del UIT-R que participan en </w:t>
      </w:r>
      <w:r w:rsidR="009937C1" w:rsidRPr="000266B0">
        <w:rPr>
          <w:b/>
          <w:bCs/>
        </w:rPr>
        <w:t>lo</w:t>
      </w:r>
      <w:r w:rsidRPr="000266B0">
        <w:rPr>
          <w:b/>
          <w:bCs/>
        </w:rPr>
        <w:t xml:space="preserve">s trabajos de la </w:t>
      </w:r>
      <w:r w:rsidR="009937C1" w:rsidRPr="000266B0">
        <w:rPr>
          <w:b/>
          <w:bCs/>
        </w:rPr>
        <w:t>Comisión</w:t>
      </w:r>
      <w:r w:rsidRPr="000266B0">
        <w:rPr>
          <w:b/>
          <w:bCs/>
        </w:rPr>
        <w:t xml:space="preserve"> de Estudio </w:t>
      </w:r>
      <w:r w:rsidR="00E07650">
        <w:rPr>
          <w:b/>
          <w:bCs/>
        </w:rPr>
        <w:t>5</w:t>
      </w:r>
      <w:r w:rsidRPr="000266B0">
        <w:rPr>
          <w:b/>
          <w:bCs/>
        </w:rPr>
        <w:t xml:space="preserve"> de Radiocomunicaciones y a los Sectores </w:t>
      </w:r>
      <w:r w:rsidR="00D71C12" w:rsidRPr="000266B0">
        <w:rPr>
          <w:b/>
          <w:bCs/>
        </w:rPr>
        <w:t xml:space="preserve">académicos </w:t>
      </w:r>
      <w:r w:rsidRPr="000266B0">
        <w:rPr>
          <w:b/>
          <w:bCs/>
        </w:rPr>
        <w:t>del UIT</w:t>
      </w:r>
      <w:r w:rsidR="00D71C12">
        <w:rPr>
          <w:b/>
          <w:bCs/>
        </w:rPr>
        <w:t>-R</w:t>
      </w:r>
    </w:p>
    <w:p w:rsidR="005A7EC3" w:rsidRPr="000266B0" w:rsidRDefault="009937C1" w:rsidP="00E0765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</w:rPr>
      </w:pPr>
      <w:r w:rsidRPr="000266B0">
        <w:rPr>
          <w:b/>
        </w:rPr>
        <w:t>Asunto</w:t>
      </w:r>
      <w:r w:rsidR="005A7EC3" w:rsidRPr="000266B0">
        <w:rPr>
          <w:b/>
        </w:rPr>
        <w:t xml:space="preserve">: </w:t>
      </w:r>
      <w:r w:rsidR="00F31FC0">
        <w:rPr>
          <w:b/>
        </w:rPr>
        <w:tab/>
      </w:r>
      <w:r w:rsidR="005A7EC3" w:rsidRPr="000266B0">
        <w:rPr>
          <w:b/>
        </w:rPr>
        <w:t>Comisi</w:t>
      </w:r>
      <w:r w:rsidRPr="000266B0">
        <w:rPr>
          <w:b/>
        </w:rPr>
        <w:t>ó</w:t>
      </w:r>
      <w:r w:rsidR="005A7EC3" w:rsidRPr="000266B0">
        <w:rPr>
          <w:b/>
        </w:rPr>
        <w:t xml:space="preserve">n de </w:t>
      </w:r>
      <w:r w:rsidRPr="000266B0">
        <w:rPr>
          <w:b/>
        </w:rPr>
        <w:t>Estudio</w:t>
      </w:r>
      <w:r w:rsidR="005A7EC3" w:rsidRPr="000266B0">
        <w:rPr>
          <w:b/>
        </w:rPr>
        <w:t xml:space="preserve"> </w:t>
      </w:r>
      <w:r w:rsidR="00E07650">
        <w:rPr>
          <w:b/>
        </w:rPr>
        <w:t>5</w:t>
      </w:r>
      <w:r w:rsidR="005A7EC3" w:rsidRPr="000266B0">
        <w:rPr>
          <w:b/>
        </w:rPr>
        <w:t xml:space="preserve"> de Radiocomunicaciones</w:t>
      </w:r>
      <w:r w:rsidR="00E07650">
        <w:rPr>
          <w:b/>
        </w:rPr>
        <w:t xml:space="preserve"> (Servicios terrenales)</w:t>
      </w:r>
    </w:p>
    <w:p w:rsidR="005A7EC3" w:rsidRDefault="00F31FC0" w:rsidP="00E07650">
      <w:pPr>
        <w:tabs>
          <w:tab w:val="clear" w:pos="794"/>
          <w:tab w:val="clear" w:pos="1588"/>
          <w:tab w:val="left" w:pos="1418"/>
        </w:tabs>
        <w:spacing w:before="240"/>
        <w:ind w:left="1985" w:hanging="198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31FC0">
        <w:rPr>
          <w:b/>
          <w:bCs/>
        </w:rPr>
        <w:t>–</w:t>
      </w:r>
      <w:r>
        <w:rPr>
          <w:b/>
          <w:bCs/>
        </w:rPr>
        <w:tab/>
      </w:r>
      <w:r w:rsidR="005A7EC3" w:rsidRPr="000266B0">
        <w:rPr>
          <w:b/>
          <w:bCs/>
        </w:rPr>
        <w:t>Propuesta de a</w:t>
      </w:r>
      <w:r w:rsidR="002605C2">
        <w:rPr>
          <w:b/>
          <w:bCs/>
        </w:rPr>
        <w:t>dopc</w:t>
      </w:r>
      <w:r w:rsidR="005A7EC3" w:rsidRPr="000266B0">
        <w:rPr>
          <w:b/>
          <w:bCs/>
        </w:rPr>
        <w:t xml:space="preserve">ión de </w:t>
      </w:r>
      <w:r w:rsidR="00E07650">
        <w:rPr>
          <w:b/>
          <w:bCs/>
        </w:rPr>
        <w:t>1</w:t>
      </w:r>
      <w:r w:rsidR="005A7EC3" w:rsidRPr="000266B0">
        <w:rPr>
          <w:b/>
          <w:bCs/>
        </w:rPr>
        <w:t xml:space="preserve"> proyecto</w:t>
      </w:r>
      <w:r w:rsidR="00E07650">
        <w:rPr>
          <w:b/>
          <w:bCs/>
        </w:rPr>
        <w:t xml:space="preserve"> de nueva</w:t>
      </w:r>
      <w:r w:rsidR="005A7EC3" w:rsidRPr="000266B0">
        <w:rPr>
          <w:b/>
          <w:bCs/>
        </w:rPr>
        <w:t xml:space="preserve"> Recomendaci</w:t>
      </w:r>
      <w:r w:rsidR="00E07650">
        <w:rPr>
          <w:b/>
          <w:bCs/>
        </w:rPr>
        <w:t>ón</w:t>
      </w:r>
      <w:r w:rsidR="005A7EC3" w:rsidRPr="000266B0">
        <w:rPr>
          <w:b/>
          <w:bCs/>
        </w:rPr>
        <w:t xml:space="preserve"> UIT-R y </w:t>
      </w:r>
      <w:r w:rsidR="00E07650">
        <w:rPr>
          <w:b/>
          <w:bCs/>
        </w:rPr>
        <w:t>13 </w:t>
      </w:r>
      <w:r w:rsidR="005A7EC3" w:rsidRPr="000266B0">
        <w:rPr>
          <w:b/>
        </w:rPr>
        <w:t>proyectos de Recomendaciones UIT-R revisadas</w:t>
      </w:r>
      <w:r w:rsidR="00C15D34">
        <w:rPr>
          <w:b/>
        </w:rPr>
        <w:t xml:space="preserve"> y su aprobación simultánea por correspondencia de conformidad con el § 10.3 de la Resolución UIT</w:t>
      </w:r>
      <w:r w:rsidR="00C15D34">
        <w:rPr>
          <w:b/>
        </w:rPr>
        <w:noBreakHyphen/>
        <w:t>R 1</w:t>
      </w:r>
      <w:r w:rsidR="00C15D34">
        <w:rPr>
          <w:b/>
        </w:rPr>
        <w:noBreakHyphen/>
        <w:t>6 (Procedimiento para la adopción y aprobación simultánea por correspondencia)</w:t>
      </w:r>
    </w:p>
    <w:p w:rsidR="005667AC" w:rsidRPr="000266B0" w:rsidRDefault="005667AC" w:rsidP="002B7456">
      <w:pPr>
        <w:tabs>
          <w:tab w:val="clear" w:pos="794"/>
          <w:tab w:val="clear" w:pos="1588"/>
        </w:tabs>
        <w:ind w:left="1985" w:hanging="1985"/>
        <w:rPr>
          <w:b/>
        </w:rPr>
      </w:pPr>
      <w:r>
        <w:rPr>
          <w:b/>
        </w:rPr>
        <w:tab/>
      </w:r>
      <w:r w:rsidRPr="00F31FC0">
        <w:rPr>
          <w:b/>
          <w:bCs/>
        </w:rPr>
        <w:t>–</w:t>
      </w:r>
      <w:r>
        <w:rPr>
          <w:b/>
          <w:bCs/>
        </w:rPr>
        <w:tab/>
        <w:t>Propuesta de supresión de 1 Cuestión UIT-R</w:t>
      </w:r>
    </w:p>
    <w:p w:rsidR="00A353D3" w:rsidRDefault="00A353D3" w:rsidP="002B7456">
      <w:pPr>
        <w:spacing w:before="600"/>
      </w:pPr>
      <w:r w:rsidRPr="000266B0">
        <w:t xml:space="preserve">En la </w:t>
      </w:r>
      <w:r w:rsidR="00953C5B" w:rsidRPr="000266B0">
        <w:t>reunión</w:t>
      </w:r>
      <w:r w:rsidRPr="000266B0">
        <w:t xml:space="preserve"> de la </w:t>
      </w:r>
      <w:r w:rsidR="00953C5B" w:rsidRPr="000266B0">
        <w:t>Comisión</w:t>
      </w:r>
      <w:r w:rsidRPr="000266B0">
        <w:t xml:space="preserve"> de </w:t>
      </w:r>
      <w:r w:rsidR="00953C5B" w:rsidRPr="000266B0">
        <w:t>E</w:t>
      </w:r>
      <w:r w:rsidRPr="000266B0">
        <w:t xml:space="preserve">studio </w:t>
      </w:r>
      <w:r w:rsidR="00E07650">
        <w:t>5</w:t>
      </w:r>
      <w:r w:rsidRPr="000266B0">
        <w:t xml:space="preserve"> de R</w:t>
      </w:r>
      <w:r w:rsidR="00C15D34">
        <w:t>adiocomunicaciones</w:t>
      </w:r>
      <w:r w:rsidRPr="000266B0">
        <w:t xml:space="preserve"> celebrada </w:t>
      </w:r>
      <w:r w:rsidR="00E07650">
        <w:t>el 19</w:t>
      </w:r>
      <w:r w:rsidRPr="000266B0">
        <w:t xml:space="preserve"> de </w:t>
      </w:r>
      <w:r w:rsidR="00E07650">
        <w:t>noviembre</w:t>
      </w:r>
      <w:r w:rsidRPr="000266B0">
        <w:t xml:space="preserve"> de 2012, la </w:t>
      </w:r>
      <w:r w:rsidR="00146B1C" w:rsidRPr="000266B0">
        <w:t>C</w:t>
      </w:r>
      <w:r w:rsidR="00953C5B" w:rsidRPr="000266B0">
        <w:t>omisión</w:t>
      </w:r>
      <w:r w:rsidRPr="000266B0">
        <w:t xml:space="preserve"> de Estudio </w:t>
      </w:r>
      <w:r w:rsidR="00C15D34">
        <w:t>decidió solicitar la adopción</w:t>
      </w:r>
      <w:r w:rsidRPr="000266B0">
        <w:t xml:space="preserve"> de </w:t>
      </w:r>
      <w:r w:rsidR="00E07650">
        <w:t>1</w:t>
      </w:r>
      <w:r w:rsidRPr="000266B0">
        <w:t xml:space="preserve"> proyecto de nueva</w:t>
      </w:r>
      <w:r w:rsidR="00E07650">
        <w:t xml:space="preserve"> Recomendación</w:t>
      </w:r>
      <w:r w:rsidRPr="000266B0">
        <w:t xml:space="preserve"> </w:t>
      </w:r>
      <w:r w:rsidR="00E07650">
        <w:t xml:space="preserve">UIT-R </w:t>
      </w:r>
      <w:r w:rsidRPr="000266B0">
        <w:t xml:space="preserve">y de </w:t>
      </w:r>
      <w:r w:rsidR="00E07650">
        <w:t>13</w:t>
      </w:r>
      <w:r w:rsidRPr="000266B0">
        <w:t xml:space="preserve"> proyectos de Recomendaciones</w:t>
      </w:r>
      <w:r w:rsidR="00E07650">
        <w:t xml:space="preserve"> UIT-R</w:t>
      </w:r>
      <w:r w:rsidRPr="000266B0">
        <w:t xml:space="preserve"> revisadas</w:t>
      </w:r>
      <w:r w:rsidR="00C15D34">
        <w:t xml:space="preserve"> por correspondencia (§ 10.2.3 de la Resolución UIT</w:t>
      </w:r>
      <w:r w:rsidR="00C15D34">
        <w:noBreakHyphen/>
        <w:t>R 1</w:t>
      </w:r>
      <w:r w:rsidR="00C15D34">
        <w:noBreakHyphen/>
        <w:t>6) y además decidió aplicar el procedimiento de adopción y aprobación simultáneas por correspondencia (PAAS) (§ 10.3 de la Resolución UIT</w:t>
      </w:r>
      <w:r w:rsidR="00C15D34">
        <w:noBreakHyphen/>
        <w:t>R 1</w:t>
      </w:r>
      <w:r w:rsidR="00C15D34">
        <w:noBreakHyphen/>
        <w:t>6)</w:t>
      </w:r>
      <w:r w:rsidRPr="000266B0">
        <w:t xml:space="preserve">. Los </w:t>
      </w:r>
      <w:r w:rsidR="00146B1C" w:rsidRPr="000266B0">
        <w:t>títulos</w:t>
      </w:r>
      <w:r w:rsidRPr="000266B0">
        <w:t xml:space="preserve"> y </w:t>
      </w:r>
      <w:r w:rsidR="00146B1C" w:rsidRPr="000266B0">
        <w:t>resúmenes</w:t>
      </w:r>
      <w:r w:rsidRPr="000266B0">
        <w:t xml:space="preserve"> de los proyectos de </w:t>
      </w:r>
      <w:r w:rsidR="00146B1C" w:rsidRPr="000266B0">
        <w:t>R</w:t>
      </w:r>
      <w:r w:rsidRPr="000266B0">
        <w:t xml:space="preserve">ecomendaciones </w:t>
      </w:r>
      <w:r w:rsidR="00C15D34">
        <w:t>aparece</w:t>
      </w:r>
      <w:r w:rsidRPr="000266B0">
        <w:t>n en el Anexo</w:t>
      </w:r>
      <w:r w:rsidR="005667AC">
        <w:t xml:space="preserve"> 1</w:t>
      </w:r>
      <w:r w:rsidR="00E07650">
        <w:t>.</w:t>
      </w:r>
      <w:r w:rsidR="005667AC">
        <w:t xml:space="preserve">  </w:t>
      </w:r>
      <w:r w:rsidR="005667AC" w:rsidRPr="000266B0">
        <w:t xml:space="preserve">Además, la Comisión de Estudio </w:t>
      </w:r>
      <w:r w:rsidR="005667AC">
        <w:t>acordó proponer</w:t>
      </w:r>
      <w:r w:rsidR="005667AC" w:rsidRPr="000266B0">
        <w:t xml:space="preserve"> la supresión de </w:t>
      </w:r>
      <w:r w:rsidR="005667AC">
        <w:t>1</w:t>
      </w:r>
      <w:r w:rsidR="005667AC" w:rsidRPr="000266B0">
        <w:t xml:space="preserve"> </w:t>
      </w:r>
      <w:r w:rsidR="005667AC">
        <w:t>Cuestión</w:t>
      </w:r>
      <w:r w:rsidR="00D71C12">
        <w:t xml:space="preserve"> UIT-R</w:t>
      </w:r>
      <w:r w:rsidR="002B7456">
        <w:t xml:space="preserve">, </w:t>
      </w:r>
      <w:bookmarkStart w:id="3" w:name="_GoBack"/>
      <w:bookmarkEnd w:id="3"/>
      <w:r w:rsidR="002B7456">
        <w:t>véase</w:t>
      </w:r>
      <w:r w:rsidR="005667AC" w:rsidRPr="000266B0">
        <w:t xml:space="preserve"> el Anexo </w:t>
      </w:r>
      <w:r w:rsidR="005667AC">
        <w:t>2.</w:t>
      </w:r>
    </w:p>
    <w:p w:rsidR="00C15D34" w:rsidRPr="000266B0" w:rsidRDefault="00C15D34" w:rsidP="00E07650">
      <w:r>
        <w:t xml:space="preserve">El periodo de consideración se extenderá durante 2 meses finalizando el </w:t>
      </w:r>
      <w:r w:rsidR="00E07650">
        <w:rPr>
          <w:u w:val="single"/>
        </w:rPr>
        <w:t>11 de febrero de 2013</w:t>
      </w:r>
      <w:r w:rsidR="00E07650">
        <w:t>. Si </w:t>
      </w:r>
      <w:r w:rsidR="00EB04D4" w:rsidRPr="00EB04D4">
        <w:t>durante este periodo no se reciben objeciones de los Estados Miembros, se considerará que los proyectos de Recomendaciones serán adoptados por la Comisión de Estudio </w:t>
      </w:r>
      <w:r w:rsidR="00E07650">
        <w:t>5</w:t>
      </w:r>
      <w:r w:rsidR="00EB04D4" w:rsidRPr="00EB04D4">
        <w:t>. Además, como se ha seguido el PAAS, los proyectos de Recomendaciones también se considerarán aprobados.</w:t>
      </w:r>
    </w:p>
    <w:p w:rsidR="00A353D3" w:rsidRPr="000266B0" w:rsidRDefault="00A353D3" w:rsidP="002605C2">
      <w:r w:rsidRPr="000266B0">
        <w:t>Todo Estado Miembro que objete la a</w:t>
      </w:r>
      <w:r w:rsidR="002605C2">
        <w:t>dop</w:t>
      </w:r>
      <w:r w:rsidRPr="000266B0">
        <w:t xml:space="preserve">ción de un proyecto de Recomendación debe informar al Director y al Presidente de la </w:t>
      </w:r>
      <w:r w:rsidR="00146B1C" w:rsidRPr="000266B0">
        <w:t>Comisión</w:t>
      </w:r>
      <w:r w:rsidRPr="000266B0">
        <w:t xml:space="preserve"> de </w:t>
      </w:r>
      <w:r w:rsidR="00146B1C" w:rsidRPr="000266B0">
        <w:t>E</w:t>
      </w:r>
      <w:r w:rsidRPr="000266B0">
        <w:t>studio de los motivos de dicha objeción.</w:t>
      </w:r>
    </w:p>
    <w:p w:rsidR="00A353D3" w:rsidRDefault="00A353D3" w:rsidP="00EB04D4">
      <w:r w:rsidRPr="000266B0">
        <w:t>Tras la fecha l</w:t>
      </w:r>
      <w:r w:rsidR="00146B1C" w:rsidRPr="000266B0">
        <w:t>í</w:t>
      </w:r>
      <w:r w:rsidRPr="000266B0">
        <w:t>mite mencionada, los resultados de</w:t>
      </w:r>
      <w:r w:rsidR="00EB04D4">
        <w:t>l PAAS</w:t>
      </w:r>
      <w:r w:rsidRPr="000266B0">
        <w:t xml:space="preserve"> se comunicar</w:t>
      </w:r>
      <w:r w:rsidR="00146B1C" w:rsidRPr="000266B0">
        <w:t>á</w:t>
      </w:r>
      <w:r w:rsidRPr="000266B0">
        <w:t xml:space="preserve">n mediante </w:t>
      </w:r>
      <w:r w:rsidR="00146B1C" w:rsidRPr="000266B0">
        <w:t>Circular</w:t>
      </w:r>
      <w:r w:rsidRPr="000266B0">
        <w:t xml:space="preserve"> Administrativa y se publicar</w:t>
      </w:r>
      <w:r w:rsidR="00EB4112">
        <w:t>á</w:t>
      </w:r>
      <w:r w:rsidRPr="000266B0">
        <w:t xml:space="preserve">n </w:t>
      </w:r>
      <w:r w:rsidR="00EB04D4">
        <w:t xml:space="preserve">las Recomendaciones aprobadas </w:t>
      </w:r>
      <w:r w:rsidRPr="000266B0">
        <w:t>tan pronto como sea posible (</w:t>
      </w:r>
      <w:r w:rsidR="00146B1C" w:rsidRPr="000266B0">
        <w:t>véase</w:t>
      </w:r>
      <w:r w:rsidRPr="000266B0">
        <w:t xml:space="preserve"> </w:t>
      </w:r>
      <w:hyperlink r:id="rId9" w:history="1">
        <w:r w:rsidRPr="000266B0">
          <w:rPr>
            <w:color w:val="0000FF"/>
            <w:u w:val="single"/>
          </w:rPr>
          <w:t>http://www.itu.int/pub/R-REC</w:t>
        </w:r>
      </w:hyperlink>
      <w:r w:rsidRPr="000266B0">
        <w:t>).</w:t>
      </w:r>
    </w:p>
    <w:p w:rsidR="004D204C" w:rsidRPr="000266B0" w:rsidRDefault="004D204C" w:rsidP="00146B1C"/>
    <w:p w:rsidR="001A0880" w:rsidRPr="000266B0" w:rsidRDefault="001A08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266B0">
        <w:br w:type="page"/>
      </w:r>
    </w:p>
    <w:p w:rsidR="00170325" w:rsidRPr="000266B0" w:rsidRDefault="00170325" w:rsidP="002605C2">
      <w:r w:rsidRPr="000266B0"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</w:t>
      </w:r>
      <w:r w:rsidR="002605C2" w:rsidRPr="000266B0">
        <w:t xml:space="preserve">La Política común en materia de patentes </w:t>
      </w:r>
      <w:r w:rsidR="002605C2">
        <w:t xml:space="preserve">para </w:t>
      </w:r>
      <w:r w:rsidR="002605C2" w:rsidRPr="000266B0">
        <w:t xml:space="preserve">UIT-T/UIT-R/ISO/CEI puede consultarse en </w:t>
      </w:r>
      <w:hyperlink r:id="rId10" w:history="1">
        <w:r w:rsidR="002605C2" w:rsidRPr="000266B0">
          <w:rPr>
            <w:color w:val="0000FF" w:themeColor="hyperlink"/>
            <w:szCs w:val="24"/>
            <w:u w:val="single"/>
          </w:rPr>
          <w:t>http://www.itu.int/ITU</w:t>
        </w:r>
        <w:r w:rsidR="002605C2" w:rsidRPr="000266B0">
          <w:rPr>
            <w:color w:val="0000FF" w:themeColor="hyperlink"/>
            <w:szCs w:val="24"/>
            <w:u w:val="single"/>
          </w:rPr>
          <w:noBreakHyphen/>
          <w:t>T/dbase/patent/patent-policy.html</w:t>
        </w:r>
      </w:hyperlink>
      <w:r w:rsidRPr="000266B0">
        <w:t>.</w:t>
      </w:r>
    </w:p>
    <w:p w:rsidR="00A353D3" w:rsidRPr="000266B0" w:rsidRDefault="00A353D3" w:rsidP="00170325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/>
    <w:p w:rsidR="001A0880" w:rsidRPr="000266B0" w:rsidRDefault="001A0880" w:rsidP="001A088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0266B0">
        <w:tab/>
        <w:t xml:space="preserve">François </w:t>
      </w:r>
      <w:proofErr w:type="spellStart"/>
      <w:r w:rsidRPr="000266B0">
        <w:t>Rancy</w:t>
      </w:r>
      <w:proofErr w:type="spellEnd"/>
      <w:r w:rsidRPr="000266B0">
        <w:br/>
      </w:r>
      <w:r w:rsidRPr="000266B0">
        <w:tab/>
        <w:t>Director de la Oficina de Radiocomunicaciones</w:t>
      </w:r>
    </w:p>
    <w:p w:rsidR="001A0880" w:rsidRPr="000266B0" w:rsidRDefault="001A0880" w:rsidP="001A0880"/>
    <w:p w:rsidR="001A0880" w:rsidRPr="000266B0" w:rsidRDefault="001A0880" w:rsidP="001A0880"/>
    <w:p w:rsidR="005A7EC3" w:rsidRPr="000266B0" w:rsidRDefault="005A7EC3" w:rsidP="005667AC">
      <w:r w:rsidRPr="000266B0">
        <w:rPr>
          <w:b/>
          <w:bCs/>
        </w:rPr>
        <w:t>Anexo</w:t>
      </w:r>
      <w:r w:rsidR="005667AC">
        <w:rPr>
          <w:b/>
          <w:bCs/>
        </w:rPr>
        <w:t xml:space="preserve"> 1</w:t>
      </w:r>
      <w:r w:rsidRPr="000266B0">
        <w:rPr>
          <w:b/>
          <w:bCs/>
        </w:rPr>
        <w:t>:</w:t>
      </w:r>
      <w:r w:rsidRPr="000266B0">
        <w:t xml:space="preserve"> </w:t>
      </w:r>
      <w:r w:rsidR="00E07650">
        <w:tab/>
      </w:r>
      <w:r w:rsidR="00AF78C4" w:rsidRPr="000266B0">
        <w:t>Títulos</w:t>
      </w:r>
      <w:r w:rsidRPr="000266B0">
        <w:t xml:space="preserve"> y </w:t>
      </w:r>
      <w:r w:rsidR="00AF78C4" w:rsidRPr="000266B0">
        <w:t>resúmenes</w:t>
      </w:r>
      <w:r w:rsidRPr="000266B0">
        <w:t xml:space="preserve"> de los proyectos de </w:t>
      </w:r>
      <w:r w:rsidR="00AF78C4" w:rsidRPr="000266B0">
        <w:t>R</w:t>
      </w:r>
      <w:r w:rsidRPr="000266B0">
        <w:t>ecomendaciones</w:t>
      </w:r>
    </w:p>
    <w:p w:rsidR="00EB04D4" w:rsidRPr="005667AC" w:rsidRDefault="005667AC" w:rsidP="005667AC">
      <w:r>
        <w:rPr>
          <w:b/>
          <w:bCs/>
        </w:rPr>
        <w:t>Anexo 2:</w:t>
      </w:r>
      <w:r>
        <w:rPr>
          <w:b/>
          <w:bCs/>
        </w:rPr>
        <w:tab/>
      </w:r>
      <w:r w:rsidRPr="005667AC">
        <w:t>Cuestión</w:t>
      </w:r>
      <w:r>
        <w:t xml:space="preserve"> cuya supresión se propone</w:t>
      </w:r>
    </w:p>
    <w:p w:rsidR="005667AC" w:rsidRPr="000266B0" w:rsidRDefault="005667AC" w:rsidP="00170325"/>
    <w:p w:rsidR="00E07650" w:rsidRPr="00E07650" w:rsidRDefault="00E07650" w:rsidP="00E07650">
      <w:pPr>
        <w:tabs>
          <w:tab w:val="clear" w:pos="1588"/>
          <w:tab w:val="left" w:pos="2552"/>
        </w:tabs>
        <w:ind w:left="1985" w:hanging="1985"/>
      </w:pPr>
      <w:r w:rsidRPr="00E07650">
        <w:rPr>
          <w:b/>
          <w:bCs/>
        </w:rPr>
        <w:t>Documentos:</w:t>
      </w:r>
      <w:r w:rsidRPr="00E07650">
        <w:tab/>
        <w:t xml:space="preserve">Documentos 5/18(Rev.2), 5/19(Rev.1), 5/20(Rev.1), 5/22(Rev.1), 5/25(Rev.1), 5/26(Rev.1), 5/27(Rev.1), 5/28(Rev.1), 5/29(Rev.1), 5/33(Rev.1), 5/35(Rev.1), 5/37(Rev.1), 5/38(Rev.1), 5/40(Rev.2) </w:t>
      </w:r>
    </w:p>
    <w:p w:rsidR="00E07650" w:rsidRPr="00E07650" w:rsidRDefault="00E07650" w:rsidP="00E07650">
      <w:pPr>
        <w:tabs>
          <w:tab w:val="clear" w:pos="1588"/>
          <w:tab w:val="left" w:pos="2552"/>
        </w:tabs>
      </w:pPr>
      <w:r w:rsidRPr="00260A15">
        <w:t>Estos documentos están disponibles en formato electrónico en</w:t>
      </w:r>
      <w:r w:rsidRPr="00E07650">
        <w:t xml:space="preserve">: </w:t>
      </w:r>
      <w:r>
        <w:br/>
      </w:r>
      <w:hyperlink r:id="rId11" w:history="1">
        <w:r w:rsidRPr="00E0364E">
          <w:rPr>
            <w:rStyle w:val="Hyperlink"/>
          </w:rPr>
          <w:t>http://www.itu.int/md/R12-SG05-C/es</w:t>
        </w:r>
      </w:hyperlink>
      <w:r>
        <w:t xml:space="preserve"> </w:t>
      </w:r>
    </w:p>
    <w:p w:rsidR="009F4598" w:rsidRPr="000266B0" w:rsidRDefault="009F4598" w:rsidP="00527774">
      <w:pPr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</w:rPr>
      </w:pPr>
      <w:r w:rsidRPr="000266B0">
        <w:rPr>
          <w:b/>
          <w:bCs/>
          <w:sz w:val="18"/>
          <w:szCs w:val="18"/>
        </w:rPr>
        <w:t>Distribu</w:t>
      </w:r>
      <w:r w:rsidR="00527774" w:rsidRPr="000266B0">
        <w:rPr>
          <w:b/>
          <w:bCs/>
          <w:sz w:val="18"/>
          <w:szCs w:val="18"/>
        </w:rPr>
        <w:t>c</w:t>
      </w:r>
      <w:r w:rsidRPr="000266B0">
        <w:rPr>
          <w:b/>
          <w:bCs/>
          <w:sz w:val="18"/>
          <w:szCs w:val="18"/>
        </w:rPr>
        <w:t>i</w:t>
      </w:r>
      <w:r w:rsidR="00527774" w:rsidRPr="000266B0">
        <w:rPr>
          <w:b/>
          <w:bCs/>
          <w:sz w:val="18"/>
          <w:szCs w:val="18"/>
        </w:rPr>
        <w:t>ó</w:t>
      </w:r>
      <w:r w:rsidRPr="000266B0">
        <w:rPr>
          <w:b/>
          <w:bCs/>
          <w:sz w:val="18"/>
          <w:szCs w:val="18"/>
        </w:rPr>
        <w:t>n:</w:t>
      </w:r>
    </w:p>
    <w:p w:rsidR="009F4598" w:rsidRPr="000266B0" w:rsidRDefault="009F4598" w:rsidP="00E07650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  <w:t xml:space="preserve">Administraciones de los Estados Miembros del Sector de Radiocomunicaciones que participan en los trabajos de la Comisión de Estudio </w:t>
      </w:r>
      <w:r w:rsidR="00E07650">
        <w:rPr>
          <w:sz w:val="18"/>
          <w:szCs w:val="18"/>
        </w:rPr>
        <w:t>5</w:t>
      </w:r>
      <w:r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E07650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Asociados del U</w:t>
      </w:r>
      <w:r w:rsidRPr="000266B0">
        <w:rPr>
          <w:sz w:val="18"/>
          <w:szCs w:val="18"/>
        </w:rPr>
        <w:t xml:space="preserve">IT-R </w:t>
      </w:r>
      <w:r w:rsidR="00527774" w:rsidRPr="000266B0">
        <w:rPr>
          <w:sz w:val="18"/>
          <w:szCs w:val="18"/>
        </w:rPr>
        <w:t xml:space="preserve">que participan en los trabajos de la Comisión de Estudio </w:t>
      </w:r>
      <w:r w:rsidR="00E07650">
        <w:rPr>
          <w:sz w:val="18"/>
          <w:szCs w:val="18"/>
        </w:rPr>
        <w:t>5</w:t>
      </w:r>
      <w:r w:rsidR="00527774" w:rsidRPr="000266B0">
        <w:rPr>
          <w:sz w:val="18"/>
          <w:szCs w:val="18"/>
        </w:rPr>
        <w:t xml:space="preserve">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Sectores académicos del U</w:t>
      </w:r>
      <w:r w:rsidRPr="000266B0">
        <w:rPr>
          <w:sz w:val="18"/>
          <w:szCs w:val="18"/>
        </w:rPr>
        <w:t xml:space="preserve">IT-R </w:t>
      </w:r>
    </w:p>
    <w:p w:rsidR="009F4598" w:rsidRPr="000266B0" w:rsidRDefault="009F4598" w:rsidP="008477F8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Presidente</w:t>
      </w:r>
      <w:r w:rsidR="002605C2">
        <w:rPr>
          <w:sz w:val="18"/>
          <w:szCs w:val="18"/>
        </w:rPr>
        <w:t>s</w:t>
      </w:r>
      <w:r w:rsidR="00527774" w:rsidRPr="000266B0">
        <w:rPr>
          <w:sz w:val="18"/>
          <w:szCs w:val="18"/>
        </w:rPr>
        <w:t xml:space="preserve"> y Vicepresidentes de las Comisiones de Estudio de Radiocomunicaciones y Comisión Especial para </w:t>
      </w:r>
      <w:r w:rsidR="008477F8" w:rsidRPr="000266B0">
        <w:rPr>
          <w:sz w:val="18"/>
          <w:szCs w:val="18"/>
        </w:rPr>
        <w:t>A</w:t>
      </w:r>
      <w:r w:rsidR="00527774" w:rsidRPr="000266B0">
        <w:rPr>
          <w:sz w:val="18"/>
          <w:szCs w:val="18"/>
        </w:rPr>
        <w:t xml:space="preserve">suntos </w:t>
      </w:r>
      <w:r w:rsidR="002605C2" w:rsidRPr="000266B0">
        <w:rPr>
          <w:sz w:val="18"/>
          <w:szCs w:val="18"/>
        </w:rPr>
        <w:t>R</w:t>
      </w:r>
      <w:r w:rsidR="00527774" w:rsidRPr="000266B0">
        <w:rPr>
          <w:sz w:val="18"/>
          <w:szCs w:val="18"/>
        </w:rPr>
        <w:t xml:space="preserve">eglamentarios </w:t>
      </w:r>
      <w:r w:rsidR="002605C2">
        <w:rPr>
          <w:sz w:val="18"/>
          <w:szCs w:val="18"/>
        </w:rPr>
        <w:t xml:space="preserve">y </w:t>
      </w:r>
      <w:r w:rsidR="00527774" w:rsidRPr="000266B0">
        <w:rPr>
          <w:sz w:val="18"/>
          <w:szCs w:val="18"/>
        </w:rPr>
        <w:t xml:space="preserve">de </w:t>
      </w:r>
      <w:r w:rsidR="008477F8">
        <w:rPr>
          <w:sz w:val="18"/>
          <w:szCs w:val="18"/>
        </w:rPr>
        <w:t>P</w:t>
      </w:r>
      <w:r w:rsidR="00527774" w:rsidRPr="000266B0">
        <w:rPr>
          <w:sz w:val="18"/>
          <w:szCs w:val="18"/>
        </w:rPr>
        <w:t xml:space="preserve">rocedimiento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Presidente y Vicepresidentes de la Reunión Preparatoria de la Conferencia </w:t>
      </w:r>
    </w:p>
    <w:p w:rsidR="009F4598" w:rsidRPr="000266B0" w:rsidRDefault="009F4598" w:rsidP="0052777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 xml:space="preserve">Miembros de la Junta del Reglamento de Radiocomunicaciones </w:t>
      </w:r>
    </w:p>
    <w:p w:rsidR="009F4598" w:rsidRPr="000266B0" w:rsidRDefault="009F4598" w:rsidP="00527774">
      <w:pPr>
        <w:tabs>
          <w:tab w:val="left" w:pos="567"/>
          <w:tab w:val="left" w:pos="6237"/>
        </w:tabs>
        <w:overflowPunct/>
        <w:autoSpaceDE/>
        <w:autoSpaceDN/>
        <w:adjustRightInd/>
        <w:spacing w:before="0"/>
        <w:ind w:left="567" w:hanging="567"/>
        <w:textAlignment w:val="auto"/>
        <w:rPr>
          <w:sz w:val="18"/>
          <w:szCs w:val="18"/>
        </w:rPr>
      </w:pPr>
      <w:r w:rsidRPr="000266B0">
        <w:rPr>
          <w:sz w:val="18"/>
          <w:szCs w:val="18"/>
        </w:rPr>
        <w:t>–</w:t>
      </w:r>
      <w:r w:rsidRPr="000266B0">
        <w:rPr>
          <w:sz w:val="18"/>
          <w:szCs w:val="18"/>
        </w:rPr>
        <w:tab/>
      </w:r>
      <w:r w:rsidR="00527774" w:rsidRPr="000266B0">
        <w:rPr>
          <w:sz w:val="18"/>
          <w:szCs w:val="18"/>
        </w:rPr>
        <w:t>Secretario General de la U</w:t>
      </w:r>
      <w:r w:rsidRPr="000266B0">
        <w:rPr>
          <w:sz w:val="18"/>
          <w:szCs w:val="18"/>
        </w:rPr>
        <w:t xml:space="preserve">IT, Director </w:t>
      </w:r>
      <w:r w:rsidR="00527774" w:rsidRPr="000266B0">
        <w:rPr>
          <w:sz w:val="18"/>
          <w:szCs w:val="18"/>
        </w:rPr>
        <w:t>de la Oficina de Normalización de las Telecomunicaciones, Director de la Oficina de Desarroll</w:t>
      </w:r>
      <w:r w:rsidRPr="000266B0">
        <w:rPr>
          <w:sz w:val="18"/>
          <w:szCs w:val="18"/>
        </w:rPr>
        <w:t>o</w:t>
      </w:r>
      <w:r w:rsidR="00527774" w:rsidRPr="000266B0">
        <w:rPr>
          <w:sz w:val="18"/>
          <w:szCs w:val="18"/>
        </w:rPr>
        <w:t xml:space="preserve"> de Telecomunicaciones </w:t>
      </w:r>
    </w:p>
    <w:p w:rsidR="009F4598" w:rsidRPr="000266B0" w:rsidRDefault="009F4598" w:rsidP="009F4598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9F4598" w:rsidRPr="000266B0" w:rsidRDefault="009F45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</w:rPr>
      </w:pPr>
    </w:p>
    <w:p w:rsidR="00E07650" w:rsidRDefault="00E076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F5E75" w:rsidRDefault="006F5E75" w:rsidP="006F5E75">
      <w:pPr>
        <w:pStyle w:val="AnnexNotitle"/>
        <w:spacing w:before="120"/>
      </w:pPr>
      <w:r w:rsidRPr="009B1139">
        <w:t>Anexo 1</w:t>
      </w:r>
      <w:r>
        <w:br/>
      </w:r>
      <w:r w:rsidRPr="009B1139">
        <w:br/>
        <w:t>Títulos y resúmenes de los proyectos de Recomendaciones</w:t>
      </w:r>
    </w:p>
    <w:p w:rsidR="006F5E75" w:rsidRPr="005B654A" w:rsidRDefault="006F5E75" w:rsidP="006F5E75"/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nueva Recomendación UIT-R M</w:t>
      </w:r>
      <w:proofErr w:type="gramStart"/>
      <w:r w:rsidRPr="009B1139">
        <w:rPr>
          <w:u w:val="single"/>
        </w:rPr>
        <w:t>.[</w:t>
      </w:r>
      <w:proofErr w:type="gramEnd"/>
      <w:r w:rsidRPr="009B1139">
        <w:rPr>
          <w:u w:val="single"/>
        </w:rPr>
        <w:t>VARICODE]</w:t>
      </w:r>
      <w:r w:rsidRPr="009B1139">
        <w:tab/>
        <w:t>Doc. 5/22(Rev.1)</w:t>
      </w:r>
    </w:p>
    <w:p w:rsidR="006F5E75" w:rsidRPr="009B1139" w:rsidRDefault="006F5E75" w:rsidP="006F5E75">
      <w:pPr>
        <w:pStyle w:val="Rectitle"/>
        <w:rPr>
          <w:rFonts w:eastAsia="MS Mincho"/>
        </w:rPr>
      </w:pPr>
      <w:r w:rsidRPr="009B1139">
        <w:t>Alfabeto telegráfico para comunicaciones de datos mediante</w:t>
      </w:r>
      <w:r w:rsidRPr="009B1139">
        <w:br/>
        <w:t>modulación por desplazamiento de fase a 31 baudios en los</w:t>
      </w:r>
      <w:r w:rsidRPr="009B1139">
        <w:br/>
        <w:t>servicios de aficionados y de aficionados por satélite</w:t>
      </w:r>
    </w:p>
    <w:p w:rsidR="006F5E75" w:rsidRDefault="006F5E75" w:rsidP="006F5E75">
      <w:pPr>
        <w:spacing w:before="240"/>
      </w:pPr>
      <w:r w:rsidRPr="007F43D6">
        <w:t>En esta Recomendación se establece un alfabeto telegráfico y protocolos de transmisión mediante modulación por desplazamiento de fase a 31 baudios en los servicios de aficionados y de aficionados por satélite.</w:t>
      </w:r>
    </w:p>
    <w:p w:rsidR="004E288C" w:rsidRPr="007F43D6" w:rsidRDefault="004E288C" w:rsidP="004E288C"/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M.1463-1</w:t>
      </w:r>
      <w:r w:rsidRPr="009B1139">
        <w:tab/>
        <w:t>Doc. 5/18(Rev.2)</w:t>
      </w:r>
    </w:p>
    <w:p w:rsidR="006F5E75" w:rsidRPr="009B1139" w:rsidRDefault="006F5E75" w:rsidP="006F5E75">
      <w:pPr>
        <w:pStyle w:val="Rectitle"/>
      </w:pPr>
      <w:r w:rsidRPr="009B1139">
        <w:t xml:space="preserve">Características y criterios de protección para los radares que funcionan en el servicio de </w:t>
      </w:r>
      <w:proofErr w:type="spellStart"/>
      <w:r w:rsidRPr="009B1139">
        <w:t>radiodeterminación</w:t>
      </w:r>
      <w:proofErr w:type="spellEnd"/>
      <w:r w:rsidRPr="009B1139">
        <w:t xml:space="preserve"> en la banda de frecuencias 1</w:t>
      </w:r>
      <w:r w:rsidRPr="009B1139">
        <w:rPr>
          <w:rFonts w:ascii="Tms Rmn" w:hAnsi="Tms Rmn"/>
        </w:rPr>
        <w:t> </w:t>
      </w:r>
      <w:r w:rsidRPr="009B1139">
        <w:t>215-1</w:t>
      </w:r>
      <w:r w:rsidRPr="009B1139">
        <w:rPr>
          <w:rFonts w:ascii="Tms Rmn" w:hAnsi="Tms Rmn"/>
        </w:rPr>
        <w:t> </w:t>
      </w:r>
      <w:r w:rsidRPr="009B1139">
        <w:t>400 MHz</w:t>
      </w:r>
    </w:p>
    <w:p w:rsidR="006F5E75" w:rsidRDefault="006F5E75" w:rsidP="006F5E75">
      <w:pPr>
        <w:spacing w:before="240"/>
      </w:pPr>
      <w:r w:rsidRPr="009B1139">
        <w:t xml:space="preserve">Esta revisión incluye las características de un nuevo radar de control del tráfico aéreo que funciona en el servicio de </w:t>
      </w:r>
      <w:proofErr w:type="spellStart"/>
      <w:r w:rsidRPr="009B1139">
        <w:t>radiodeterminación</w:t>
      </w:r>
      <w:proofErr w:type="spellEnd"/>
      <w:r w:rsidRPr="009B1139">
        <w:t xml:space="preserve"> en la banda de frecuencias 1 215-1 400 MHz. El nuevo radar se utiliza para detectar sistemas en aeronaves con el fin de ayudar a los controladores del tráfico aéreo a supervisar y separar las aeronaves.</w:t>
      </w:r>
    </w:p>
    <w:p w:rsidR="004E288C" w:rsidRPr="009B1139" w:rsidRDefault="004E288C" w:rsidP="004E288C"/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M.1176</w:t>
      </w:r>
      <w:r w:rsidRPr="009B1139">
        <w:tab/>
        <w:t>Doc. 5/19(Rev.1)</w:t>
      </w:r>
    </w:p>
    <w:p w:rsidR="006F5E75" w:rsidRPr="009B1139" w:rsidRDefault="006F5E75" w:rsidP="006F5E75">
      <w:pPr>
        <w:pStyle w:val="Rectitle"/>
      </w:pPr>
      <w:r w:rsidRPr="009B1139">
        <w:t>Parámetros técnicos de</w:t>
      </w:r>
      <w:r>
        <w:t xml:space="preserve"> </w:t>
      </w:r>
      <w:r w:rsidRPr="009B1139">
        <w:t>los dispositivos de mejora de los blancos radar</w:t>
      </w:r>
    </w:p>
    <w:p w:rsidR="006F5E75" w:rsidRDefault="006F5E75" w:rsidP="006F5E75">
      <w:pPr>
        <w:spacing w:before="240"/>
      </w:pPr>
      <w:r w:rsidRPr="009B1139">
        <w:t>Con las modificaciones introducidas, esta Recomendación se ajusta al formato y lenguaje actuales de las Recomendaciones del UIT</w:t>
      </w:r>
      <w:r w:rsidRPr="009B1139">
        <w:noBreakHyphen/>
        <w:t>R. Otros cambios reflejan la utilización de las bandas de frecuencias, indicada en la Recomendación UIT-R M.629, por los blancos radar.</w:t>
      </w:r>
    </w:p>
    <w:p w:rsidR="004E288C" w:rsidRPr="009B1139" w:rsidRDefault="004E288C" w:rsidP="004E288C"/>
    <w:p w:rsidR="006F5E75" w:rsidRPr="002C4AF8" w:rsidRDefault="006F5E75" w:rsidP="006F5E75">
      <w:pPr>
        <w:tabs>
          <w:tab w:val="right" w:pos="9639"/>
        </w:tabs>
        <w:spacing w:before="360"/>
        <w:rPr>
          <w:u w:val="single"/>
        </w:rPr>
      </w:pPr>
      <w:r w:rsidRPr="009B1139">
        <w:rPr>
          <w:u w:val="single"/>
        </w:rPr>
        <w:t>Proyecto de revisión de la Recomendación UIT-R M.1841</w:t>
      </w:r>
      <w:r w:rsidRPr="002C4AF8">
        <w:tab/>
        <w:t>Doc. 5/20(Rev.1)</w:t>
      </w:r>
    </w:p>
    <w:p w:rsidR="006F5E75" w:rsidRPr="009B1139" w:rsidRDefault="006F5E75" w:rsidP="006F5E75">
      <w:pPr>
        <w:pStyle w:val="Rectitle"/>
      </w:pPr>
      <w:r w:rsidRPr="009B1139">
        <w:t>Compatibilidad entre la radiodifusión sonora con modulación de frecuencia en la banda de aproximadamente 87-108 MHz y el sistema aeronáutico de aumento basado en tierra en la banda de aproximadamente 108-117,975 MHz</w:t>
      </w:r>
    </w:p>
    <w:p w:rsidR="006F5E75" w:rsidRPr="009B1139" w:rsidRDefault="006F5E75" w:rsidP="006F5E75">
      <w:pPr>
        <w:spacing w:before="240"/>
      </w:pPr>
      <w:r w:rsidRPr="009B1139">
        <w:t xml:space="preserve">En esta revisión se han sustituido Figuras que describen la zona de cobertura operativa y se han actualizado varias referencias. </w:t>
      </w:r>
    </w:p>
    <w:p w:rsidR="006F5E75" w:rsidRPr="009B1139" w:rsidRDefault="006F5E75" w:rsidP="006F5E75">
      <w:pPr>
        <w:keepNext/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F.386-8</w:t>
      </w:r>
      <w:r w:rsidRPr="009B1139">
        <w:tab/>
        <w:t>Doc. 5/25(Rev.1)</w:t>
      </w:r>
    </w:p>
    <w:p w:rsidR="006F5E75" w:rsidRPr="009B1139" w:rsidRDefault="006F5E75" w:rsidP="006F5E75">
      <w:pPr>
        <w:pStyle w:val="Rectitle"/>
      </w:pPr>
      <w:r w:rsidRPr="009B1139">
        <w:t>Disposición de radiocanales para sistemas inalámbricos fijos que</w:t>
      </w:r>
      <w:r w:rsidRPr="009B1139">
        <w:br/>
        <w:t>funcionan en la banda de 8 GHz (7 725 a 8 500 MHz)</w:t>
      </w:r>
    </w:p>
    <w:p w:rsidR="006F5E75" w:rsidRPr="009B1139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Esta revisión incluye lo siguiente:</w:t>
      </w:r>
    </w:p>
    <w:p w:rsidR="006F5E75" w:rsidRPr="009B1139" w:rsidRDefault="006F5E75" w:rsidP="006F5E75">
      <w:pPr>
        <w:pStyle w:val="enumlev1"/>
        <w:rPr>
          <w:lang w:eastAsia="ja-JP"/>
        </w:rPr>
      </w:pPr>
      <w:r w:rsidRPr="009B1139">
        <w:rPr>
          <w:lang w:eastAsia="ja-JP"/>
        </w:rPr>
        <w:t>–</w:t>
      </w:r>
      <w:r w:rsidRPr="009B1139">
        <w:rPr>
          <w:lang w:eastAsia="ja-JP"/>
        </w:rPr>
        <w:tab/>
      </w:r>
      <w:r w:rsidR="00D71C12" w:rsidRPr="009B1139">
        <w:rPr>
          <w:lang w:eastAsia="ja-JP"/>
        </w:rPr>
        <w:t xml:space="preserve">En </w:t>
      </w:r>
      <w:r w:rsidRPr="009B1139">
        <w:rPr>
          <w:lang w:eastAsia="ja-JP"/>
        </w:rPr>
        <w:t>el Anexo 2 se han incluido nuevas disposiciones de radiocanales con separación de canal de 28 MHz, y la separación de 7 y 14 MHz en la banda 7 725-8 275 MHz.</w:t>
      </w:r>
      <w:r>
        <w:t xml:space="preserve"> </w:t>
      </w:r>
      <w:r w:rsidRPr="009B1139">
        <w:rPr>
          <w:lang w:eastAsia="ja-JP"/>
        </w:rPr>
        <w:t xml:space="preserve">Tal y como se indica en </w:t>
      </w:r>
      <w:proofErr w:type="spellStart"/>
      <w:r w:rsidRPr="009B1139">
        <w:rPr>
          <w:lang w:eastAsia="ja-JP"/>
        </w:rPr>
        <w:t>el</w:t>
      </w:r>
      <w:proofErr w:type="spellEnd"/>
      <w:r w:rsidRPr="009B1139">
        <w:rPr>
          <w:lang w:eastAsia="ja-JP"/>
        </w:rPr>
        <w:t xml:space="preserve"> </w:t>
      </w:r>
      <w:r w:rsidRPr="009B1139">
        <w:rPr>
          <w:i/>
          <w:lang w:eastAsia="ja-JP"/>
        </w:rPr>
        <w:t>recomienda</w:t>
      </w:r>
      <w:r w:rsidRPr="009B1139">
        <w:rPr>
          <w:lang w:eastAsia="ja-JP"/>
        </w:rPr>
        <w:t xml:space="preserve"> 5, está destinado a l</w:t>
      </w:r>
      <w:r>
        <w:rPr>
          <w:lang w:eastAsia="ja-JP"/>
        </w:rPr>
        <w:t>a</w:t>
      </w:r>
      <w:r w:rsidRPr="009B1139">
        <w:rPr>
          <w:lang w:eastAsia="ja-JP"/>
        </w:rPr>
        <w:t>s Administra</w:t>
      </w:r>
      <w:r>
        <w:rPr>
          <w:lang w:eastAsia="ja-JP"/>
        </w:rPr>
        <w:t>cion</w:t>
      </w:r>
      <w:r w:rsidRPr="009B1139">
        <w:rPr>
          <w:lang w:eastAsia="ja-JP"/>
        </w:rPr>
        <w:t>es que utilizan antiguas disposiciones de canal basadas en el punto de</w:t>
      </w:r>
      <w:r w:rsidRPr="009B1139">
        <w:t xml:space="preserve"> 29,65 MHz para migrar</w:t>
      </w:r>
      <w:r w:rsidRPr="009B1139">
        <w:rPr>
          <w:lang w:eastAsia="ja-JP"/>
        </w:rPr>
        <w:t>, a largo plazo, hacia esta disposición de canal más eficiente de</w:t>
      </w:r>
      <w:r w:rsidRPr="009B1139">
        <w:t xml:space="preserve"> 28 MHz</w:t>
      </w:r>
      <w:r w:rsidR="00D71C12">
        <w:rPr>
          <w:lang w:eastAsia="ja-JP"/>
        </w:rPr>
        <w:t>.</w:t>
      </w:r>
    </w:p>
    <w:p w:rsidR="006F5E75" w:rsidRPr="009B1139" w:rsidRDefault="006F5E75" w:rsidP="006F5E75">
      <w:pPr>
        <w:pStyle w:val="enumlev1"/>
        <w:rPr>
          <w:lang w:eastAsia="ja-JP"/>
        </w:rPr>
      </w:pPr>
      <w:r w:rsidRPr="009B1139">
        <w:rPr>
          <w:lang w:eastAsia="ja-JP"/>
        </w:rPr>
        <w:t>–</w:t>
      </w:r>
      <w:r w:rsidRPr="009B1139">
        <w:rPr>
          <w:lang w:eastAsia="ja-JP"/>
        </w:rPr>
        <w:tab/>
      </w:r>
      <w:r w:rsidR="00D71C12" w:rsidRPr="009B1139">
        <w:rPr>
          <w:lang w:eastAsia="ja-JP"/>
        </w:rPr>
        <w:t xml:space="preserve">Se </w:t>
      </w:r>
      <w:r w:rsidRPr="009B1139">
        <w:rPr>
          <w:lang w:eastAsia="ja-JP"/>
        </w:rPr>
        <w:t xml:space="preserve">han suprimido el Anexo 7 así como la correspondiente </w:t>
      </w:r>
      <w:r w:rsidR="00D71C12" w:rsidRPr="009B1139">
        <w:rPr>
          <w:lang w:eastAsia="ja-JP"/>
        </w:rPr>
        <w:t xml:space="preserve">Nota </w:t>
      </w:r>
      <w:r w:rsidR="00D71C12">
        <w:rPr>
          <w:lang w:eastAsia="ja-JP"/>
        </w:rPr>
        <w:t>1 por haber quedado obsoletos.</w:t>
      </w:r>
    </w:p>
    <w:p w:rsidR="006F5E75" w:rsidRPr="009B1139" w:rsidRDefault="006F5E75" w:rsidP="006F5E75">
      <w:pPr>
        <w:pStyle w:val="enumlev1"/>
        <w:rPr>
          <w:lang w:eastAsia="ja-JP"/>
        </w:rPr>
      </w:pPr>
      <w:r w:rsidRPr="009B1139">
        <w:rPr>
          <w:lang w:eastAsia="ja-JP"/>
        </w:rPr>
        <w:t>–</w:t>
      </w:r>
      <w:r w:rsidRPr="009B1139">
        <w:rPr>
          <w:lang w:eastAsia="ja-JP"/>
        </w:rPr>
        <w:tab/>
      </w:r>
      <w:r w:rsidR="00D71C12" w:rsidRPr="009B1139">
        <w:rPr>
          <w:lang w:eastAsia="ja-JP"/>
        </w:rPr>
        <w:t xml:space="preserve">Se </w:t>
      </w:r>
      <w:r w:rsidRPr="009B1139">
        <w:rPr>
          <w:lang w:eastAsia="ja-JP"/>
        </w:rPr>
        <w:t>ha revisado y actualizado la redacción de otras partes de la Recomendación.</w:t>
      </w:r>
    </w:p>
    <w:p w:rsidR="004E288C" w:rsidRDefault="004E288C" w:rsidP="004E288C"/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F.635-6</w:t>
      </w:r>
      <w:r w:rsidRPr="009B1139">
        <w:tab/>
        <w:t>Doc. 5/26(Rev.1)</w:t>
      </w:r>
    </w:p>
    <w:p w:rsidR="006F5E75" w:rsidRPr="009B1139" w:rsidRDefault="006F5E75" w:rsidP="006F5E75">
      <w:pPr>
        <w:pStyle w:val="Rectitle"/>
      </w:pPr>
      <w:r w:rsidRPr="009B1139">
        <w:t xml:space="preserve">Disposición de radiocanales basada en un plan homogéneo para </w:t>
      </w:r>
      <w:r>
        <w:br/>
      </w:r>
      <w:r w:rsidRPr="009B1139">
        <w:t>sistemas de radioenlaces que funcionan en la banda de 4 GHz</w:t>
      </w:r>
    </w:p>
    <w:p w:rsidR="006F5E75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En esta revisión se ha actualizado el ámbito de aplicación, y se ha suprimido y actualizado la información obsoleta relativa a las disposiciones de radiocanales con separación de canal de 60 y</w:t>
      </w:r>
      <w:r>
        <w:rPr>
          <w:lang w:eastAsia="ja-JP"/>
        </w:rPr>
        <w:t> </w:t>
      </w:r>
      <w:r w:rsidRPr="009B1139">
        <w:rPr>
          <w:lang w:eastAsia="ja-JP"/>
        </w:rPr>
        <w:t>90</w:t>
      </w:r>
      <w:r>
        <w:rPr>
          <w:lang w:eastAsia="ja-JP"/>
        </w:rPr>
        <w:t> </w:t>
      </w:r>
      <w:r w:rsidRPr="009B1139">
        <w:rPr>
          <w:lang w:eastAsia="ja-JP"/>
        </w:rPr>
        <w:t>MHz en el Anexo 1, al igual que el correspondiente texto en el cuerpo de la Recomendación.</w:t>
      </w:r>
    </w:p>
    <w:p w:rsidR="004E288C" w:rsidRPr="009B1139" w:rsidRDefault="004E288C" w:rsidP="004E288C">
      <w:pPr>
        <w:rPr>
          <w:lang w:eastAsia="ja-JP"/>
        </w:rPr>
      </w:pPr>
    </w:p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F.1509-1</w:t>
      </w:r>
      <w:r w:rsidRPr="009B1139">
        <w:tab/>
        <w:t>Doc. 5/27(Rev.1)</w:t>
      </w:r>
    </w:p>
    <w:p w:rsidR="006F5E75" w:rsidRPr="009B1139" w:rsidRDefault="006F5E75" w:rsidP="006F5E75">
      <w:pPr>
        <w:pStyle w:val="Rectitle"/>
      </w:pPr>
      <w:bookmarkStart w:id="4" w:name="Pre_title"/>
      <w:r w:rsidRPr="009B1139">
        <w:t>Requisitos técnicos y de explotación que facilitan la compartición</w:t>
      </w:r>
      <w:r w:rsidRPr="009B1139">
        <w:br/>
        <w:t>entre los sistemas punto a multipunto del servicio fijo y el servicio</w:t>
      </w:r>
      <w:r w:rsidRPr="009B1139">
        <w:br/>
        <w:t>entre satélites en la banda 25,25-27,5 GHz</w:t>
      </w:r>
      <w:bookmarkEnd w:id="4"/>
    </w:p>
    <w:p w:rsidR="006F5E75" w:rsidRPr="009B1139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En esta revisión se propone proteger nuevas posiciones orbitales, añadir texto para garantizar la continuidad de la explotación de las estaciones del servicio fijo existentes e introducir modificaciones de redacción.</w:t>
      </w:r>
    </w:p>
    <w:p w:rsidR="004E288C" w:rsidRPr="004E288C" w:rsidRDefault="004E28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E288C">
        <w:br w:type="page"/>
      </w:r>
    </w:p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F.1249-2</w:t>
      </w:r>
      <w:r w:rsidRPr="009B1139">
        <w:tab/>
        <w:t>Doc. 5/28(Rev.1)</w:t>
      </w:r>
    </w:p>
    <w:p w:rsidR="006F5E75" w:rsidRPr="009B1139" w:rsidRDefault="006F5E75" w:rsidP="006F5E75">
      <w:pPr>
        <w:pStyle w:val="Rectitle"/>
      </w:pPr>
      <w:r w:rsidRPr="009B1139">
        <w:t>Requisitos técnicos y de explotación que facilitan la compartición</w:t>
      </w:r>
      <w:r w:rsidRPr="009B1139">
        <w:br/>
        <w:t>entre los sistemas inalámbricos punto a punto del servicio fijo y</w:t>
      </w:r>
      <w:r w:rsidRPr="009B1139">
        <w:br/>
        <w:t>el servicio entre satélites en la banda 25,25-27,5 GHz</w:t>
      </w:r>
    </w:p>
    <w:p w:rsidR="006F5E75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En esta revisión se propone proteger nuevas posiciones orbitales, añadir texto para garantizar la continuidad de la explotación de las estaciones del servicio fijo existentes e introducir modificaciones de redacción.</w:t>
      </w:r>
    </w:p>
    <w:p w:rsidR="004E288C" w:rsidRPr="009B1139" w:rsidRDefault="004E288C" w:rsidP="004E288C">
      <w:pPr>
        <w:rPr>
          <w:lang w:eastAsia="ja-JP"/>
        </w:rPr>
      </w:pPr>
    </w:p>
    <w:p w:rsidR="006F5E75" w:rsidRPr="009B1139" w:rsidRDefault="006F5E75" w:rsidP="006F5E75">
      <w:pPr>
        <w:keepNext/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F.1247-2</w:t>
      </w:r>
      <w:r w:rsidRPr="009B1139">
        <w:tab/>
        <w:t>Doc. 5/29(Rev.1)</w:t>
      </w:r>
    </w:p>
    <w:p w:rsidR="006F5E75" w:rsidRPr="009B1139" w:rsidRDefault="006F5E75" w:rsidP="006F5E75">
      <w:pPr>
        <w:pStyle w:val="Rectitle"/>
      </w:pPr>
      <w:r w:rsidRPr="009B1139">
        <w:t xml:space="preserve">Características técnicas y operacionales de los sistemas del servicio fijo para facilitar la compartición con los servicios de investigación espacial, </w:t>
      </w:r>
      <w:r>
        <w:br/>
      </w:r>
      <w:r w:rsidRPr="009B1139">
        <w:t xml:space="preserve">operaciones espaciales y exploración de la Tierra por satélite que </w:t>
      </w:r>
      <w:r>
        <w:br/>
      </w:r>
      <w:r w:rsidRPr="009B1139">
        <w:t>funcionan en las bandas 2 025-2 110 MHz y 2 200-2 290 MHz</w:t>
      </w:r>
    </w:p>
    <w:p w:rsidR="006F5E75" w:rsidRDefault="006F5E75" w:rsidP="006F5E75">
      <w:pPr>
        <w:tabs>
          <w:tab w:val="right" w:pos="9639"/>
        </w:tabs>
        <w:spacing w:before="240"/>
        <w:rPr>
          <w:lang w:eastAsia="ja-JP"/>
        </w:rPr>
      </w:pPr>
      <w:r w:rsidRPr="009B1139">
        <w:rPr>
          <w:lang w:eastAsia="ja-JP"/>
        </w:rPr>
        <w:t xml:space="preserve">En esta revisión se propone proteger nuevas posiciones orbitales, añadir texto para garantizar la continuidad de la explotación de las estaciones del servicio fijo existentes e introducir modificaciones de redacción. </w:t>
      </w:r>
    </w:p>
    <w:p w:rsidR="004E288C" w:rsidRPr="009B1139" w:rsidRDefault="004E288C" w:rsidP="004E288C">
      <w:pPr>
        <w:rPr>
          <w:lang w:eastAsia="ja-JP"/>
        </w:rPr>
      </w:pPr>
    </w:p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F.1099-4</w:t>
      </w:r>
      <w:r w:rsidRPr="009B1139">
        <w:tab/>
        <w:t>Doc. 5/33(Rev.1)</w:t>
      </w:r>
    </w:p>
    <w:p w:rsidR="006F5E75" w:rsidRPr="009B1139" w:rsidRDefault="006F5E75" w:rsidP="006F5E75">
      <w:pPr>
        <w:pStyle w:val="Rectitle"/>
      </w:pPr>
      <w:r w:rsidRPr="009B1139">
        <w:t>Disposiciones de radiocanales para sistemas inalámbricos</w:t>
      </w:r>
      <w:r w:rsidRPr="009B1139">
        <w:br/>
        <w:t>fijos digitales de capacidad alta y media en la parte</w:t>
      </w:r>
      <w:r w:rsidRPr="009B1139">
        <w:br/>
        <w:t>superior de la banda de 4 GHz (4 400-5 000 MHz)</w:t>
      </w:r>
    </w:p>
    <w:p w:rsidR="006F5E75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En esta revisión se actualiza el campo de aplicación y se suprime información obsoleta sobre las disposiciones de radiocanales con separación de canal de 60 MHz en el Anexo 1.</w:t>
      </w:r>
    </w:p>
    <w:p w:rsidR="004E288C" w:rsidRPr="009B1139" w:rsidRDefault="004E288C" w:rsidP="004E288C">
      <w:pPr>
        <w:rPr>
          <w:lang w:eastAsia="ja-JP"/>
        </w:rPr>
      </w:pPr>
    </w:p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F.383-8</w:t>
      </w:r>
      <w:r w:rsidRPr="009B1139">
        <w:tab/>
        <w:t>Doc. 5/35(Rev.1)</w:t>
      </w:r>
    </w:p>
    <w:p w:rsidR="006F5E75" w:rsidRPr="009B1139" w:rsidRDefault="006F5E75" w:rsidP="004E288C">
      <w:pPr>
        <w:pStyle w:val="Rectitle"/>
      </w:pPr>
      <w:r w:rsidRPr="009B1139">
        <w:t xml:space="preserve">Disposición de radiocanales para sistemas inalámbricos fijos </w:t>
      </w:r>
      <w:r>
        <w:br/>
      </w:r>
      <w:r w:rsidRPr="009B1139">
        <w:t xml:space="preserve">de alta capacidad que funcionan en la parte inferior </w:t>
      </w:r>
      <w:r w:rsidR="004E288C">
        <w:br/>
      </w:r>
      <w:r w:rsidRPr="009B1139">
        <w:t>de la banda de 6 GHz (5 925 a 6 425 MHz)</w:t>
      </w:r>
    </w:p>
    <w:p w:rsidR="006F5E75" w:rsidRPr="009B1139" w:rsidRDefault="006F5E75" w:rsidP="006F5E75">
      <w:pPr>
        <w:spacing w:before="240"/>
        <w:rPr>
          <w:lang w:eastAsia="ja-JP"/>
        </w:rPr>
      </w:pPr>
      <w:r w:rsidRPr="009B1139">
        <w:rPr>
          <w:lang w:eastAsia="ja-JP"/>
        </w:rPr>
        <w:t>En esta revisión se suprime información obsoleta sobre las disposiciones de radiocanales con separación de canal de 60 y 90 MHz en el Anexo 1, y se actualiza y corrige la redacción del texto en el Anexo 3.</w:t>
      </w:r>
    </w:p>
    <w:p w:rsidR="004E288C" w:rsidRPr="004E288C" w:rsidRDefault="004E28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E288C">
        <w:br w:type="page"/>
      </w:r>
    </w:p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F.339-7</w:t>
      </w:r>
      <w:r w:rsidRPr="009B1139">
        <w:tab/>
        <w:t>Doc. 5/37(Rev.1)</w:t>
      </w:r>
    </w:p>
    <w:p w:rsidR="006F5E75" w:rsidRPr="009B1139" w:rsidRDefault="006F5E75" w:rsidP="006F5E75">
      <w:pPr>
        <w:pStyle w:val="Rectitle"/>
      </w:pPr>
      <w:r w:rsidRPr="009B1139">
        <w:t xml:space="preserve">Anchuras de banda, relaciones señal/ruido y márgenes para </w:t>
      </w:r>
      <w:r>
        <w:br/>
      </w:r>
      <w:r w:rsidRPr="009B1139">
        <w:t>el desvanecimiento en sistemas fijos de alta frecuencia</w:t>
      </w:r>
    </w:p>
    <w:p w:rsidR="006F5E75" w:rsidRDefault="006F5E75" w:rsidP="006F5E75">
      <w:pPr>
        <w:spacing w:before="240"/>
      </w:pPr>
      <w:r w:rsidRPr="009B1139">
        <w:t xml:space="preserve">Esta Recomendación se ha actualizado con el fin de proporcionar información sobre los módems de banda ancha en ondas </w:t>
      </w:r>
      <w:proofErr w:type="spellStart"/>
      <w:r w:rsidRPr="009B1139">
        <w:t>decamétricas</w:t>
      </w:r>
      <w:proofErr w:type="spellEnd"/>
      <w:r w:rsidRPr="009B1139">
        <w:t xml:space="preserve"> (Cuadro 4). Se han actualizado también las relaciones señal/ruido con respecto a las relaciones de densidad señal/ruido en los Cuadros 2 y 3. Se ha modificado el ámbito de aplicación y el primer párrafo se ha desplazado al </w:t>
      </w:r>
      <w:r w:rsidRPr="009B1139">
        <w:rPr>
          <w:i/>
          <w:iCs/>
        </w:rPr>
        <w:t>considerando d)</w:t>
      </w:r>
      <w:r w:rsidRPr="009B1139">
        <w:t>.</w:t>
      </w:r>
    </w:p>
    <w:p w:rsidR="004E288C" w:rsidRPr="009B1139" w:rsidRDefault="004E288C" w:rsidP="004E288C"/>
    <w:p w:rsidR="006F5E75" w:rsidRPr="009B1139" w:rsidRDefault="006F5E75" w:rsidP="006F5E75">
      <w:pPr>
        <w:keepNext/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M.1874</w:t>
      </w:r>
      <w:r w:rsidRPr="009B1139">
        <w:tab/>
        <w:t>Doc. 5/38(Rev.1)</w:t>
      </w:r>
    </w:p>
    <w:p w:rsidR="006F5E75" w:rsidRPr="009B1139" w:rsidRDefault="006F5E75" w:rsidP="006F5E75">
      <w:pPr>
        <w:pStyle w:val="Rectitle"/>
      </w:pPr>
      <w:r w:rsidRPr="009B1139">
        <w:t xml:space="preserve">Características técnicas y de funcionamiento de los radares oceanográficos </w:t>
      </w:r>
      <w:r w:rsidR="004E288C">
        <w:br/>
      </w:r>
      <w:r w:rsidRPr="009B1139">
        <w:t xml:space="preserve">que funcionan en </w:t>
      </w:r>
      <w:proofErr w:type="spellStart"/>
      <w:r w:rsidRPr="009B1139">
        <w:t>subbandas</w:t>
      </w:r>
      <w:proofErr w:type="spellEnd"/>
      <w:r w:rsidRPr="009B1139">
        <w:t xml:space="preserve"> de la gama de frecuencias 3-50 MHz</w:t>
      </w:r>
    </w:p>
    <w:p w:rsidR="006F5E75" w:rsidRDefault="006F5E75" w:rsidP="006F5E75">
      <w:pPr>
        <w:spacing w:before="240"/>
      </w:pPr>
      <w:r w:rsidRPr="009B1139">
        <w:t>Con las modificaciones introducidas, esta Recomendación se ajusta al formato y lenguaje actuales de las Recomendaciones del UIT-R. Otros cambios reflejan la introducción de nuevas funciones de la aplicación de los radares oceanográficos.</w:t>
      </w:r>
    </w:p>
    <w:p w:rsidR="004E288C" w:rsidRPr="009B1139" w:rsidRDefault="004E288C" w:rsidP="004E288C"/>
    <w:p w:rsidR="006F5E75" w:rsidRPr="009B1139" w:rsidRDefault="006F5E75" w:rsidP="006F5E75">
      <w:pPr>
        <w:tabs>
          <w:tab w:val="right" w:pos="9639"/>
        </w:tabs>
        <w:spacing w:before="360"/>
      </w:pPr>
      <w:r w:rsidRPr="009B1139">
        <w:rPr>
          <w:u w:val="single"/>
        </w:rPr>
        <w:t>Proyecto de revisión de la Recomendación UIT-R M.1801-1</w:t>
      </w:r>
      <w:r w:rsidRPr="009B1139">
        <w:tab/>
        <w:t>Doc. 5/40(Rev.2)</w:t>
      </w:r>
    </w:p>
    <w:p w:rsidR="006F5E75" w:rsidRPr="009B1139" w:rsidRDefault="006F5E75" w:rsidP="006F5E75">
      <w:pPr>
        <w:pStyle w:val="Rectitle"/>
      </w:pPr>
      <w:r w:rsidRPr="009B1139">
        <w:t>Normas de interfaz radioeléctrica para sistemas de acceso inalámbrico</w:t>
      </w:r>
      <w:r w:rsidRPr="009B1139">
        <w:br/>
        <w:t>de banda ancha, incluidas aplicaciones móviles y nómadas en el</w:t>
      </w:r>
      <w:r w:rsidRPr="009B1139">
        <w:br/>
        <w:t>servicio móvil que funcionan por debajo de 6 GHz</w:t>
      </w:r>
    </w:p>
    <w:p w:rsidR="006F5E75" w:rsidRPr="009B1139" w:rsidRDefault="006F5E75" w:rsidP="004E288C">
      <w:pPr>
        <w:spacing w:before="240"/>
      </w:pPr>
      <w:r w:rsidRPr="009B1139">
        <w:t xml:space="preserve">En esta revisión se actualiza información sobre: la norma IEEE 802.11, las normas ETSI </w:t>
      </w:r>
      <w:proofErr w:type="spellStart"/>
      <w:r w:rsidRPr="009B1139">
        <w:t>HiperMAN</w:t>
      </w:r>
      <w:proofErr w:type="spellEnd"/>
      <w:r w:rsidRPr="009B1139">
        <w:t>, las especificaciones de ensanchamiento directo del AMDC (AMDC DS) de las IMT</w:t>
      </w:r>
      <w:r>
        <w:noBreakHyphen/>
      </w:r>
      <w:r w:rsidRPr="009B1139">
        <w:t xml:space="preserve">2000, las especificaciones de ensanchamiento directo del AMDC DDT de las IMT-2000, el sistema CDMA IMT-2000 con </w:t>
      </w:r>
      <w:proofErr w:type="spellStart"/>
      <w:r w:rsidRPr="009B1139">
        <w:t>multiportadora</w:t>
      </w:r>
      <w:proofErr w:type="spellEnd"/>
      <w:r w:rsidRPr="009B1139">
        <w:t xml:space="preserve">, y la Plataforma Global </w:t>
      </w:r>
      <w:proofErr w:type="spellStart"/>
      <w:r w:rsidRPr="009B1139">
        <w:t>eXtendida</w:t>
      </w:r>
      <w:proofErr w:type="spellEnd"/>
      <w:r w:rsidRPr="009B1139">
        <w:t xml:space="preserve"> (XGP). Se ha añadido un anexo sobre las interfaces radioeléctricas terrenales IMT-Avanzadas.</w:t>
      </w:r>
      <w:r>
        <w:t xml:space="preserve"> </w:t>
      </w:r>
      <w:r w:rsidRPr="009B1139">
        <w:t>Las normas ATIS</w:t>
      </w:r>
      <w:r>
        <w:t> </w:t>
      </w:r>
      <w:r w:rsidRPr="009B1139">
        <w:t xml:space="preserve">T1.723-2002, ATIS-0700001.2004 y T1.716/7-2000(R2004) han sido suprimidas a petición de la </w:t>
      </w:r>
      <w:r w:rsidRPr="009B1139">
        <w:rPr>
          <w:rFonts w:eastAsiaTheme="minorEastAsia"/>
          <w:lang w:eastAsia="zh-CN"/>
        </w:rPr>
        <w:t>ATIS, debido a que esas normas han caído en desuso</w:t>
      </w:r>
      <w:r w:rsidRPr="009B1139">
        <w:t>.</w:t>
      </w:r>
    </w:p>
    <w:p w:rsidR="005A7EC3" w:rsidRPr="000266B0" w:rsidRDefault="005A7EC3" w:rsidP="00170325"/>
    <w:p w:rsidR="005667AC" w:rsidRDefault="005667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667AC" w:rsidRPr="00594B89" w:rsidRDefault="005667AC" w:rsidP="005667AC">
      <w:pPr>
        <w:pStyle w:val="Headingb"/>
        <w:spacing w:before="360" w:after="120"/>
        <w:jc w:val="center"/>
        <w:rPr>
          <w:sz w:val="28"/>
          <w:szCs w:val="28"/>
        </w:rPr>
      </w:pPr>
      <w:r w:rsidRPr="00594B89">
        <w:rPr>
          <w:sz w:val="28"/>
          <w:szCs w:val="28"/>
        </w:rPr>
        <w:t>Anexo 2</w:t>
      </w:r>
    </w:p>
    <w:p w:rsidR="005667AC" w:rsidRPr="00EB04D4" w:rsidRDefault="005667AC" w:rsidP="005667AC">
      <w:pPr>
        <w:spacing w:before="360"/>
        <w:jc w:val="center"/>
      </w:pPr>
      <w:r w:rsidRPr="00EB04D4">
        <w:t>(Origen: Documento</w:t>
      </w:r>
      <w:r>
        <w:t xml:space="preserve"> 5/8</w:t>
      </w:r>
      <w:r w:rsidRPr="00EB04D4">
        <w:t>)</w:t>
      </w:r>
    </w:p>
    <w:p w:rsidR="005667AC" w:rsidRPr="00594B89" w:rsidRDefault="005667AC" w:rsidP="005667AC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Cuestión</w:t>
      </w:r>
      <w:r w:rsidRPr="00594B89">
        <w:rPr>
          <w:b/>
          <w:bCs/>
          <w:sz w:val="28"/>
          <w:szCs w:val="28"/>
        </w:rPr>
        <w:t xml:space="preserve"> cuya supresión de propone</w:t>
      </w:r>
    </w:p>
    <w:p w:rsidR="00EB4112" w:rsidRPr="000266B0" w:rsidRDefault="00EB4112" w:rsidP="00B55BB2">
      <w:pPr>
        <w:tabs>
          <w:tab w:val="left" w:pos="8080"/>
        </w:tabs>
      </w:pPr>
    </w:p>
    <w:p w:rsidR="00EB04D4" w:rsidRDefault="00EB04D4" w:rsidP="005667AC"/>
    <w:p w:rsidR="005667AC" w:rsidRPr="0020630E" w:rsidRDefault="005667AC" w:rsidP="005667AC"/>
    <w:tbl>
      <w:tblPr>
        <w:tblW w:w="9115" w:type="dxa"/>
        <w:jc w:val="center"/>
        <w:tblInd w:w="-6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7"/>
        <w:gridCol w:w="7698"/>
      </w:tblGrid>
      <w:tr w:rsidR="005667AC" w:rsidRPr="00AA2D8C" w:rsidTr="00803093">
        <w:trPr>
          <w:cantSplit/>
          <w:tblHeader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AC" w:rsidRPr="00AA2D8C" w:rsidRDefault="005667AC" w:rsidP="005667AC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Cuestión</w:t>
            </w:r>
            <w:r w:rsidRPr="00AA2D8C">
              <w:rPr>
                <w:rFonts w:asciiTheme="majorBidi" w:hAnsiTheme="majorBidi" w:cstheme="majorBidi"/>
                <w:sz w:val="20"/>
              </w:rPr>
              <w:br/>
              <w:t>U</w:t>
            </w:r>
            <w:r>
              <w:rPr>
                <w:rFonts w:asciiTheme="majorBidi" w:hAnsiTheme="majorBidi" w:cstheme="majorBidi"/>
                <w:sz w:val="20"/>
              </w:rPr>
              <w:t>IT</w:t>
            </w:r>
            <w:r w:rsidRPr="00AA2D8C">
              <w:rPr>
                <w:rFonts w:asciiTheme="majorBidi" w:hAnsiTheme="majorBidi" w:cstheme="majorBidi"/>
                <w:sz w:val="20"/>
              </w:rPr>
              <w:t>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7AC" w:rsidRPr="00AA2D8C" w:rsidRDefault="005667AC" w:rsidP="00803093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Título</w:t>
            </w:r>
          </w:p>
        </w:tc>
      </w:tr>
      <w:tr w:rsidR="005667AC" w:rsidRPr="005667AC" w:rsidTr="00803093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AC" w:rsidRPr="00AA2D8C" w:rsidRDefault="005667AC" w:rsidP="00803093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245/5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AC" w:rsidRPr="005667AC" w:rsidRDefault="005667AC" w:rsidP="00803093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5667AC">
              <w:rPr>
                <w:rFonts w:asciiTheme="majorBidi" w:hAnsiTheme="majorBidi" w:cstheme="majorBidi"/>
                <w:color w:val="000000"/>
                <w:sz w:val="20"/>
              </w:rPr>
              <w:t>Aplicaciones del servicio fijo que utilizan bandas de frecuencias por encima de 3 000 GHz</w:t>
            </w:r>
          </w:p>
        </w:tc>
      </w:tr>
    </w:tbl>
    <w:p w:rsidR="005667AC" w:rsidRPr="005667AC" w:rsidRDefault="005667AC" w:rsidP="005667AC"/>
    <w:p w:rsidR="005667AC" w:rsidRPr="005667AC" w:rsidRDefault="005667AC" w:rsidP="005667AC"/>
    <w:p w:rsidR="00EB04D4" w:rsidRPr="00D71C12" w:rsidRDefault="00EB04D4" w:rsidP="00EB04D4">
      <w:pPr>
        <w:pStyle w:val="Headingb"/>
        <w:spacing w:before="360" w:after="120"/>
        <w:jc w:val="center"/>
        <w:rPr>
          <w:b w:val="0"/>
          <w:bCs/>
        </w:rPr>
      </w:pPr>
      <w:r w:rsidRPr="00D71C12">
        <w:rPr>
          <w:b w:val="0"/>
          <w:bCs/>
        </w:rPr>
        <w:t>________________</w:t>
      </w:r>
    </w:p>
    <w:sectPr w:rsidR="00EB04D4" w:rsidRPr="00D71C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B9" w:rsidRDefault="00D643B9">
      <w:r>
        <w:separator/>
      </w:r>
    </w:p>
  </w:endnote>
  <w:endnote w:type="continuationSeparator" w:id="0">
    <w:p w:rsidR="00D643B9" w:rsidRDefault="00D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26" w:rsidRPr="00E07650" w:rsidRDefault="00E32D81" w:rsidP="00E0765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2B7456">
      <w:t>Y:\APP\BR\CIRCS_DMS\CACE\500\596\596s.docx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0C4426" w:rsidRPr="002B745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4426" w:rsidRDefault="000C442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C4426" w:rsidRDefault="000C4426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C4426" w:rsidRDefault="000C4426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4426" w:rsidRDefault="000C442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C4426">
      <w:trPr>
        <w:cantSplit/>
      </w:trPr>
      <w:tc>
        <w:tcPr>
          <w:tcW w:w="1062" w:type="pct"/>
        </w:tcPr>
        <w:p w:rsidR="000C4426" w:rsidRDefault="000C4426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0C4426" w:rsidRDefault="000C442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C4426" w:rsidRDefault="000C4426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C4426" w:rsidRDefault="000C4426">
          <w:pPr>
            <w:pStyle w:val="itu"/>
          </w:pPr>
          <w:r>
            <w:tab/>
            <w:t>www.itu.int</w:t>
          </w:r>
        </w:p>
      </w:tc>
    </w:tr>
    <w:tr w:rsidR="000C4426">
      <w:trPr>
        <w:cantSplit/>
      </w:trPr>
      <w:tc>
        <w:tcPr>
          <w:tcW w:w="1062" w:type="pct"/>
        </w:tcPr>
        <w:p w:rsidR="000C4426" w:rsidRDefault="000C4426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0C4426" w:rsidRDefault="000C442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C4426" w:rsidRDefault="000C4426">
          <w:pPr>
            <w:pStyle w:val="itu"/>
          </w:pPr>
        </w:p>
      </w:tc>
      <w:tc>
        <w:tcPr>
          <w:tcW w:w="1131" w:type="pct"/>
        </w:tcPr>
        <w:p w:rsidR="000C4426" w:rsidRDefault="000C4426">
          <w:pPr>
            <w:pStyle w:val="itu"/>
          </w:pPr>
        </w:p>
      </w:tc>
    </w:tr>
  </w:tbl>
  <w:p w:rsidR="000C4426" w:rsidRDefault="000C4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B9" w:rsidRDefault="00D643B9">
      <w:r>
        <w:t>____________________</w:t>
      </w:r>
    </w:p>
  </w:footnote>
  <w:footnote w:type="continuationSeparator" w:id="0">
    <w:p w:rsidR="00D643B9" w:rsidRDefault="00D6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26" w:rsidRPr="00F96264" w:rsidRDefault="000C4426" w:rsidP="00E0765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2D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3"/>
    <w:rsid w:val="000266B0"/>
    <w:rsid w:val="00032A89"/>
    <w:rsid w:val="000C4426"/>
    <w:rsid w:val="000D2216"/>
    <w:rsid w:val="000E1E52"/>
    <w:rsid w:val="0011788D"/>
    <w:rsid w:val="00131358"/>
    <w:rsid w:val="001366CE"/>
    <w:rsid w:val="00146B1C"/>
    <w:rsid w:val="00170325"/>
    <w:rsid w:val="00191913"/>
    <w:rsid w:val="001A0880"/>
    <w:rsid w:val="0020630E"/>
    <w:rsid w:val="00240010"/>
    <w:rsid w:val="002605C2"/>
    <w:rsid w:val="002B7456"/>
    <w:rsid w:val="002E3D54"/>
    <w:rsid w:val="00416F31"/>
    <w:rsid w:val="004D204C"/>
    <w:rsid w:val="004E288C"/>
    <w:rsid w:val="00527774"/>
    <w:rsid w:val="005667AC"/>
    <w:rsid w:val="005A7EC3"/>
    <w:rsid w:val="005C68B5"/>
    <w:rsid w:val="005E764D"/>
    <w:rsid w:val="006F5E75"/>
    <w:rsid w:val="007616EA"/>
    <w:rsid w:val="007D613E"/>
    <w:rsid w:val="00807E1D"/>
    <w:rsid w:val="008477F8"/>
    <w:rsid w:val="00885E2D"/>
    <w:rsid w:val="00901D06"/>
    <w:rsid w:val="00930454"/>
    <w:rsid w:val="00953C5B"/>
    <w:rsid w:val="009937C1"/>
    <w:rsid w:val="009B2CAA"/>
    <w:rsid w:val="009F4598"/>
    <w:rsid w:val="00A353D3"/>
    <w:rsid w:val="00A9322B"/>
    <w:rsid w:val="00AA7B91"/>
    <w:rsid w:val="00AC0905"/>
    <w:rsid w:val="00AC5DCE"/>
    <w:rsid w:val="00AD1034"/>
    <w:rsid w:val="00AE07DC"/>
    <w:rsid w:val="00AF78C4"/>
    <w:rsid w:val="00B05A1B"/>
    <w:rsid w:val="00B55BB2"/>
    <w:rsid w:val="00B67E40"/>
    <w:rsid w:val="00BA3916"/>
    <w:rsid w:val="00BD0273"/>
    <w:rsid w:val="00BD5208"/>
    <w:rsid w:val="00C15D34"/>
    <w:rsid w:val="00C73047"/>
    <w:rsid w:val="00D04A11"/>
    <w:rsid w:val="00D643B9"/>
    <w:rsid w:val="00D71C12"/>
    <w:rsid w:val="00D80BD3"/>
    <w:rsid w:val="00DF0EBE"/>
    <w:rsid w:val="00E07650"/>
    <w:rsid w:val="00E32D81"/>
    <w:rsid w:val="00E71253"/>
    <w:rsid w:val="00EB04D4"/>
    <w:rsid w:val="00EB4112"/>
    <w:rsid w:val="00EF051F"/>
    <w:rsid w:val="00F31FC0"/>
    <w:rsid w:val="00F66DCF"/>
    <w:rsid w:val="00F96264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E07650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6F5E75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F5E75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B55BB2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5BB2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B67E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E07650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6F5E75"/>
    <w:rPr>
      <w:rFonts w:ascii="Times New Roman" w:hAnsi="Times New Roman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F5E7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/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BC60-6D8E-4511-A7F4-735474B4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0</TotalTime>
  <Pages>7</Pages>
  <Words>1728</Words>
  <Characters>10034</Characters>
  <Application>Microsoft Office Word</Application>
  <DocSecurity>2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11739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Fernandez Virginia</cp:lastModifiedBy>
  <cp:revision>2</cp:revision>
  <cp:lastPrinted>2012-12-07T08:22:00Z</cp:lastPrinted>
  <dcterms:created xsi:type="dcterms:W3CDTF">2012-12-10T11:02:00Z</dcterms:created>
  <dcterms:modified xsi:type="dcterms:W3CDTF">2012-12-10T11:02:00Z</dcterms:modified>
</cp:coreProperties>
</file>