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34376">
        <w:tc>
          <w:tcPr>
            <w:tcW w:w="8755" w:type="dxa"/>
            <w:vAlign w:val="center"/>
          </w:tcPr>
          <w:p w:rsidR="00FA7B4D" w:rsidRPr="00234376" w:rsidRDefault="00FA7B4D" w:rsidP="00FE1623">
            <w:pPr>
              <w:spacing w:before="0"/>
              <w:rPr>
                <w:rFonts w:asciiTheme="minorHAnsi" w:hAnsiTheme="minorHAnsi" w:cstheme="minorHAnsi"/>
              </w:rPr>
            </w:pP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U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NION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caps/>
                <w:sz w:val="48"/>
                <w:szCs w:val="48"/>
              </w:rPr>
              <w:t>I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NTERNATIONALE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DES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T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234376" w:rsidRDefault="00A10043" w:rsidP="00FE1623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8D23D9" w:rsidP="00F60AC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F60AC2">
              <w:rPr>
                <w:b/>
                <w:bCs/>
              </w:rPr>
              <w:t>558</w:t>
            </w:r>
          </w:p>
        </w:tc>
        <w:tc>
          <w:tcPr>
            <w:tcW w:w="6935" w:type="dxa"/>
          </w:tcPr>
          <w:p w:rsidR="00FA7B4D" w:rsidRPr="003C3CA6" w:rsidRDefault="002D14DA" w:rsidP="00CE7204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CE7204">
              <w:t>8</w:t>
            </w:r>
            <w:r w:rsidR="006B7194">
              <w:t xml:space="preserve"> </w:t>
            </w:r>
            <w:r w:rsidR="00CE7204">
              <w:t>février</w:t>
            </w:r>
            <w:r w:rsidR="008D23D9">
              <w:t xml:space="preserve"> 201</w:t>
            </w:r>
            <w:r w:rsidR="00CE7204">
              <w:t>2</w:t>
            </w:r>
          </w:p>
        </w:tc>
      </w:tr>
    </w:tbl>
    <w:p w:rsidR="00FA7B4D" w:rsidRPr="002E5122" w:rsidRDefault="00544F7F" w:rsidP="00BF1A58">
      <w:pPr>
        <w:tabs>
          <w:tab w:val="left" w:pos="7513"/>
        </w:tabs>
        <w:spacing w:before="240"/>
        <w:jc w:val="center"/>
        <w:rPr>
          <w:b/>
          <w:szCs w:val="24"/>
        </w:rPr>
      </w:pPr>
      <w:r w:rsidRPr="00544F7F">
        <w:rPr>
          <w:b/>
        </w:rPr>
        <w:t>Aux Administrations des Etats Membres de l'UIT, aux Membres du Secteur des radiocommunications</w:t>
      </w:r>
      <w:r w:rsidR="002E5122">
        <w:rPr>
          <w:b/>
        </w:rPr>
        <w:t xml:space="preserve">,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="001057B4">
        <w:rPr>
          <w:b/>
        </w:rPr>
        <w:t xml:space="preserve"> participant aux travaux</w:t>
      </w:r>
      <w:r w:rsidR="001057B4">
        <w:rPr>
          <w:b/>
        </w:rPr>
        <w:br/>
      </w:r>
      <w:r w:rsidRPr="00544F7F">
        <w:rPr>
          <w:b/>
        </w:rPr>
        <w:t>de la Commission d'études </w:t>
      </w:r>
      <w:r w:rsidR="001057B4">
        <w:rPr>
          <w:b/>
        </w:rPr>
        <w:t>6</w:t>
      </w:r>
      <w:r w:rsidR="006D7309">
        <w:rPr>
          <w:b/>
        </w:rPr>
        <w:t xml:space="preserve"> des radiocommunications</w:t>
      </w:r>
      <w:r w:rsidR="006D7309">
        <w:rPr>
          <w:b/>
        </w:rPr>
        <w:br/>
      </w:r>
      <w:r w:rsidRPr="00544F7F">
        <w:rPr>
          <w:b/>
        </w:rPr>
        <w:t xml:space="preserve">et </w:t>
      </w:r>
      <w:r w:rsidR="002E5122">
        <w:rPr>
          <w:b/>
          <w:szCs w:val="24"/>
        </w:rPr>
        <w:t>aux</w:t>
      </w:r>
      <w:r w:rsidR="002E5122" w:rsidRPr="002E5122">
        <w:rPr>
          <w:b/>
          <w:szCs w:val="24"/>
        </w:rPr>
        <w:t xml:space="preserve"> </w:t>
      </w:r>
      <w:r w:rsidR="001057B4">
        <w:rPr>
          <w:b/>
          <w:szCs w:val="24"/>
        </w:rPr>
        <w:t>É</w:t>
      </w:r>
      <w:r w:rsidR="006D7309">
        <w:rPr>
          <w:b/>
          <w:szCs w:val="24"/>
        </w:rPr>
        <w:t xml:space="preserve">tablissements </w:t>
      </w:r>
      <w:r w:rsidR="002E5122" w:rsidRPr="002E5122">
        <w:rPr>
          <w:b/>
          <w:szCs w:val="24"/>
        </w:rPr>
        <w:t>universitaires de l’UIT-R</w:t>
      </w:r>
    </w:p>
    <w:p w:rsidR="00544F7F" w:rsidRPr="00D7368B" w:rsidRDefault="00544F7F" w:rsidP="001057B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bookmarkStart w:id="3" w:name="ddistribution"/>
      <w:bookmarkEnd w:id="3"/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>
        <w:tab/>
      </w:r>
      <w:r w:rsidRPr="00D7368B">
        <w:rPr>
          <w:b/>
          <w:bCs/>
        </w:rPr>
        <w:t xml:space="preserve">Commission d'études </w:t>
      </w:r>
      <w:r w:rsidR="001057B4">
        <w:rPr>
          <w:b/>
          <w:bCs/>
        </w:rPr>
        <w:t>6</w:t>
      </w:r>
      <w:r w:rsidRPr="00D7368B">
        <w:rPr>
          <w:b/>
          <w:bCs/>
        </w:rPr>
        <w:t xml:space="preserve"> des radiocommunications</w:t>
      </w:r>
      <w:r w:rsidR="002E5122">
        <w:rPr>
          <w:b/>
          <w:bCs/>
        </w:rPr>
        <w:t xml:space="preserve"> (Service de </w:t>
      </w:r>
      <w:r w:rsidR="001057B4">
        <w:rPr>
          <w:b/>
          <w:bCs/>
        </w:rPr>
        <w:t>radiodiffusion</w:t>
      </w:r>
      <w:r w:rsidR="002E5122">
        <w:rPr>
          <w:b/>
          <w:bCs/>
        </w:rPr>
        <w:t>)</w:t>
      </w:r>
    </w:p>
    <w:p w:rsidR="00544F7F" w:rsidRDefault="00544F7F" w:rsidP="00F03770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CE7204">
        <w:rPr>
          <w:b/>
          <w:bCs/>
        </w:rPr>
        <w:t xml:space="preserve">de quatre nouvelles Recommandations et </w:t>
      </w:r>
      <w:r w:rsidR="008D23D9">
        <w:rPr>
          <w:b/>
          <w:bCs/>
        </w:rPr>
        <w:t>d</w:t>
      </w:r>
      <w:r w:rsidR="008111BB">
        <w:rPr>
          <w:b/>
          <w:bCs/>
        </w:rPr>
        <w:t>e cinq</w:t>
      </w:r>
      <w:r w:rsidR="008D23D9">
        <w:rPr>
          <w:b/>
          <w:bCs/>
        </w:rPr>
        <w:t xml:space="preserve"> Recommandation</w:t>
      </w:r>
      <w:r w:rsidR="008111BB">
        <w:rPr>
          <w:b/>
          <w:bCs/>
        </w:rPr>
        <w:t>s</w:t>
      </w:r>
      <w:r w:rsidR="008D23D9">
        <w:rPr>
          <w:b/>
          <w:bCs/>
        </w:rPr>
        <w:t xml:space="preserve"> révisée</w:t>
      </w:r>
      <w:r w:rsidR="008111BB">
        <w:rPr>
          <w:b/>
          <w:bCs/>
        </w:rPr>
        <w:t>s</w:t>
      </w:r>
      <w:r w:rsidR="00CC5F20">
        <w:rPr>
          <w:b/>
          <w:bCs/>
        </w:rPr>
        <w:t xml:space="preserve"> par correspondance et </w:t>
      </w:r>
      <w:r w:rsidR="00CE7204">
        <w:rPr>
          <w:b/>
          <w:bCs/>
        </w:rPr>
        <w:t>leur</w:t>
      </w:r>
      <w:r w:rsidRPr="00D7368B">
        <w:rPr>
          <w:b/>
          <w:bCs/>
        </w:rPr>
        <w:t xml:space="preserve"> approbation simultanée, conformément au §</w:t>
      </w:r>
      <w:r w:rsidR="00CE7204">
        <w:rPr>
          <w:b/>
          <w:bCs/>
        </w:rPr>
        <w:t> </w:t>
      </w:r>
      <w:r w:rsidRPr="00D7368B">
        <w:rPr>
          <w:b/>
          <w:bCs/>
        </w:rPr>
        <w:t>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</w:r>
      <w:r w:rsidR="00F03770">
        <w:rPr>
          <w:b/>
          <w:bCs/>
        </w:rPr>
        <w:t>6</w:t>
      </w:r>
      <w:r w:rsidRPr="00D7368B">
        <w:rPr>
          <w:b/>
          <w:bCs/>
        </w:rPr>
        <w:t xml:space="preserve"> (Procédure d'adoption et d'approbation simultanées par correspondance)</w:t>
      </w:r>
    </w:p>
    <w:p w:rsidR="001057B4" w:rsidRPr="00D7368B" w:rsidRDefault="001057B4" w:rsidP="00CE7204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Suppression d</w:t>
      </w:r>
      <w:r>
        <w:rPr>
          <w:b/>
          <w:bCs/>
        </w:rPr>
        <w:t xml:space="preserve">e </w:t>
      </w:r>
      <w:r w:rsidR="00CE7204">
        <w:rPr>
          <w:b/>
          <w:bCs/>
        </w:rPr>
        <w:t>trente-quatre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544F7F" w:rsidRDefault="00544F7F" w:rsidP="007F41D3">
      <w:pPr>
        <w:spacing w:before="240"/>
      </w:pPr>
      <w:r>
        <w:t>Dans la Circulaire administrative</w:t>
      </w:r>
      <w:r w:rsidRPr="000A47E1">
        <w:t xml:space="preserve"> CAR/</w:t>
      </w:r>
      <w:r w:rsidR="00CE7204">
        <w:t>326</w:t>
      </w:r>
      <w:r w:rsidRPr="000A47E1">
        <w:t xml:space="preserve"> dat</w:t>
      </w:r>
      <w:r>
        <w:t>é</w:t>
      </w:r>
      <w:r w:rsidRPr="000A47E1">
        <w:t xml:space="preserve">e du </w:t>
      </w:r>
      <w:r w:rsidR="006B7194">
        <w:t>2</w:t>
      </w:r>
      <w:r w:rsidR="00CE7204">
        <w:t>7</w:t>
      </w:r>
      <w:r w:rsidR="006B7194">
        <w:t xml:space="preserve"> </w:t>
      </w:r>
      <w:r w:rsidR="00CE7204">
        <w:t>octobre</w:t>
      </w:r>
      <w:r w:rsidR="008D23D9">
        <w:t xml:space="preserve"> 201</w:t>
      </w:r>
      <w:r w:rsidR="006B7194">
        <w:t>1</w:t>
      </w:r>
      <w:r w:rsidRPr="000A47E1">
        <w:t xml:space="preserve">, </w:t>
      </w:r>
      <w:r w:rsidR="00BF1A58">
        <w:t xml:space="preserve">quatre </w:t>
      </w:r>
      <w:r w:rsidR="008D23D9">
        <w:t>projet</w:t>
      </w:r>
      <w:r w:rsidR="00BF1A58">
        <w:t>s</w:t>
      </w:r>
      <w:r w:rsidR="006B7194">
        <w:t xml:space="preserve"> de </w:t>
      </w:r>
      <w:r w:rsidR="00CE7204">
        <w:t>nouvelle Recommanda</w:t>
      </w:r>
      <w:bookmarkStart w:id="5" w:name="_GoBack"/>
      <w:bookmarkEnd w:id="5"/>
      <w:r w:rsidR="00CE7204">
        <w:t xml:space="preserve">tion et </w:t>
      </w:r>
      <w:r w:rsidR="008111BB">
        <w:t>cinq</w:t>
      </w:r>
      <w:r w:rsidR="00BF1A58">
        <w:t xml:space="preserve"> projets de</w:t>
      </w:r>
      <w:r w:rsidR="00CE7204">
        <w:t xml:space="preserve"> </w:t>
      </w:r>
      <w:r w:rsidR="006B7194">
        <w:t xml:space="preserve">Recommandation révisée </w:t>
      </w:r>
      <w:r w:rsidR="00BF1A58">
        <w:t>ont</w:t>
      </w:r>
      <w:r w:rsidR="006B7194">
        <w:t xml:space="preserve">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 w:rsidR="00F03770">
        <w:t>6</w:t>
      </w:r>
      <w:r w:rsidRPr="000A47E1">
        <w:t xml:space="preserve"> (§ 10.3). </w:t>
      </w:r>
      <w:r w:rsidR="001057B4">
        <w:t xml:space="preserve">De plus, la Commission d'études a proposé la suppression de </w:t>
      </w:r>
      <w:r w:rsidR="00CE7204">
        <w:t>trente-quatre</w:t>
      </w:r>
      <w:r w:rsidR="001057B4">
        <w:t xml:space="preserve"> Recommandations.</w:t>
      </w:r>
    </w:p>
    <w:p w:rsidR="00865276" w:rsidRDefault="00865276" w:rsidP="008111BB">
      <w:r w:rsidRPr="000A47E1">
        <w:t>Les conditions régissant cette procédure ont été satisfaites</w:t>
      </w:r>
      <w:r>
        <w:t xml:space="preserve"> le </w:t>
      </w:r>
      <w:r w:rsidR="006B7194">
        <w:t>2</w:t>
      </w:r>
      <w:r w:rsidR="008111BB">
        <w:t>7</w:t>
      </w:r>
      <w:r w:rsidR="006B7194">
        <w:t xml:space="preserve"> </w:t>
      </w:r>
      <w:r w:rsidR="008111BB">
        <w:t>janvier 2012</w:t>
      </w:r>
      <w:r w:rsidR="006B7194">
        <w:t>.</w:t>
      </w:r>
      <w:r w:rsidRPr="000A47E1">
        <w:t xml:space="preserve"> </w:t>
      </w:r>
    </w:p>
    <w:p w:rsidR="00544F7F" w:rsidRPr="000A47E1" w:rsidRDefault="00CE7204" w:rsidP="00CE7204">
      <w:pPr>
        <w:ind w:right="-142"/>
      </w:pPr>
      <w:r>
        <w:t>Les</w:t>
      </w:r>
      <w:r w:rsidR="00544F7F" w:rsidRPr="000A47E1">
        <w:t xml:space="preserve"> Recommandation</w:t>
      </w:r>
      <w:r>
        <w:t>s</w:t>
      </w:r>
      <w:r w:rsidR="00544F7F" w:rsidRPr="000A47E1">
        <w:t xml:space="preserve"> approuvée</w:t>
      </w:r>
      <w:r>
        <w:t>s</w:t>
      </w:r>
      <w:r w:rsidR="00544F7F" w:rsidRPr="000A47E1">
        <w:t xml:space="preserve"> ser</w:t>
      </w:r>
      <w:r>
        <w:t>ont</w:t>
      </w:r>
      <w:r w:rsidR="00A25B06">
        <w:t xml:space="preserve"> publiée</w:t>
      </w:r>
      <w:r>
        <w:t>s</w:t>
      </w:r>
      <w:r w:rsidR="00A25B06">
        <w:t xml:space="preserve"> </w:t>
      </w:r>
      <w:r w:rsidR="00544F7F" w:rsidRPr="000A47E1">
        <w:t>par l'UIT et vous trouverez dans l'A</w:t>
      </w:r>
      <w:r w:rsidR="008D23D9">
        <w:t xml:space="preserve">nnexe </w:t>
      </w:r>
      <w:r w:rsidR="001057B4">
        <w:t xml:space="preserve">1 </w:t>
      </w:r>
      <w:r w:rsidR="00544F7F">
        <w:t>de la </w:t>
      </w:r>
      <w:r w:rsidR="00544F7F" w:rsidRPr="000A47E1">
        <w:t xml:space="preserve">présente </w:t>
      </w:r>
      <w:r w:rsidR="00544F7F">
        <w:t>C</w:t>
      </w:r>
      <w:r w:rsidR="00544F7F" w:rsidRPr="000A47E1">
        <w:t xml:space="preserve">irculaire </w:t>
      </w:r>
      <w:r>
        <w:t>leurs</w:t>
      </w:r>
      <w:r w:rsidR="00544F7F" w:rsidRPr="000A47E1">
        <w:t xml:space="preserve"> titre</w:t>
      </w:r>
      <w:r>
        <w:t>s</w:t>
      </w:r>
      <w:r w:rsidR="00544F7F" w:rsidRPr="000A47E1">
        <w:t xml:space="preserve"> </w:t>
      </w:r>
      <w:r w:rsidR="00A25B06">
        <w:t>ainsi que le</w:t>
      </w:r>
      <w:r>
        <w:t>s</w:t>
      </w:r>
      <w:r w:rsidR="00A25B06">
        <w:t xml:space="preserve"> numéro</w:t>
      </w:r>
      <w:r>
        <w:t>s</w:t>
      </w:r>
      <w:r w:rsidR="00A25B06">
        <w:t xml:space="preserve"> qui l</w:t>
      </w:r>
      <w:r>
        <w:t>e</w:t>
      </w:r>
      <w:r w:rsidR="00A25B06">
        <w:t>u</w:t>
      </w:r>
      <w:r>
        <w:t>r</w:t>
      </w:r>
      <w:r w:rsidR="00544F7F" w:rsidRPr="000A47E1">
        <w:t xml:space="preserve"> </w:t>
      </w:r>
      <w:r>
        <w:t>ont</w:t>
      </w:r>
      <w:r w:rsidR="00544F7F">
        <w:t xml:space="preserve"> été</w:t>
      </w:r>
      <w:r w:rsidR="00544F7F" w:rsidRPr="000A47E1">
        <w:t xml:space="preserve"> attribué</w:t>
      </w:r>
      <w:r>
        <w:t>s</w:t>
      </w:r>
      <w:r w:rsidR="00544F7F" w:rsidRPr="000A47E1">
        <w:t>.</w:t>
      </w:r>
      <w:r w:rsidR="002C2B5D">
        <w:t xml:space="preserve"> </w:t>
      </w:r>
      <w:r w:rsidR="001057B4">
        <w:t>L’Annexe 2 contient la liste des Recommandations supprimées.</w:t>
      </w:r>
    </w:p>
    <w:p w:rsidR="00544F7F" w:rsidRPr="000A47E1" w:rsidRDefault="008D23D9" w:rsidP="00AB1CB3">
      <w:pPr>
        <w:pStyle w:val="BodyTextIndent"/>
        <w:ind w:left="4321"/>
      </w:pPr>
      <w:r>
        <w:t>François Rancy</w:t>
      </w:r>
      <w:r w:rsidR="00544F7F" w:rsidRPr="000A47E1">
        <w:br/>
        <w:t>Directeur du Bureau des radiocommunications</w:t>
      </w:r>
    </w:p>
    <w:p w:rsidR="00544F7F" w:rsidRPr="000A47E1" w:rsidRDefault="00544F7F" w:rsidP="001057B4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</w:t>
      </w:r>
      <w:r w:rsidR="001057B4"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 w:rsidR="008D23D9">
        <w:tab/>
      </w:r>
      <w:r w:rsidR="001057B4">
        <w:t>2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E5122" w:rsidRPr="00A46325" w:rsidRDefault="00544F7F" w:rsidP="001057B4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234376">
        <w:rPr>
          <w:sz w:val="18"/>
          <w:szCs w:val="18"/>
        </w:rPr>
        <w:t>de l’UIT</w:t>
      </w:r>
      <w:r w:rsidR="00234376" w:rsidRPr="00A46325">
        <w:rPr>
          <w:sz w:val="18"/>
          <w:szCs w:val="18"/>
        </w:rPr>
        <w:t xml:space="preserve"> </w:t>
      </w:r>
      <w:r w:rsidRPr="00A46325">
        <w:rPr>
          <w:sz w:val="18"/>
          <w:szCs w:val="18"/>
        </w:rPr>
        <w:t>et Membres du Secteur des radiocommunications</w:t>
      </w:r>
      <w:r w:rsidR="001E1C3A">
        <w:rPr>
          <w:sz w:val="18"/>
          <w:szCs w:val="18"/>
        </w:rPr>
        <w:t xml:space="preserve"> participant aux travaux de la Commission d’études </w:t>
      </w:r>
      <w:r w:rsidR="001057B4">
        <w:rPr>
          <w:sz w:val="18"/>
          <w:szCs w:val="18"/>
        </w:rPr>
        <w:t>6</w:t>
      </w:r>
      <w:r w:rsidR="001E1C3A">
        <w:rPr>
          <w:sz w:val="18"/>
          <w:szCs w:val="18"/>
        </w:rPr>
        <w:t xml:space="preserve"> des radiocommunications</w:t>
      </w:r>
      <w:r w:rsidR="006D7309">
        <w:rPr>
          <w:sz w:val="18"/>
          <w:szCs w:val="18"/>
        </w:rPr>
        <w:t xml:space="preserve"> </w:t>
      </w:r>
    </w:p>
    <w:p w:rsidR="00544F7F" w:rsidRDefault="00544F7F" w:rsidP="001057B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1057B4">
        <w:rPr>
          <w:sz w:val="18"/>
          <w:szCs w:val="18"/>
        </w:rPr>
        <w:t>6</w:t>
      </w:r>
      <w:r w:rsidRPr="00A46325">
        <w:rPr>
          <w:sz w:val="18"/>
          <w:szCs w:val="18"/>
        </w:rPr>
        <w:t xml:space="preserve"> des radiocommunications </w:t>
      </w:r>
    </w:p>
    <w:p w:rsidR="002E5122" w:rsidRPr="00A46325" w:rsidRDefault="002E5122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</w:r>
      <w:r w:rsidRPr="00FB6DA0">
        <w:rPr>
          <w:sz w:val="18"/>
          <w:szCs w:val="18"/>
        </w:rPr>
        <w:t>Établissements universitaires de l’UIT-R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CE7204">
      <w:pPr>
        <w:pStyle w:val="AnnexNotitle"/>
        <w:rPr>
          <w:lang w:val="fr-CH"/>
        </w:rPr>
      </w:pPr>
      <w:r>
        <w:br w:type="page"/>
      </w:r>
      <w:r w:rsidR="008D23D9">
        <w:lastRenderedPageBreak/>
        <w:t xml:space="preserve">Annexe </w:t>
      </w:r>
      <w:r w:rsidR="001057B4">
        <w:t>1</w:t>
      </w:r>
      <w:r>
        <w:br/>
      </w:r>
      <w:r>
        <w:br/>
      </w:r>
      <w:r w:rsidRPr="00C00D0A">
        <w:rPr>
          <w:lang w:val="fr-CH"/>
        </w:rPr>
        <w:t>Titre</w:t>
      </w:r>
      <w:r w:rsidR="0042686D">
        <w:rPr>
          <w:lang w:val="fr-CH"/>
        </w:rPr>
        <w:t>s</w:t>
      </w:r>
      <w:r w:rsidRPr="00C00D0A">
        <w:rPr>
          <w:lang w:val="fr-CH"/>
        </w:rPr>
        <w:t xml:space="preserve"> de</w:t>
      </w:r>
      <w:r w:rsidR="00CE7204">
        <w:rPr>
          <w:lang w:val="fr-CH"/>
        </w:rPr>
        <w:t>s</w:t>
      </w:r>
      <w:r w:rsidR="006A7916">
        <w:rPr>
          <w:lang w:val="fr-CH"/>
        </w:rPr>
        <w:t xml:space="preserve"> </w:t>
      </w:r>
      <w:r w:rsidRPr="00C00D0A">
        <w:rPr>
          <w:lang w:val="fr-CH"/>
        </w:rPr>
        <w:t>Recommandation</w:t>
      </w:r>
      <w:r w:rsidR="00CE7204">
        <w:rPr>
          <w:lang w:val="fr-CH"/>
        </w:rPr>
        <w:t>s</w:t>
      </w:r>
      <w:r w:rsidRPr="00C00D0A">
        <w:rPr>
          <w:lang w:val="fr-CH"/>
        </w:rPr>
        <w:t xml:space="preserve"> approuvée</w:t>
      </w:r>
      <w:r w:rsidR="00CE7204">
        <w:rPr>
          <w:lang w:val="fr-CH"/>
        </w:rPr>
        <w:t>s</w:t>
      </w:r>
    </w:p>
    <w:p w:rsidR="00544F7F" w:rsidRDefault="00544F7F" w:rsidP="00544F7F"/>
    <w:p w:rsidR="00544F7F" w:rsidRDefault="00544F7F" w:rsidP="00544F7F"/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</w:t>
      </w:r>
      <w:r>
        <w:rPr>
          <w:rFonts w:eastAsiaTheme="minorEastAsia"/>
          <w:u w:val="single"/>
          <w:lang w:val="fr-CH"/>
        </w:rPr>
        <w:t>1907</w:t>
      </w:r>
      <w:r w:rsidRPr="00775D3E">
        <w:rPr>
          <w:rFonts w:eastAsiaTheme="minorEastAsia"/>
          <w:lang w:val="fr-CH"/>
        </w:rPr>
        <w:tab/>
        <w:t>Doc. 6/385(Rév.1)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 w:rsidRPr="00775D3E">
        <w:rPr>
          <w:rFonts w:eastAsiaTheme="minorEastAsia"/>
          <w:b/>
          <w:sz w:val="28"/>
          <w:lang w:val="fr-CH"/>
        </w:rPr>
        <w:t xml:space="preserve">Techniques de mesure objective de la qualité vidéo perçue pour les applications de radiodiffusion utilisant la télévision haute définition </w:t>
      </w:r>
      <w:r w:rsidRPr="00775D3E">
        <w:rPr>
          <w:rFonts w:eastAsiaTheme="minorEastAsia"/>
          <w:b/>
          <w:sz w:val="28"/>
          <w:lang w:val="fr-CH"/>
        </w:rPr>
        <w:br/>
        <w:t>en présence d'un signal de référence complet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</w:t>
      </w:r>
      <w:r>
        <w:rPr>
          <w:rFonts w:eastAsiaTheme="minorEastAsia"/>
          <w:u w:val="single"/>
          <w:lang w:val="fr-CH"/>
        </w:rPr>
        <w:t>1908</w:t>
      </w:r>
      <w:r w:rsidRPr="00775D3E">
        <w:rPr>
          <w:rFonts w:eastAsiaTheme="minorEastAsia"/>
          <w:lang w:val="fr-CH"/>
        </w:rPr>
        <w:tab/>
        <w:t>Doc. 6/386(Rév.1)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 w:eastAsia="zh-CN"/>
        </w:rPr>
      </w:pPr>
      <w:r w:rsidRPr="00775D3E">
        <w:rPr>
          <w:rFonts w:eastAsiaTheme="minorEastAsia"/>
          <w:b/>
          <w:sz w:val="28"/>
          <w:lang w:val="fr-CH" w:eastAsia="zh-CN"/>
        </w:rPr>
        <w:t xml:space="preserve">Techniques de mesure objective de la qualité vidéo pour les applications </w:t>
      </w:r>
      <w:r w:rsidRPr="00775D3E">
        <w:rPr>
          <w:rFonts w:eastAsiaTheme="minorEastAsia"/>
          <w:b/>
          <w:sz w:val="28"/>
          <w:lang w:val="fr-CH" w:eastAsia="zh-CN"/>
        </w:rPr>
        <w:br/>
        <w:t xml:space="preserve">de radiodiffusion utilisant la télévision haute définition </w:t>
      </w:r>
      <w:r w:rsidRPr="00775D3E">
        <w:rPr>
          <w:rFonts w:ascii="Times New Roman Bold" w:eastAsiaTheme="minorEastAsia" w:hAnsi="Times New Roman Bold" w:cs="Times New Roman Bold"/>
          <w:b/>
          <w:sz w:val="28"/>
          <w:lang w:val="fr-CH"/>
        </w:rPr>
        <w:t xml:space="preserve">en </w:t>
      </w:r>
      <w:r w:rsidRPr="00775D3E">
        <w:rPr>
          <w:rFonts w:ascii="Times New Roman Bold" w:eastAsiaTheme="minorEastAsia" w:hAnsi="Times New Roman Bold" w:cs="Times New Roman Bold"/>
          <w:b/>
          <w:sz w:val="28"/>
          <w:lang w:val="fr-CH"/>
        </w:rPr>
        <w:br/>
        <w:t>présence d'un signal de référence réduit</w:t>
      </w:r>
    </w:p>
    <w:p w:rsidR="00CE7204" w:rsidRPr="00CE7204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CE7204">
        <w:rPr>
          <w:rFonts w:eastAsiaTheme="minorEastAsia"/>
          <w:u w:val="single"/>
          <w:lang w:val="fr-CH"/>
        </w:rPr>
        <w:t>Recommandation UIT-R BS.1</w:t>
      </w:r>
      <w:r>
        <w:rPr>
          <w:rFonts w:eastAsiaTheme="minorEastAsia"/>
          <w:u w:val="single"/>
          <w:lang w:val="fr-CH"/>
        </w:rPr>
        <w:t>909</w:t>
      </w:r>
      <w:r w:rsidRPr="00CE7204">
        <w:rPr>
          <w:rFonts w:eastAsiaTheme="minorEastAsia"/>
          <w:lang w:val="fr-CH"/>
        </w:rPr>
        <w:tab/>
        <w:t>Doc. 6/390(Rév.1)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 w:eastAsia="zh-CN"/>
        </w:rPr>
      </w:pPr>
      <w:r w:rsidRPr="00775D3E">
        <w:rPr>
          <w:rFonts w:eastAsiaTheme="minorEastAsia"/>
          <w:b/>
          <w:sz w:val="28"/>
          <w:lang w:val="fr-CH"/>
        </w:rPr>
        <w:t>Qualité de fonctionnement requise d'un système sonore stéréophonique multicanal évolué</w:t>
      </w:r>
      <w:r w:rsidRPr="00775D3E">
        <w:rPr>
          <w:rFonts w:eastAsiaTheme="minorEastAsia"/>
          <w:b/>
          <w:sz w:val="28"/>
          <w:lang w:val="fr-CH" w:eastAsia="zh-CN"/>
        </w:rPr>
        <w:t xml:space="preserve"> destiné à être utilisé </w:t>
      </w:r>
      <w:r w:rsidRPr="00775D3E">
        <w:rPr>
          <w:rFonts w:eastAsiaTheme="minorEastAsia"/>
          <w:b/>
          <w:sz w:val="28"/>
          <w:lang w:val="fr-CH"/>
        </w:rPr>
        <w:t>avec ou sans</w:t>
      </w:r>
      <w:r w:rsidRPr="00775D3E">
        <w:rPr>
          <w:rFonts w:eastAsiaTheme="minorEastAsia"/>
          <w:b/>
          <w:sz w:val="28"/>
          <w:lang w:val="fr-CH"/>
        </w:rPr>
        <w:br/>
        <w:t>image d'accompagnement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</w:t>
      </w:r>
      <w:r>
        <w:rPr>
          <w:rFonts w:eastAsiaTheme="minorEastAsia"/>
          <w:u w:val="single"/>
          <w:lang w:val="fr-CH"/>
        </w:rPr>
        <w:t>2000</w:t>
      </w:r>
      <w:r w:rsidRPr="00775D3E">
        <w:rPr>
          <w:rFonts w:eastAsiaTheme="minorEastAsia"/>
          <w:lang w:val="fr-CH"/>
        </w:rPr>
        <w:tab/>
        <w:t>Doc. 6/410(Rév.1)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 w:rsidRPr="00775D3E">
        <w:rPr>
          <w:rFonts w:eastAsiaTheme="minorEastAsia" w:hint="eastAsia"/>
          <w:b/>
          <w:sz w:val="28"/>
          <w:lang w:val="fr-CH"/>
        </w:rPr>
        <w:t>U</w:t>
      </w:r>
      <w:r w:rsidRPr="00775D3E">
        <w:rPr>
          <w:rFonts w:eastAsiaTheme="minorEastAsia"/>
          <w:b/>
          <w:sz w:val="28"/>
          <w:lang w:val="fr-CH"/>
        </w:rPr>
        <w:t>tilisation des Recommandations relatives à l'imagerie LSDI pour les applications des systèmes d'information vidéo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BT.500-1</w:t>
      </w:r>
      <w:r>
        <w:rPr>
          <w:rFonts w:eastAsiaTheme="minorEastAsia"/>
          <w:u w:val="single"/>
          <w:lang w:val="fr-CH"/>
        </w:rPr>
        <w:t>3</w:t>
      </w:r>
      <w:r w:rsidRPr="00775D3E">
        <w:rPr>
          <w:rFonts w:eastAsiaTheme="minorEastAsia"/>
          <w:lang w:val="fr-CH"/>
        </w:rPr>
        <w:tab/>
        <w:t>Doc. 6/388(Rév.1)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 w:rsidRPr="00775D3E">
        <w:rPr>
          <w:rFonts w:eastAsiaTheme="minorEastAsia"/>
          <w:b/>
          <w:sz w:val="28"/>
        </w:rPr>
        <w:t>Méthodologie d'évaluation subjective de la qualité des images de télévision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BT.1210-</w:t>
      </w:r>
      <w:r>
        <w:rPr>
          <w:rFonts w:eastAsiaTheme="minorEastAsia"/>
          <w:u w:val="single"/>
          <w:lang w:val="fr-CH"/>
        </w:rPr>
        <w:t>4</w:t>
      </w:r>
      <w:r w:rsidRPr="00775D3E">
        <w:rPr>
          <w:rFonts w:eastAsiaTheme="minorEastAsia"/>
          <w:lang w:val="fr-CH"/>
        </w:rPr>
        <w:tab/>
        <w:t>Doc. 6/389(Rév.1)</w:t>
      </w:r>
    </w:p>
    <w:p w:rsidR="004966A1" w:rsidRDefault="004966A1" w:rsidP="004966A1">
      <w:pPr>
        <w:keepNext/>
        <w:keepLines/>
        <w:spacing w:before="360"/>
        <w:jc w:val="center"/>
        <w:rPr>
          <w:rFonts w:eastAsiaTheme="minorEastAsia"/>
          <w:b/>
          <w:sz w:val="28"/>
        </w:rPr>
      </w:pPr>
      <w:r w:rsidRPr="000736B2">
        <w:rPr>
          <w:rFonts w:eastAsiaTheme="minorEastAsia"/>
          <w:b/>
          <w:sz w:val="28"/>
        </w:rPr>
        <w:t>Images d</w:t>
      </w:r>
      <w:r>
        <w:rPr>
          <w:rFonts w:eastAsiaTheme="minorEastAsia"/>
          <w:b/>
          <w:sz w:val="28"/>
        </w:rPr>
        <w:t>'</w:t>
      </w:r>
      <w:r w:rsidRPr="000736B2">
        <w:rPr>
          <w:rFonts w:eastAsiaTheme="minorEastAsia"/>
          <w:b/>
          <w:sz w:val="28"/>
        </w:rPr>
        <w:t>essai à utiliser pour l</w:t>
      </w:r>
      <w:r>
        <w:rPr>
          <w:rFonts w:eastAsiaTheme="minorEastAsia"/>
          <w:b/>
          <w:sz w:val="28"/>
        </w:rPr>
        <w:t>'</w:t>
      </w:r>
      <w:r w:rsidRPr="000736B2">
        <w:rPr>
          <w:rFonts w:eastAsiaTheme="minorEastAsia"/>
          <w:b/>
          <w:sz w:val="28"/>
        </w:rPr>
        <w:t>évaluation de</w:t>
      </w:r>
      <w:r>
        <w:rPr>
          <w:rFonts w:eastAsiaTheme="minorEastAsia"/>
          <w:b/>
          <w:sz w:val="28"/>
        </w:rPr>
        <w:t xml:space="preserve"> la qualité des images</w:t>
      </w:r>
    </w:p>
    <w:p w:rsidR="00CE7204" w:rsidRPr="00775D3E" w:rsidRDefault="00F03770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>
        <w:rPr>
          <w:rFonts w:eastAsiaTheme="minorEastAsia"/>
          <w:u w:val="single"/>
          <w:lang w:val="fr-CH"/>
        </w:rPr>
        <w:br w:type="column"/>
      </w:r>
      <w:r w:rsidR="00CE7204" w:rsidRPr="00775D3E">
        <w:rPr>
          <w:rFonts w:eastAsiaTheme="minorEastAsia"/>
          <w:u w:val="single"/>
          <w:lang w:val="fr-CH"/>
        </w:rPr>
        <w:t>Recommandation UIT-R BS.1771</w:t>
      </w:r>
      <w:r w:rsidR="00CE7204">
        <w:rPr>
          <w:rFonts w:eastAsiaTheme="minorEastAsia"/>
          <w:u w:val="single"/>
          <w:lang w:val="fr-CH"/>
        </w:rPr>
        <w:t>-1</w:t>
      </w:r>
      <w:r w:rsidR="00CE7204" w:rsidRPr="00775D3E">
        <w:rPr>
          <w:rFonts w:eastAsiaTheme="minorEastAsia"/>
          <w:lang w:val="fr-CH"/>
        </w:rPr>
        <w:tab/>
        <w:t>Doc. 6/391(Rév.1)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 w:rsidRPr="00775D3E">
        <w:rPr>
          <w:rFonts w:eastAsiaTheme="minorEastAsia"/>
          <w:b/>
          <w:sz w:val="28"/>
        </w:rPr>
        <w:t xml:space="preserve">Spécifications des appareils de mesure indiquant l'intensité sonore </w:t>
      </w:r>
      <w:r w:rsidRPr="00775D3E">
        <w:rPr>
          <w:rFonts w:eastAsiaTheme="minorEastAsia"/>
          <w:b/>
          <w:sz w:val="28"/>
        </w:rPr>
        <w:br/>
        <w:t>et les niveaux de crête vrais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  <w:lang w:val="fr-CH"/>
        </w:rPr>
      </w:pPr>
      <w:r w:rsidRPr="00775D3E">
        <w:rPr>
          <w:rFonts w:eastAsiaTheme="minorEastAsia"/>
          <w:u w:val="single"/>
          <w:lang w:val="fr-CH"/>
        </w:rPr>
        <w:t>Recommandation UIT-R BT.1614</w:t>
      </w:r>
      <w:r>
        <w:rPr>
          <w:rFonts w:eastAsiaTheme="minorEastAsia"/>
          <w:u w:val="single"/>
          <w:lang w:val="fr-CH"/>
        </w:rPr>
        <w:t>-1</w:t>
      </w:r>
      <w:r w:rsidRPr="00775D3E">
        <w:rPr>
          <w:rFonts w:eastAsiaTheme="minorEastAsia"/>
          <w:lang w:val="fr-CH"/>
        </w:rPr>
        <w:tab/>
        <w:t>Doc. 6/408(Rév.1)</w:t>
      </w:r>
    </w:p>
    <w:p w:rsidR="00CE7204" w:rsidRPr="00775D3E" w:rsidRDefault="004966A1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>
        <w:rPr>
          <w:rFonts w:eastAsiaTheme="minorEastAsia"/>
          <w:b/>
          <w:sz w:val="28"/>
          <w:lang w:val="fr-CH"/>
        </w:rPr>
        <w:t>Structure des données d'</w:t>
      </w:r>
      <w:r w:rsidRPr="000736B2">
        <w:rPr>
          <w:rFonts w:eastAsiaTheme="minorEastAsia"/>
          <w:b/>
          <w:sz w:val="28"/>
          <w:lang w:val="fr-CH"/>
        </w:rPr>
        <w:t xml:space="preserve">identification de la charge utile pour </w:t>
      </w:r>
      <w:r>
        <w:rPr>
          <w:rFonts w:eastAsiaTheme="minorEastAsia"/>
          <w:b/>
          <w:sz w:val="28"/>
          <w:lang w:val="fr-CH"/>
        </w:rPr>
        <w:br/>
        <w:t xml:space="preserve">les </w:t>
      </w:r>
      <w:r w:rsidRPr="000736B2">
        <w:rPr>
          <w:rFonts w:eastAsiaTheme="minorEastAsia"/>
          <w:b/>
          <w:sz w:val="28"/>
          <w:lang w:val="fr-CH"/>
        </w:rPr>
        <w:t>interfaces de télévision numérique</w:t>
      </w:r>
    </w:p>
    <w:p w:rsidR="00CE7204" w:rsidRPr="00775D3E" w:rsidRDefault="00CE7204" w:rsidP="00CE7204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360"/>
        <w:rPr>
          <w:rFonts w:eastAsiaTheme="minorEastAsia"/>
        </w:rPr>
      </w:pPr>
      <w:r w:rsidRPr="00775D3E">
        <w:rPr>
          <w:rFonts w:eastAsiaTheme="minorEastAsia"/>
          <w:u w:val="single"/>
          <w:lang w:val="fr-CH"/>
        </w:rPr>
        <w:t xml:space="preserve">Recommandation UIT-R </w:t>
      </w:r>
      <w:r w:rsidRPr="00775D3E">
        <w:rPr>
          <w:rFonts w:eastAsiaTheme="minorEastAsia"/>
          <w:u w:val="single"/>
        </w:rPr>
        <w:t>BT.1120-</w:t>
      </w:r>
      <w:r>
        <w:rPr>
          <w:rFonts w:eastAsiaTheme="minorEastAsia"/>
          <w:u w:val="single"/>
        </w:rPr>
        <w:t>8</w:t>
      </w:r>
      <w:r w:rsidRPr="00775D3E">
        <w:rPr>
          <w:rFonts w:ascii="Times New Roman Bold" w:eastAsiaTheme="minorEastAsia" w:hAnsi="Times New Roman Bold"/>
          <w:b/>
          <w:bCs/>
          <w:sz w:val="28"/>
          <w:szCs w:val="24"/>
          <w:lang w:val="fr-CH"/>
        </w:rPr>
        <w:tab/>
      </w:r>
      <w:r w:rsidRPr="00775D3E">
        <w:rPr>
          <w:rFonts w:eastAsiaTheme="minorEastAsia"/>
        </w:rPr>
        <w:t>Doc. 6/416(Rév.1)</w:t>
      </w:r>
    </w:p>
    <w:p w:rsidR="00CE7204" w:rsidRPr="00775D3E" w:rsidRDefault="00CE7204" w:rsidP="00CE7204">
      <w:pPr>
        <w:keepNext/>
        <w:keepLines/>
        <w:spacing w:before="360"/>
        <w:jc w:val="center"/>
        <w:rPr>
          <w:rFonts w:eastAsiaTheme="minorEastAsia"/>
          <w:b/>
          <w:sz w:val="28"/>
          <w:lang w:val="fr-CH"/>
        </w:rPr>
      </w:pPr>
      <w:r w:rsidRPr="00775D3E">
        <w:rPr>
          <w:rFonts w:eastAsiaTheme="minorEastAsia"/>
          <w:b/>
          <w:sz w:val="28"/>
          <w:lang w:val="fr-CH"/>
        </w:rPr>
        <w:t>Interfaces numériques pour les signaux de TVHD en studio</w:t>
      </w:r>
    </w:p>
    <w:p w:rsidR="00865276" w:rsidRDefault="00865276" w:rsidP="00865276">
      <w:pPr>
        <w:rPr>
          <w:lang w:val="fr-CH"/>
        </w:rPr>
      </w:pPr>
    </w:p>
    <w:p w:rsidR="001057B4" w:rsidRDefault="00CE7204" w:rsidP="00544F7F">
      <w:pPr>
        <w:rPr>
          <w:lang w:val="fr-CH"/>
        </w:rPr>
      </w:pPr>
      <w:r>
        <w:rPr>
          <w:lang w:val="fr-CH"/>
        </w:rPr>
        <w:br w:type="column"/>
      </w:r>
    </w:p>
    <w:p w:rsidR="001057B4" w:rsidRDefault="001057B4" w:rsidP="001057B4">
      <w:pPr>
        <w:pStyle w:val="AnnexNotitle"/>
        <w:rPr>
          <w:lang w:val="fr-CH"/>
        </w:rPr>
      </w:pPr>
      <w:r>
        <w:t>Annexe 2</w:t>
      </w:r>
      <w:r>
        <w:br/>
      </w:r>
      <w:r>
        <w:br/>
      </w:r>
      <w:r>
        <w:rPr>
          <w:lang w:val="fr-CH"/>
        </w:rPr>
        <w:t>Liste des Recommandations supprimées</w:t>
      </w:r>
    </w:p>
    <w:p w:rsidR="00CE7204" w:rsidRDefault="00CE7204" w:rsidP="00CE7204"/>
    <w:tbl>
      <w:tblPr>
        <w:tblW w:w="9463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789"/>
        <w:gridCol w:w="9"/>
        <w:gridCol w:w="6653"/>
      </w:tblGrid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Recomm</w:t>
            </w:r>
            <w:r>
              <w:rPr>
                <w:rFonts w:asciiTheme="majorBidi" w:hAnsiTheme="majorBidi" w:cstheme="majorBidi"/>
                <w:sz w:val="20"/>
              </w:rPr>
              <w:t>a</w:t>
            </w:r>
            <w:r w:rsidRPr="00F602B8">
              <w:rPr>
                <w:rFonts w:asciiTheme="majorBidi" w:hAnsiTheme="majorBidi" w:cstheme="majorBidi"/>
                <w:sz w:val="20"/>
              </w:rPr>
              <w:t>ndation</w:t>
            </w:r>
            <w:r w:rsidRPr="00F602B8">
              <w:rPr>
                <w:rFonts w:asciiTheme="majorBidi" w:hAnsiTheme="majorBidi" w:cstheme="majorBidi"/>
                <w:sz w:val="20"/>
              </w:rPr>
              <w:br/>
            </w:r>
            <w:r>
              <w:rPr>
                <w:rFonts w:asciiTheme="majorBidi" w:hAnsiTheme="majorBidi" w:cstheme="majorBidi"/>
                <w:sz w:val="20"/>
              </w:rPr>
              <w:t>UIT</w:t>
            </w:r>
            <w:r w:rsidRPr="00F602B8">
              <w:rPr>
                <w:rFonts w:asciiTheme="majorBidi" w:hAnsiTheme="majorBidi" w:cstheme="majorBidi"/>
                <w:sz w:val="20"/>
              </w:rPr>
              <w:t>-R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bCs/>
                <w:sz w:val="20"/>
              </w:rPr>
              <w:t>Tit</w:t>
            </w:r>
            <w:r>
              <w:rPr>
                <w:rFonts w:asciiTheme="majorBidi" w:hAnsiTheme="majorBidi" w:cstheme="majorBidi"/>
                <w:bCs/>
                <w:sz w:val="20"/>
              </w:rPr>
              <w:t>re</w:t>
            </w:r>
          </w:p>
        </w:tc>
      </w:tr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BR.408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>
              <w:rPr>
                <w:rFonts w:asciiTheme="majorBidi" w:hAnsiTheme="majorBidi" w:cstheme="majorBidi"/>
                <w:sz w:val="20"/>
                <w:lang w:val="fr-CH"/>
              </w:rPr>
              <w:t>E</w:t>
            </w: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change international de programmes de radiodiffusion sonore enregistrés sous forme analogique</w:t>
            </w:r>
          </w:p>
        </w:tc>
      </w:tr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BR.469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Enregistrement sur bande magnétique de la télévision analogique composite</w:t>
            </w:r>
          </w:p>
        </w:tc>
      </w:tr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BR.602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Echange d'enregistrements de télévision à définition normale pour l'évaluation du contenu des programmes</w:t>
            </w:r>
          </w:p>
        </w:tc>
      </w:tr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BR.649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Méthodes de mesure applicables aux enregistrements sonores analogiques sur bandes magnétiques</w:t>
            </w:r>
          </w:p>
        </w:tc>
      </w:tr>
      <w:tr w:rsidR="00CE7204" w:rsidRPr="00F602B8" w:rsidTr="00DA0DFD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BR.715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Echange international d'enregistrements analogiques de reportages électroniques d'actualités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BR.777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Echange international d'enregistrements audionumériques à deux voies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BR.778</w:t>
            </w:r>
          </w:p>
        </w:tc>
        <w:tc>
          <w:tcPr>
            <w:tcW w:w="6653" w:type="dxa"/>
          </w:tcPr>
          <w:p w:rsidR="00CE7204" w:rsidRPr="00523C93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Enregistrement sur bande de signaux de télévision en composantes analogiques. Normes pour l'échange international de programmes de télévision sur bande magnétique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BR.1215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Gestion et archivage de bandes magnétiques enregistrées (son et télévision)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BR.1216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sz w:val="20"/>
                <w:lang w:val="fr-CH"/>
              </w:rPr>
              <w:t>Enregistrement sur bande magnétique de programmes télévisuels ou radiophoniques lorsque plusieurs programmes sont destinés à être diffusés dans le même multiplex numérique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BR.1218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Enregistrement de données auxiliaires sur les magnétoscopes numériques grand public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BR.1219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Manipulation et stockage des enregistrements sur film cinématographique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BR.1220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Conditions de production, d'enregistrement et de présentation des programmes de télévision à haute définition destinés au «cinéma électronique»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BR.1287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Radiodiffusion de programmes sur film comportant un son multivoies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BR.1290</w:t>
            </w:r>
          </w:p>
        </w:tc>
        <w:tc>
          <w:tcPr>
            <w:tcW w:w="6653" w:type="dxa"/>
          </w:tcPr>
          <w:p w:rsidR="00CE7204" w:rsidRPr="00F602B8" w:rsidDel="008C6CA4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Utilisation d'enregistrements sur vidéodisque en radiodiffusion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Del="008C6CA4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BR.1292</w:t>
            </w:r>
          </w:p>
        </w:tc>
        <w:tc>
          <w:tcPr>
            <w:tcW w:w="6653" w:type="dxa"/>
          </w:tcPr>
          <w:p w:rsidR="00CE7204" w:rsidRPr="00F602B8" w:rsidDel="008C6CA4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u w:val="single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Directives techniques pour l'enregistrement vidéo dans les chaînes de production et de post-production de télévision de définition conventionnelle</w:t>
            </w:r>
          </w:p>
        </w:tc>
      </w:tr>
      <w:tr w:rsidR="00CE7204" w:rsidRPr="00F602B8" w:rsidTr="00DA0DFD">
        <w:trPr>
          <w:jc w:val="center"/>
        </w:trPr>
        <w:tc>
          <w:tcPr>
            <w:tcW w:w="2810" w:type="dxa"/>
            <w:gridSpan w:val="3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BR.1355</w:t>
            </w:r>
          </w:p>
        </w:tc>
        <w:tc>
          <w:tcPr>
            <w:tcW w:w="6653" w:type="dxa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Conditions d'observation pour l'évaluation du transfert d'images de film, par télécinéma, sur un moniteur de télévision</w:t>
            </w:r>
          </w:p>
        </w:tc>
      </w:tr>
      <w:tr w:rsidR="00CE7204" w:rsidRPr="00F602B8" w:rsidTr="00DA0DFD">
        <w:trPr>
          <w:jc w:val="center"/>
        </w:trPr>
        <w:tc>
          <w:tcPr>
            <w:tcW w:w="2801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BR.1376</w:t>
            </w:r>
          </w:p>
        </w:tc>
        <w:tc>
          <w:tcPr>
            <w:tcW w:w="6662" w:type="dxa"/>
            <w:gridSpan w:val="2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Familles de systèmes de compression pour l'enregistrement et la production de télévision à définition conventionnelle en réseau</w:t>
            </w:r>
          </w:p>
        </w:tc>
      </w:tr>
      <w:tr w:rsidR="00CE7204" w:rsidRPr="00F602B8" w:rsidTr="00DA0DFD">
        <w:trPr>
          <w:jc w:val="center"/>
        </w:trPr>
        <w:tc>
          <w:tcPr>
            <w:tcW w:w="2801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BR.1422</w:t>
            </w:r>
          </w:p>
        </w:tc>
        <w:tc>
          <w:tcPr>
            <w:tcW w:w="6662" w:type="dxa"/>
            <w:gridSpan w:val="2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Méthodes d'exploitation relatives à l'utilisation en télévision de pistes sonores de films codées avec réduction du bruit et ambiophonie matricielle</w:t>
            </w:r>
          </w:p>
        </w:tc>
      </w:tr>
      <w:tr w:rsidR="00CE7204" w:rsidRPr="00F602B8" w:rsidTr="00DA0DFD">
        <w:trPr>
          <w:jc w:val="center"/>
        </w:trPr>
        <w:tc>
          <w:tcPr>
            <w:tcW w:w="2801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BR.1440</w:t>
            </w:r>
          </w:p>
        </w:tc>
        <w:tc>
          <w:tcPr>
            <w:tcW w:w="6662" w:type="dxa"/>
            <w:gridSpan w:val="2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Transfert d'images vidéo en 16:9 sur film 35 mm pour la projection optique</w:t>
            </w:r>
          </w:p>
        </w:tc>
      </w:tr>
      <w:tr w:rsidR="00CE7204" w:rsidRPr="00F602B8" w:rsidTr="00DA0DFD">
        <w:trPr>
          <w:jc w:val="center"/>
        </w:trPr>
        <w:tc>
          <w:tcPr>
            <w:tcW w:w="2801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BR.1442</w:t>
            </w:r>
          </w:p>
        </w:tc>
        <w:tc>
          <w:tcPr>
            <w:tcW w:w="6662" w:type="dxa"/>
            <w:gridSpan w:val="2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Besoins des utilisateurs en matière de magnétoscopes numériques à cassette de TVHD numérique</w:t>
            </w:r>
          </w:p>
        </w:tc>
      </w:tr>
      <w:tr w:rsidR="00CE7204" w:rsidRPr="00F602B8" w:rsidTr="00DA0DF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801" w:type="dxa"/>
            <w:gridSpan w:val="2"/>
          </w:tcPr>
          <w:p w:rsidR="00CE7204" w:rsidRPr="00F602B8" w:rsidRDefault="00CE7204" w:rsidP="00DA0DFD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F602B8">
              <w:rPr>
                <w:rFonts w:asciiTheme="majorBidi" w:hAnsiTheme="majorBidi" w:cstheme="majorBidi"/>
                <w:sz w:val="20"/>
              </w:rPr>
              <w:t>BR.1575</w:t>
            </w:r>
          </w:p>
        </w:tc>
        <w:tc>
          <w:tcPr>
            <w:tcW w:w="6662" w:type="dxa"/>
            <w:gridSpan w:val="2"/>
          </w:tcPr>
          <w:p w:rsidR="00CE7204" w:rsidRPr="00F602B8" w:rsidRDefault="00CE7204" w:rsidP="00DA0DFD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F602B8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Guide pour le choix de formats d'enregistrement sur magnétoscope numérique pour la production en studio dans l'environnement de télévision à définition normale (TVDN) compte tenu des besoins de la production</w:t>
            </w:r>
          </w:p>
        </w:tc>
      </w:tr>
    </w:tbl>
    <w:p w:rsidR="00CE7204" w:rsidRPr="00523C93" w:rsidRDefault="00CE7204" w:rsidP="00CE7204">
      <w:pPr>
        <w:keepNext/>
        <w:keepLines/>
        <w:spacing w:before="240"/>
        <w:ind w:left="794" w:hanging="794"/>
        <w:outlineLvl w:val="1"/>
        <w:rPr>
          <w:b/>
          <w:lang w:val="fr-CH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663"/>
      </w:tblGrid>
      <w:tr w:rsidR="00CE7204" w:rsidRPr="009A68B0" w:rsidTr="00DA0DFD">
        <w:trPr>
          <w:jc w:val="center"/>
        </w:trPr>
        <w:tc>
          <w:tcPr>
            <w:tcW w:w="2800" w:type="dxa"/>
            <w:tcBorders>
              <w:top w:val="single" w:sz="4" w:space="0" w:color="000000"/>
            </w:tcBorders>
          </w:tcPr>
          <w:p w:rsidR="00CE7204" w:rsidRPr="00775D3E" w:rsidRDefault="00CE7204" w:rsidP="00DA0DF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775D3E">
              <w:rPr>
                <w:rFonts w:asciiTheme="majorBidi" w:hAnsiTheme="majorBidi" w:cstheme="majorBidi"/>
                <w:b/>
                <w:bCs/>
                <w:sz w:val="20"/>
              </w:rPr>
              <w:t>Recommandation</w:t>
            </w:r>
            <w:r w:rsidRPr="00775D3E">
              <w:rPr>
                <w:rFonts w:asciiTheme="majorBidi" w:hAnsiTheme="majorBidi" w:cstheme="majorBidi"/>
                <w:b/>
                <w:bCs/>
                <w:sz w:val="20"/>
              </w:rPr>
              <w:br/>
              <w:t>UIT-R</w:t>
            </w:r>
          </w:p>
        </w:tc>
        <w:tc>
          <w:tcPr>
            <w:tcW w:w="6663" w:type="dxa"/>
            <w:tcBorders>
              <w:top w:val="single" w:sz="4" w:space="0" w:color="000000"/>
            </w:tcBorders>
          </w:tcPr>
          <w:p w:rsidR="00CE7204" w:rsidRPr="009A68B0" w:rsidRDefault="00CE7204" w:rsidP="00DA0DF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9A68B0">
              <w:rPr>
                <w:rFonts w:asciiTheme="majorBidi" w:hAnsiTheme="majorBidi" w:cstheme="majorBidi"/>
                <w:b/>
                <w:sz w:val="20"/>
                <w:lang w:val="en-GB"/>
              </w:rPr>
              <w:t>Titre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BS.640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sz w:val="20"/>
              </w:rPr>
              <w:t>Système à bande latérale unique (BLU) en radiodiffusion à ondes décamétriques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BS.773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sz w:val="20"/>
              </w:rPr>
              <w:t>Rapports de protection RF nécessaires pour la radiodiffusion sonore MF dans la bande 87,5 à 108 MHz, relatifs aux brouillages dus aux émissions de télévision D/SECAM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BT.266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Précorrection de phase des émetteurs de télévision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BT.565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Rapports de protection de la télévision à 625 lignes contre les émetteurs de radionavigation fonctionnant dans les bandes partagées entre 582 et 606 MHz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BT.796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Caractéristiques des systèmes de codage améliorés compatibles fondés sur les systèmes de télévision PAL et SECAM 625 lignes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BT.797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Caractéristiques des systèmes de télévision améliorée de format 4:3 compatibles avec le NTSC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BT.804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Caractéristiques des récepteurs de télévision essentielles pour la planification des fréquences avec les systèmes de télévision PAL/SECAM/NTSC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BT.806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Gabarit de canal commun pour la distribution des signaux D-MAC, D2-MAC et HD-MAC sur les systèmes d'antennes collectives et de distribution par câble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BT.1202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Écrans pour les futurs systèmes de télévision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BT.1204</w:t>
            </w:r>
          </w:p>
        </w:tc>
        <w:tc>
          <w:tcPr>
            <w:tcW w:w="6663" w:type="dxa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color w:val="000000"/>
                <w:sz w:val="20"/>
                <w:lang w:val="fr-CH" w:eastAsia="zh-CN"/>
              </w:rPr>
              <w:t>Méthodes de mesure pour des équipements vidéo numériques entrée/sortie analogiques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BT.1118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sz w:val="20"/>
              </w:rPr>
              <w:t>Télévision compatible améliorée à écran large utilisant des systèmes de télévision classiques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BT.1123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sz w:val="20"/>
              </w:rPr>
              <w:t>Méthodes de planification pour la télévision de terre (systèmes à 625 lignes) dans les bandes métriques et décimétriques</w:t>
            </w:r>
          </w:p>
        </w:tc>
      </w:tr>
      <w:tr w:rsidR="00CE7204" w:rsidRPr="009A68B0" w:rsidTr="00DA0DF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9A68B0">
              <w:rPr>
                <w:sz w:val="20"/>
                <w:lang w:val="en-GB"/>
              </w:rPr>
              <w:t>BT.1298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04" w:rsidRPr="009A68B0" w:rsidRDefault="00CE7204" w:rsidP="00DA0DF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fr-CH"/>
              </w:rPr>
            </w:pPr>
            <w:r w:rsidRPr="009A68B0">
              <w:rPr>
                <w:rFonts w:asciiTheme="majorBidi" w:hAnsiTheme="majorBidi" w:cstheme="majorBidi"/>
                <w:sz w:val="20"/>
              </w:rPr>
              <w:t>Système NTSC de transmission de télévision améliorée à écran large</w:t>
            </w:r>
          </w:p>
        </w:tc>
      </w:tr>
    </w:tbl>
    <w:p w:rsidR="00CE7204" w:rsidRDefault="00CE7204" w:rsidP="00CE7204"/>
    <w:p w:rsidR="00CE7204" w:rsidRDefault="00CE7204" w:rsidP="00CE7204"/>
    <w:p w:rsidR="00CE7204" w:rsidRDefault="00CE7204" w:rsidP="00CE7204">
      <w:pPr>
        <w:jc w:val="center"/>
      </w:pPr>
      <w:r>
        <w:t>______________</w:t>
      </w:r>
    </w:p>
    <w:p w:rsidR="00CE7204" w:rsidRPr="000B146F" w:rsidRDefault="00CE7204" w:rsidP="00CE7204">
      <w:pPr>
        <w:rPr>
          <w:lang w:val="fr-CH"/>
        </w:rPr>
      </w:pPr>
    </w:p>
    <w:p w:rsidR="00AF448B" w:rsidRPr="00AF448B" w:rsidRDefault="00AF448B" w:rsidP="00CE7204"/>
    <w:sectPr w:rsidR="00AF448B" w:rsidRPr="00AF448B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94" w:rsidRDefault="00E93794">
      <w:r>
        <w:separator/>
      </w:r>
    </w:p>
  </w:endnote>
  <w:endnote w:type="continuationSeparator" w:id="0">
    <w:p w:rsidR="00E93794" w:rsidRDefault="00E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Default="007F41D3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7F41D3">
      <w:rPr>
        <w:noProof/>
        <w:lang w:val="en-US"/>
      </w:rPr>
      <w:t>Y</w:t>
    </w:r>
    <w:r>
      <w:rPr>
        <w:noProof/>
      </w:rPr>
      <w:t>:\APP\BR\CIRCS_DMS\CACE\500\558\558F.docx</w:t>
    </w:r>
    <w:r>
      <w:rPr>
        <w:noProof/>
      </w:rPr>
      <w:fldChar w:fldCharType="end"/>
    </w:r>
    <w:r w:rsidR="00E93794">
      <w:rPr>
        <w:lang w:val="en-US"/>
      </w:rPr>
      <w:tab/>
    </w:r>
    <w:r w:rsidR="00C77839">
      <w:fldChar w:fldCharType="begin"/>
    </w:r>
    <w:r w:rsidR="00E93794">
      <w:instrText xml:space="preserve"> savedate \@ dd.MM.yy </w:instrText>
    </w:r>
    <w:r w:rsidR="00C77839">
      <w:fldChar w:fldCharType="separate"/>
    </w:r>
    <w:r>
      <w:rPr>
        <w:noProof/>
      </w:rPr>
      <w:t>07.02.12</w:t>
    </w:r>
    <w:r w:rsidR="00C77839">
      <w:fldChar w:fldCharType="end"/>
    </w:r>
    <w:r w:rsidR="00E93794">
      <w:rPr>
        <w:lang w:val="en-US"/>
      </w:rPr>
      <w:tab/>
    </w:r>
    <w:r w:rsidR="00C77839">
      <w:fldChar w:fldCharType="begin"/>
    </w:r>
    <w:r w:rsidR="00E93794">
      <w:instrText xml:space="preserve"> printdate \@ dd.MM.yy </w:instrText>
    </w:r>
    <w:r w:rsidR="00C77839">
      <w:fldChar w:fldCharType="separate"/>
    </w:r>
    <w:r>
      <w:rPr>
        <w:noProof/>
      </w:rPr>
      <w:t>07.02.12</w:t>
    </w:r>
    <w:r w:rsidR="00C7783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Pr="00F60AC2" w:rsidRDefault="007F41D3" w:rsidP="00CC7631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7F41D3">
      <w:rPr>
        <w:lang w:val="en-US"/>
      </w:rPr>
      <w:t>Y:\APP\BR\CIRCS_DMS\CACE\500\558\558F.docx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9379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93794">
      <w:trPr>
        <w:cantSplit/>
      </w:trPr>
      <w:tc>
        <w:tcPr>
          <w:tcW w:w="1062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93794">
      <w:trPr>
        <w:cantSplit/>
      </w:trPr>
      <w:tc>
        <w:tcPr>
          <w:tcW w:w="1062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93794" w:rsidRDefault="00E9379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93794" w:rsidRDefault="00E93794">
          <w:pPr>
            <w:pStyle w:val="itu"/>
            <w:rPr>
              <w:lang w:val="fr-FR"/>
            </w:rPr>
          </w:pPr>
        </w:p>
      </w:tc>
    </w:tr>
  </w:tbl>
  <w:p w:rsidR="00E93794" w:rsidRPr="005D648B" w:rsidRDefault="00E93794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94" w:rsidRDefault="00E93794">
      <w:r>
        <w:t>____________________</w:t>
      </w:r>
    </w:p>
  </w:footnote>
  <w:footnote w:type="continuationSeparator" w:id="0">
    <w:p w:rsidR="00E93794" w:rsidRDefault="00E9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Pr="008C5D1D" w:rsidRDefault="00E93794" w:rsidP="00544F7F">
    <w:pPr>
      <w:pStyle w:val="Header"/>
      <w:rPr>
        <w:lang w:val="en-US"/>
      </w:rPr>
    </w:pPr>
    <w:r>
      <w:rPr>
        <w:lang w:val="en-US"/>
      </w:rPr>
      <w:t xml:space="preserve">- </w:t>
    </w:r>
    <w:r w:rsidR="00C7783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7839">
      <w:rPr>
        <w:rStyle w:val="PageNumber"/>
      </w:rPr>
      <w:fldChar w:fldCharType="separate"/>
    </w:r>
    <w:r w:rsidR="007F41D3">
      <w:rPr>
        <w:rStyle w:val="PageNumber"/>
        <w:noProof/>
      </w:rPr>
      <w:t>5</w:t>
    </w:r>
    <w:r w:rsidR="00C77839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44F7F"/>
    <w:rsid w:val="000217B7"/>
    <w:rsid w:val="00073B31"/>
    <w:rsid w:val="00096406"/>
    <w:rsid w:val="000B736F"/>
    <w:rsid w:val="000C1CCB"/>
    <w:rsid w:val="0010164E"/>
    <w:rsid w:val="001057B4"/>
    <w:rsid w:val="00154AC2"/>
    <w:rsid w:val="001C06A6"/>
    <w:rsid w:val="001E1C3A"/>
    <w:rsid w:val="00234376"/>
    <w:rsid w:val="0023788E"/>
    <w:rsid w:val="00237B38"/>
    <w:rsid w:val="002A19DD"/>
    <w:rsid w:val="002C2B5D"/>
    <w:rsid w:val="002C2E88"/>
    <w:rsid w:val="002D14DA"/>
    <w:rsid w:val="002E5122"/>
    <w:rsid w:val="002E71D7"/>
    <w:rsid w:val="00315AE3"/>
    <w:rsid w:val="003203D8"/>
    <w:rsid w:val="003C3CA6"/>
    <w:rsid w:val="003C4C49"/>
    <w:rsid w:val="0042686D"/>
    <w:rsid w:val="00492EF2"/>
    <w:rsid w:val="004966A1"/>
    <w:rsid w:val="004B0555"/>
    <w:rsid w:val="00541CB7"/>
    <w:rsid w:val="00544F7F"/>
    <w:rsid w:val="005D648B"/>
    <w:rsid w:val="00637885"/>
    <w:rsid w:val="00643517"/>
    <w:rsid w:val="00664C5F"/>
    <w:rsid w:val="006A7916"/>
    <w:rsid w:val="006B7194"/>
    <w:rsid w:val="006D10F5"/>
    <w:rsid w:val="006D28CD"/>
    <w:rsid w:val="006D7309"/>
    <w:rsid w:val="007B00BF"/>
    <w:rsid w:val="007C6847"/>
    <w:rsid w:val="007F41D3"/>
    <w:rsid w:val="00802BD7"/>
    <w:rsid w:val="008111BB"/>
    <w:rsid w:val="00840F50"/>
    <w:rsid w:val="008644DF"/>
    <w:rsid w:val="00865276"/>
    <w:rsid w:val="008744C9"/>
    <w:rsid w:val="00877B0A"/>
    <w:rsid w:val="008C5D1D"/>
    <w:rsid w:val="008D23D9"/>
    <w:rsid w:val="008F7C21"/>
    <w:rsid w:val="009037D1"/>
    <w:rsid w:val="009B16F7"/>
    <w:rsid w:val="00A10043"/>
    <w:rsid w:val="00A2257B"/>
    <w:rsid w:val="00A25B06"/>
    <w:rsid w:val="00AB1CB3"/>
    <w:rsid w:val="00AF448B"/>
    <w:rsid w:val="00B257A5"/>
    <w:rsid w:val="00BF1A58"/>
    <w:rsid w:val="00BF3EC6"/>
    <w:rsid w:val="00C77839"/>
    <w:rsid w:val="00CA62DD"/>
    <w:rsid w:val="00CB743B"/>
    <w:rsid w:val="00CC5F20"/>
    <w:rsid w:val="00CC7631"/>
    <w:rsid w:val="00CE7204"/>
    <w:rsid w:val="00D276D8"/>
    <w:rsid w:val="00D539A7"/>
    <w:rsid w:val="00E25073"/>
    <w:rsid w:val="00E440EF"/>
    <w:rsid w:val="00E55C89"/>
    <w:rsid w:val="00E84929"/>
    <w:rsid w:val="00E93794"/>
    <w:rsid w:val="00EF449D"/>
    <w:rsid w:val="00F03770"/>
    <w:rsid w:val="00F13284"/>
    <w:rsid w:val="00F31106"/>
    <w:rsid w:val="00F53B51"/>
    <w:rsid w:val="00F60AC2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D4E9-0B6D-449A-B490-178A94B4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30</TotalTime>
  <Pages>5</Pages>
  <Words>1034</Words>
  <Characters>6910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7929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mostyn</cp:lastModifiedBy>
  <cp:revision>12</cp:revision>
  <cp:lastPrinted>2012-02-07T15:49:00Z</cp:lastPrinted>
  <dcterms:created xsi:type="dcterms:W3CDTF">2012-01-27T11:50:00Z</dcterms:created>
  <dcterms:modified xsi:type="dcterms:W3CDTF">2012-02-07T15:49:00Z</dcterms:modified>
</cp:coreProperties>
</file>