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4455A5" w:rsidP="00BC7CFC">
            <w:pPr>
              <w:spacing w:after="120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End w:id="1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A93713">
              <w:rPr>
                <w:b/>
                <w:bCs/>
                <w:lang w:val="en-US" w:bidi="ar-EG"/>
              </w:rPr>
              <w:t>52</w:t>
            </w:r>
            <w:r w:rsidR="00BC7CFC">
              <w:rPr>
                <w:b/>
                <w:bCs/>
                <w:lang w:val="en-US" w:bidi="ar-EG"/>
              </w:rPr>
              <w:t>9</w:t>
            </w:r>
          </w:p>
        </w:tc>
        <w:tc>
          <w:tcPr>
            <w:tcW w:w="7313" w:type="dxa"/>
          </w:tcPr>
          <w:p w:rsidR="009C5DD3" w:rsidRDefault="00D14A1D" w:rsidP="00BC7CFC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 xml:space="preserve"> </w:t>
            </w:r>
            <w:r w:rsidR="00BC7CFC">
              <w:rPr>
                <w:lang w:val="en-US" w:bidi="ar-EG"/>
              </w:rPr>
              <w:t>18</w:t>
            </w:r>
            <w:r w:rsidR="00BC7CFC">
              <w:rPr>
                <w:rFonts w:hint="cs"/>
                <w:rtl/>
                <w:lang w:val="en-US" w:bidi="ar-EG"/>
              </w:rPr>
              <w:t>فبراير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9C5DD3" w:rsidRDefault="004455A5" w:rsidP="005369B6">
      <w:pPr>
        <w:pStyle w:val="Source"/>
        <w:spacing w:before="36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E607F6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7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واللجنة الخاصة المعنية بالمسائل التنظيمية والإجرائية</w:t>
      </w:r>
    </w:p>
    <w:p w:rsidR="004455A5" w:rsidRPr="005369B6" w:rsidRDefault="004455A5">
      <w:pPr>
        <w:spacing w:before="240" w:line="180" w:lineRule="auto"/>
        <w:jc w:val="center"/>
        <w:rPr>
          <w:b/>
          <w:bCs/>
          <w:szCs w:val="20"/>
          <w:rtl/>
          <w:lang w:val="en-US" w:bidi="ar-EG"/>
        </w:rPr>
      </w:pPr>
    </w:p>
    <w:p w:rsidR="009C5DD3" w:rsidRDefault="004455A5" w:rsidP="00DC1D86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tl/>
        </w:rPr>
        <w:tab/>
      </w:r>
      <w:r w:rsidRPr="003C7C37">
        <w:rPr>
          <w:rFonts w:hint="cs"/>
          <w:spacing w:val="-2"/>
          <w:rtl/>
        </w:rPr>
        <w:t>لجنة الدراسات</w:t>
      </w:r>
      <w:r w:rsidR="00DC1D86">
        <w:rPr>
          <w:rFonts w:hint="eastAsia"/>
          <w:spacing w:val="-2"/>
          <w:rtl/>
        </w:rPr>
        <w:t> </w:t>
      </w:r>
      <w:r w:rsidR="00BC7CFC">
        <w:rPr>
          <w:spacing w:val="-2"/>
          <w:lang w:val="en-US" w:bidi="ar-EG"/>
        </w:rPr>
        <w:t>7</w:t>
      </w:r>
      <w:r w:rsidRPr="003C7C37">
        <w:rPr>
          <w:rFonts w:hint="cs"/>
          <w:spacing w:val="-2"/>
          <w:rtl/>
          <w:lang w:val="en-US" w:bidi="ar-EG"/>
        </w:rPr>
        <w:t xml:space="preserve"> للاتصالات الراديوية</w:t>
      </w:r>
    </w:p>
    <w:p w:rsidR="009C5DD3" w:rsidRDefault="004455A5" w:rsidP="00E607F6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>-</w:t>
      </w: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 xml:space="preserve">الموافقة على </w:t>
      </w:r>
      <w:r w:rsidR="00E607F6">
        <w:rPr>
          <w:spacing w:val="-2"/>
          <w:lang w:bidi="ar-EG"/>
        </w:rPr>
        <w:t>3</w:t>
      </w:r>
      <w:r w:rsidR="00E607F6">
        <w:rPr>
          <w:rFonts w:hint="cs"/>
          <w:spacing w:val="-2"/>
          <w:rtl/>
          <w:lang w:bidi="ar-EG"/>
        </w:rPr>
        <w:t xml:space="preserve"> توصيات جديدة ومراجعة </w:t>
      </w:r>
      <w:r w:rsidR="00E607F6">
        <w:rPr>
          <w:rFonts w:hint="eastAsia"/>
          <w:spacing w:val="-2"/>
          <w:rtl/>
          <w:lang w:bidi="ar-EG"/>
        </w:rPr>
        <w:t> </w:t>
      </w:r>
      <w:r w:rsidR="00E607F6">
        <w:rPr>
          <w:spacing w:val="-2"/>
          <w:lang w:val="en-US" w:bidi="ar-EG"/>
        </w:rPr>
        <w:t>4</w:t>
      </w:r>
      <w:r w:rsidR="00E607F6">
        <w:rPr>
          <w:rFonts w:hint="cs"/>
          <w:spacing w:val="-2"/>
          <w:rtl/>
          <w:lang w:val="en-US" w:bidi="ar-EG"/>
        </w:rPr>
        <w:t xml:space="preserve"> توصيات</w:t>
      </w:r>
    </w:p>
    <w:p w:rsidR="00E607F6" w:rsidRPr="00E607F6" w:rsidRDefault="00E607F6" w:rsidP="00E607F6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  <w:lang w:val="en-US" w:bidi="ar-EG"/>
        </w:rPr>
        <w:tab/>
        <w:t>-</w:t>
      </w:r>
      <w:r>
        <w:rPr>
          <w:rFonts w:hint="cs"/>
          <w:spacing w:val="-2"/>
          <w:rtl/>
          <w:lang w:val="en-US" w:bidi="ar-EG"/>
        </w:rPr>
        <w:tab/>
        <w:t xml:space="preserve">إلغاء </w:t>
      </w:r>
      <w:r>
        <w:rPr>
          <w:spacing w:val="-2"/>
          <w:lang w:val="en-US" w:bidi="ar-EG"/>
        </w:rPr>
        <w:t>11</w:t>
      </w:r>
      <w:r>
        <w:rPr>
          <w:rFonts w:hint="cs"/>
          <w:spacing w:val="-2"/>
          <w:rtl/>
          <w:lang w:val="en-US" w:bidi="ar-EG"/>
        </w:rPr>
        <w:t xml:space="preserve"> </w:t>
      </w:r>
      <w:r w:rsidRPr="00E607F6">
        <w:rPr>
          <w:rFonts w:hint="cs"/>
          <w:spacing w:val="-2"/>
          <w:rtl/>
        </w:rPr>
        <w:t>توصية</w:t>
      </w:r>
    </w:p>
    <w:p w:rsidR="004455A5" w:rsidRPr="00E3584E" w:rsidRDefault="00F87D6E" w:rsidP="005369B6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360" w:after="240" w:line="180" w:lineRule="auto"/>
        <w:ind w:left="913" w:hanging="913"/>
        <w:jc w:val="center"/>
        <w:rPr>
          <w:rFonts w:ascii="Times New Roman Bold" w:hAnsi="Times New Roman Bold"/>
          <w:b/>
          <w:bCs/>
          <w:spacing w:val="-2"/>
          <w:sz w:val="24"/>
          <w:szCs w:val="32"/>
          <w:rtl/>
          <w:lang w:bidi="ar-EG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SY"/>
        </w:rPr>
        <w:t>الخدمات العلمية</w:t>
      </w:r>
    </w:p>
    <w:p w:rsidR="009C5DD3" w:rsidRPr="007E76D3" w:rsidRDefault="004455A5" w:rsidP="007E76D3">
      <w:pPr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>تم بموجب النشرة الإدارية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502FA8" w:rsidRPr="007E76D3">
        <w:rPr>
          <w:spacing w:val="-2"/>
          <w:lang w:val="en-US"/>
        </w:rPr>
        <w:t>30</w:t>
      </w:r>
      <w:r w:rsidR="00BC7CFC" w:rsidRPr="007E76D3">
        <w:rPr>
          <w:spacing w:val="-2"/>
          <w:lang w:val="en-US"/>
        </w:rPr>
        <w:t>4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D50FAC" w:rsidRPr="007E76D3">
        <w:rPr>
          <w:spacing w:val="-2"/>
          <w:lang w:val="en-US"/>
        </w:rPr>
        <w:t>5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D50FAC" w:rsidRPr="007E76D3">
        <w:rPr>
          <w:rFonts w:hint="cs"/>
          <w:spacing w:val="-2"/>
          <w:rtl/>
          <w:lang w:val="en-US"/>
        </w:rPr>
        <w:t>نوفمبر</w:t>
      </w:r>
      <w:r w:rsidR="00DC1D86" w:rsidRPr="007E76D3">
        <w:rPr>
          <w:rFonts w:hint="eastAsia"/>
          <w:spacing w:val="-2"/>
          <w:rtl/>
        </w:rPr>
        <w:t> </w:t>
      </w:r>
      <w:r w:rsidR="00502FA8" w:rsidRPr="007E76D3">
        <w:rPr>
          <w:spacing w:val="-2"/>
          <w:lang w:val="en-US"/>
        </w:rPr>
        <w:t>2010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F87D6E" w:rsidRPr="007E76D3">
        <w:rPr>
          <w:spacing w:val="-2"/>
          <w:lang w:val="en-US"/>
        </w:rPr>
        <w:t>3</w:t>
      </w:r>
      <w:r w:rsidR="007E76D3" w:rsidRPr="007E76D3">
        <w:rPr>
          <w:rFonts w:hint="eastAsia"/>
          <w:spacing w:val="-2"/>
          <w:rtl/>
          <w:lang w:val="en-US" w:bidi="ar-EG"/>
        </w:rPr>
        <w:t> </w:t>
      </w:r>
      <w:r w:rsidR="00F87D6E" w:rsidRPr="007E76D3">
        <w:rPr>
          <w:rFonts w:hint="cs"/>
          <w:spacing w:val="-2"/>
          <w:rtl/>
          <w:lang w:val="en-US" w:bidi="ar-EG"/>
        </w:rPr>
        <w:t>مشاريع توصيات جديدة ومشاريع مراجعة</w:t>
      </w:r>
      <w:r w:rsidR="005F700A" w:rsidRPr="007E76D3">
        <w:rPr>
          <w:rFonts w:hint="eastAsia"/>
          <w:spacing w:val="-2"/>
          <w:rtl/>
          <w:lang w:val="en-US" w:bidi="ar-EG"/>
        </w:rPr>
        <w:t> </w:t>
      </w:r>
      <w:r w:rsidR="00F87D6E" w:rsidRPr="007E76D3">
        <w:rPr>
          <w:spacing w:val="-2"/>
          <w:lang w:val="en-US" w:bidi="ar-EG"/>
        </w:rPr>
        <w:t>4</w:t>
      </w:r>
      <w:r w:rsidR="00F87D6E" w:rsidRPr="007E76D3">
        <w:rPr>
          <w:rFonts w:hint="eastAsia"/>
          <w:spacing w:val="-2"/>
          <w:rtl/>
          <w:lang w:val="en-US" w:bidi="ar-EG"/>
        </w:rPr>
        <w:t> </w:t>
      </w:r>
      <w:r w:rsidR="00F87D6E" w:rsidRPr="007E76D3">
        <w:rPr>
          <w:rFonts w:hint="cs"/>
          <w:spacing w:val="-2"/>
          <w:rtl/>
          <w:lang w:val="en-US" w:bidi="ar-EG"/>
        </w:rPr>
        <w:t>توصيات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fr-FR" w:bidi="ar-EG"/>
        </w:rPr>
        <w:t>للموافقة عليه</w:t>
      </w:r>
      <w:r w:rsidR="00E3584E" w:rsidRPr="007E76D3">
        <w:rPr>
          <w:rFonts w:hint="cs"/>
          <w:spacing w:val="-2"/>
          <w:rtl/>
          <w:lang w:val="fr-FR" w:bidi="ar-EG"/>
        </w:rPr>
        <w:t>م</w:t>
      </w:r>
      <w:r w:rsidRPr="007E76D3">
        <w:rPr>
          <w:rFonts w:hint="cs"/>
          <w:spacing w:val="-2"/>
          <w:rtl/>
          <w:lang w:val="fr-FR" w:bidi="ar-EG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  <w:r w:rsidR="00F87D6E" w:rsidRPr="007E76D3">
        <w:rPr>
          <w:rFonts w:hint="cs"/>
          <w:spacing w:val="-2"/>
          <w:rtl/>
          <w:lang w:val="en-US"/>
        </w:rPr>
        <w:t xml:space="preserve"> واقترحت لجنة الدراسات إضافة إلى ذلك إلغاء</w:t>
      </w:r>
      <w:r w:rsidR="00B448C6" w:rsidRPr="007E76D3">
        <w:rPr>
          <w:rFonts w:hint="cs"/>
          <w:spacing w:val="-2"/>
          <w:rtl/>
          <w:lang w:val="en-US"/>
        </w:rPr>
        <w:t xml:space="preserve"> </w:t>
      </w:r>
      <w:r w:rsidR="00F87D6E" w:rsidRPr="007E76D3">
        <w:rPr>
          <w:spacing w:val="-2"/>
          <w:lang w:val="en-US"/>
        </w:rPr>
        <w:t>11</w:t>
      </w:r>
      <w:r w:rsidR="00F87D6E" w:rsidRPr="007E76D3">
        <w:rPr>
          <w:rFonts w:hint="cs"/>
          <w:spacing w:val="-2"/>
          <w:rtl/>
          <w:lang w:val="en-US" w:bidi="ar-EG"/>
        </w:rPr>
        <w:t> توصية.</w:t>
      </w:r>
    </w:p>
    <w:p w:rsidR="009C5DD3" w:rsidRPr="00CD0425" w:rsidRDefault="004455A5" w:rsidP="00D50FAC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D50FAC" w:rsidRPr="00CD0425">
        <w:rPr>
          <w:lang w:val="en-US"/>
        </w:rPr>
        <w:t>4</w:t>
      </w:r>
      <w:r w:rsidR="00D84510" w:rsidRPr="00CD0425">
        <w:rPr>
          <w:rFonts w:hint="cs"/>
          <w:rtl/>
          <w:lang w:val="en-US"/>
        </w:rPr>
        <w:t xml:space="preserve"> </w:t>
      </w:r>
      <w:r w:rsidR="00D50FAC" w:rsidRPr="00CD0425">
        <w:rPr>
          <w:rFonts w:hint="cs"/>
          <w:rtl/>
          <w:lang w:val="en-US"/>
        </w:rPr>
        <w:t>فبراير</w:t>
      </w:r>
      <w:r w:rsidR="00DC1D86" w:rsidRPr="00CD0425">
        <w:rPr>
          <w:rFonts w:hint="eastAsia"/>
          <w:rtl/>
        </w:rPr>
        <w:t> </w:t>
      </w:r>
      <w:r w:rsidR="00B73B76" w:rsidRPr="00CD0425">
        <w:rPr>
          <w:lang w:val="fr-FR"/>
        </w:rPr>
        <w:t>2011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F532B7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D50FAC" w:rsidRPr="00CD0425">
        <w:rPr>
          <w:rFonts w:hint="eastAsia"/>
          <w:rtl/>
          <w:lang w:val="en-US"/>
        </w:rPr>
        <w:t> </w:t>
      </w:r>
      <w:r w:rsidR="00D50FAC" w:rsidRPr="00CD0425">
        <w:rPr>
          <w:lang w:val="en-US"/>
        </w:rPr>
        <w:t>1</w:t>
      </w:r>
      <w:r w:rsidRPr="00CD0425">
        <w:rPr>
          <w:rFonts w:hint="cs"/>
          <w:rtl/>
          <w:lang w:val="en-US"/>
        </w:rPr>
        <w:t xml:space="preserve"> </w:t>
      </w:r>
      <w:r w:rsidR="00F532B7" w:rsidRPr="00CD0425">
        <w:rPr>
          <w:rFonts w:hint="cs"/>
          <w:rtl/>
          <w:lang w:val="en-US"/>
        </w:rPr>
        <w:t>ب</w:t>
      </w:r>
      <w:r w:rsidRPr="00CD0425">
        <w:rPr>
          <w:rFonts w:hint="cs"/>
          <w:rtl/>
          <w:lang w:val="en-US"/>
        </w:rPr>
        <w:t xml:space="preserve">هذه النشرة </w:t>
      </w:r>
      <w:r w:rsidR="00F532B7" w:rsidRPr="00CD0425">
        <w:rPr>
          <w:rFonts w:hint="cs"/>
          <w:rtl/>
          <w:lang w:val="en-US"/>
        </w:rPr>
        <w:t>عناوين التوصيات</w:t>
      </w:r>
      <w:r w:rsidRPr="00CD0425">
        <w:rPr>
          <w:rFonts w:hint="cs"/>
          <w:rtl/>
          <w:lang w:val="en-US"/>
        </w:rPr>
        <w:t xml:space="preserve"> مع بيان </w:t>
      </w:r>
      <w:r w:rsidR="00F532B7" w:rsidRPr="00CD0425">
        <w:rPr>
          <w:rFonts w:hint="cs"/>
          <w:rtl/>
          <w:lang w:val="en-US"/>
        </w:rPr>
        <w:t>الأرقام</w:t>
      </w:r>
      <w:r w:rsidRPr="00CD0425">
        <w:rPr>
          <w:rFonts w:hint="cs"/>
          <w:rtl/>
          <w:lang w:val="en-US"/>
        </w:rPr>
        <w:t xml:space="preserve"> المخصص</w:t>
      </w:r>
      <w:r w:rsidR="00F532B7" w:rsidRPr="00CD0425">
        <w:rPr>
          <w:rFonts w:hint="cs"/>
          <w:rtl/>
          <w:lang w:val="en-US"/>
        </w:rPr>
        <w:t>ة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  <w:r w:rsidR="00B448C6" w:rsidRPr="00CD0425">
        <w:rPr>
          <w:rFonts w:hint="cs"/>
          <w:rtl/>
          <w:lang w:val="en-US" w:bidi="ar-EG"/>
        </w:rPr>
        <w:t xml:space="preserve"> كما يقدم الملحق </w:t>
      </w:r>
      <w:r w:rsidR="00B448C6" w:rsidRPr="00CD0425">
        <w:rPr>
          <w:lang w:val="en-US" w:bidi="ar-EG"/>
        </w:rPr>
        <w:t>2</w:t>
      </w:r>
      <w:r w:rsidR="00B448C6" w:rsidRPr="00CD0425">
        <w:rPr>
          <w:rFonts w:hint="cs"/>
          <w:rtl/>
          <w:lang w:val="en-US" w:bidi="ar-EG"/>
        </w:rPr>
        <w:t xml:space="preserve"> قائمة بالتوصيات الملغاة.</w:t>
      </w:r>
    </w:p>
    <w:p w:rsidR="004455A5" w:rsidRDefault="00D84510" w:rsidP="005369B6">
      <w:pPr>
        <w:spacing w:before="108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D50FAC">
      <w:pPr>
        <w:tabs>
          <w:tab w:val="clear" w:pos="794"/>
          <w:tab w:val="clear" w:pos="1191"/>
          <w:tab w:val="left" w:pos="1417"/>
        </w:tabs>
        <w:spacing w:before="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D50FAC">
        <w:rPr>
          <w:lang w:val="fr-FR"/>
        </w:rPr>
        <w:t>2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9C5DD3" w:rsidRDefault="004455A5" w:rsidP="00D50FAC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D50FAC">
        <w:rPr>
          <w:sz w:val="16"/>
          <w:szCs w:val="22"/>
          <w:lang w:val="en-US"/>
        </w:rPr>
        <w:t>7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455A5" w:rsidRPr="00482D2D" w:rsidRDefault="004455A5" w:rsidP="003E4FE0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574722" w:rsidRDefault="004455A5" w:rsidP="00574722">
      <w:pPr>
        <w:pStyle w:val="AnnexNotitle"/>
        <w:spacing w:before="0"/>
        <w:rPr>
          <w:sz w:val="40"/>
          <w:szCs w:val="40"/>
          <w:lang w:val="en-US" w:bidi="ar-EG"/>
        </w:rPr>
      </w:pPr>
      <w:r w:rsidRPr="00574722">
        <w:rPr>
          <w:szCs w:val="40"/>
          <w:rtl/>
          <w:lang w:val="en-US"/>
        </w:rPr>
        <w:br w:type="page"/>
      </w:r>
      <w:r w:rsidR="00D84510" w:rsidRPr="00574722">
        <w:rPr>
          <w:rFonts w:hint="cs"/>
          <w:sz w:val="40"/>
          <w:szCs w:val="40"/>
          <w:rtl/>
          <w:lang w:val="en-US"/>
        </w:rPr>
        <w:lastRenderedPageBreak/>
        <w:t>ال</w:t>
      </w:r>
      <w:r w:rsidR="009365E9" w:rsidRPr="00574722">
        <w:rPr>
          <w:rFonts w:hint="cs"/>
          <w:sz w:val="40"/>
          <w:szCs w:val="40"/>
          <w:rtl/>
          <w:lang w:val="en-US"/>
        </w:rPr>
        <w:t>ملحـق</w:t>
      </w:r>
      <w:r w:rsidR="00BD0B3A">
        <w:rPr>
          <w:rFonts w:hint="cs"/>
          <w:sz w:val="40"/>
          <w:szCs w:val="40"/>
          <w:rtl/>
          <w:lang w:val="en-US" w:bidi="ar-EG"/>
        </w:rPr>
        <w:t xml:space="preserve"> </w:t>
      </w:r>
      <w:r w:rsidR="00BD0B3A" w:rsidRPr="00BD0B3A">
        <w:rPr>
          <w:b w:val="0"/>
          <w:bCs/>
          <w:szCs w:val="28"/>
          <w:lang w:val="en-US" w:bidi="ar-EG"/>
        </w:rPr>
        <w:t>1</w:t>
      </w:r>
    </w:p>
    <w:p w:rsidR="004455A5" w:rsidRPr="00C861A8" w:rsidRDefault="00817199" w:rsidP="00123964">
      <w:pPr>
        <w:pStyle w:val="AnnexNotitle"/>
        <w:spacing w:before="240"/>
        <w:rPr>
          <w:b w:val="0"/>
          <w:bCs/>
          <w:w w:val="110"/>
          <w:sz w:val="36"/>
          <w:szCs w:val="36"/>
          <w:rtl/>
          <w:lang w:val="en-US"/>
        </w:rPr>
      </w:pPr>
      <w:r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>عناوين</w:t>
      </w:r>
      <w:r w:rsidR="004455A5"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 xml:space="preserve"> التوصي</w:t>
      </w:r>
      <w:r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>ات</w:t>
      </w:r>
      <w:r w:rsidR="004455A5"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 xml:space="preserve"> الموافَق عليها</w:t>
      </w:r>
    </w:p>
    <w:p w:rsidR="00BD0B3A" w:rsidRPr="00BD0B3A" w:rsidRDefault="007F2DBC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RS</w:t>
      </w:r>
      <w:r>
        <w:rPr>
          <w:lang w:val="en-US" w:bidi="ar-EG"/>
        </w:rPr>
        <w:t>.1881</w:t>
      </w:r>
      <w:r w:rsidR="00BD0B3A" w:rsidRPr="00BD0B3A">
        <w:rPr>
          <w:lang w:val="en-US" w:bidi="ar-EG"/>
        </w:rPr>
        <w:tab/>
      </w:r>
      <w:r w:rsidR="00BD0B3A" w:rsidRPr="00BD0B3A">
        <w:rPr>
          <w:rFonts w:hint="cs"/>
          <w:rtl/>
          <w:lang w:val="en-US" w:bidi="ar-EG"/>
        </w:rPr>
        <w:t xml:space="preserve">الوثيقة </w:t>
      </w:r>
      <w:r w:rsidR="00BD0B3A" w:rsidRPr="00BD0B3A">
        <w:rPr>
          <w:lang w:val="en-US" w:bidi="ar-EG"/>
        </w:rPr>
        <w:t>7/BL/6</w:t>
      </w:r>
    </w:p>
    <w:p w:rsidR="00BD0B3A" w:rsidRPr="00BD0B3A" w:rsidRDefault="00BD0B3A" w:rsidP="00123964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 xml:space="preserve">معايير حماية مستقبلات اختلاف وقت الوصول 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(ATD)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 xml:space="preserve"> 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 xml:space="preserve">العاملة في خدمة مساعدات الأرصاد الجوية في نطاق التردد 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kHz 11,3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noBreakHyphen/>
        <w:t>9</w:t>
      </w:r>
    </w:p>
    <w:p w:rsidR="00BD0B3A" w:rsidRPr="00BD0B3A" w:rsidRDefault="007F2DBC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SA</w:t>
      </w:r>
      <w:r>
        <w:rPr>
          <w:lang w:val="en-US" w:bidi="ar-EG"/>
        </w:rPr>
        <w:t>.1882</w:t>
      </w:r>
      <w:r w:rsidR="00BD0B3A" w:rsidRPr="00BD0B3A">
        <w:rPr>
          <w:rFonts w:hint="cs"/>
          <w:rtl/>
          <w:lang w:val="en-US" w:bidi="ar-EG"/>
        </w:rPr>
        <w:tab/>
        <w:t xml:space="preserve">الوثيقة </w:t>
      </w:r>
      <w:r w:rsidR="00BD0B3A" w:rsidRPr="00BD0B3A">
        <w:rPr>
          <w:lang w:val="en-US" w:bidi="ar-EG"/>
        </w:rPr>
        <w:t>7/BL/7</w:t>
      </w:r>
    </w:p>
    <w:p w:rsidR="00BD0B3A" w:rsidRPr="00BD0B3A" w:rsidRDefault="00BD0B3A" w:rsidP="00123964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lang w:val="en-US" w:bidi="ar-EG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الخصائص التقنية والتشغيلية لأنظمة خدمة الأبحاث الفضائية (أرض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noBreakHyphen/>
        <w:t xml:space="preserve">فضاء) 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 xml:space="preserve">للاستعمال في النطاق 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GHz 23,15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noBreakHyphen/>
        <w:t>22,55</w:t>
      </w:r>
    </w:p>
    <w:p w:rsidR="00BD0B3A" w:rsidRPr="00BD0B3A" w:rsidRDefault="001B76C6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RS</w:t>
      </w:r>
      <w:r>
        <w:rPr>
          <w:lang w:val="en-US" w:bidi="ar-EG"/>
        </w:rPr>
        <w:t>.1883</w:t>
      </w:r>
      <w:r w:rsidR="00BD0B3A" w:rsidRPr="00BD0B3A">
        <w:rPr>
          <w:lang w:val="en-US" w:bidi="ar-EG"/>
        </w:rPr>
        <w:tab/>
      </w:r>
      <w:r w:rsidR="00BD0B3A" w:rsidRPr="00BD0B3A">
        <w:rPr>
          <w:rFonts w:hint="cs"/>
          <w:rtl/>
          <w:lang w:val="en-US" w:bidi="ar-EG"/>
        </w:rPr>
        <w:t xml:space="preserve">الوثيقة </w:t>
      </w:r>
      <w:r w:rsidR="00BD0B3A" w:rsidRPr="00BD0B3A">
        <w:rPr>
          <w:lang w:val="en-US" w:bidi="ar-EG"/>
        </w:rPr>
        <w:t>7/BL/8</w:t>
      </w:r>
    </w:p>
    <w:p w:rsidR="00BD0B3A" w:rsidRPr="00BD0B3A" w:rsidRDefault="00BD0B3A" w:rsidP="00123964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استعمال أنظمة الاستشعار عن بعد في دراسة تغير المناخ وآثاره</w:t>
      </w:r>
    </w:p>
    <w:p w:rsidR="00BD0B3A" w:rsidRPr="00BD0B3A" w:rsidRDefault="001B76C6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SA.1276</w:t>
      </w:r>
      <w:r w:rsidR="00BD0B3A" w:rsidRPr="00BD0B3A">
        <w:rPr>
          <w:lang w:val="en-US" w:bidi="ar-EG"/>
        </w:rPr>
        <w:noBreakHyphen/>
      </w:r>
      <w:r>
        <w:rPr>
          <w:lang w:val="en-US" w:bidi="ar-EG"/>
        </w:rPr>
        <w:t>3</w:t>
      </w:r>
      <w:r w:rsidR="00BD0B3A" w:rsidRPr="00BD0B3A">
        <w:rPr>
          <w:lang w:val="en-US" w:bidi="ar-EG"/>
        </w:rPr>
        <w:tab/>
      </w:r>
      <w:r w:rsidR="00BD0B3A" w:rsidRPr="00BD0B3A">
        <w:rPr>
          <w:rFonts w:hint="cs"/>
          <w:rtl/>
          <w:lang w:val="en-US" w:bidi="ar-EG"/>
        </w:rPr>
        <w:t xml:space="preserve">الوثيقة </w:t>
      </w:r>
      <w:r w:rsidR="00BD0B3A" w:rsidRPr="00BD0B3A">
        <w:rPr>
          <w:lang w:val="en-US" w:bidi="ar-EG"/>
        </w:rPr>
        <w:t>7/BL/9</w:t>
      </w:r>
    </w:p>
    <w:p w:rsidR="00BD0B3A" w:rsidRPr="00BD0B3A" w:rsidRDefault="00BD0B3A" w:rsidP="00123964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lang w:val="en-US" w:bidi="ar-EG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المواقع المدارية لسواتل مرحِّلة المعطيات الواجب حمايتها من إرسالات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>أنظمة الخدمة الثابتة العاملة في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 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 xml:space="preserve">النطاق 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GHz 27,5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noBreakHyphen/>
        <w:t>25,25</w:t>
      </w:r>
    </w:p>
    <w:p w:rsidR="00BD0B3A" w:rsidRPr="00BD0B3A" w:rsidRDefault="001B76C6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SA.1275</w:t>
      </w:r>
      <w:r w:rsidR="00BD0B3A" w:rsidRPr="00BD0B3A">
        <w:rPr>
          <w:lang w:val="en-US" w:bidi="ar-EG"/>
        </w:rPr>
        <w:noBreakHyphen/>
      </w:r>
      <w:r>
        <w:rPr>
          <w:lang w:val="en-US" w:bidi="ar-EG"/>
        </w:rPr>
        <w:t>3</w:t>
      </w:r>
      <w:r w:rsidR="00BD0B3A" w:rsidRPr="00BD0B3A">
        <w:rPr>
          <w:lang w:val="en-US" w:bidi="ar-EG"/>
        </w:rPr>
        <w:tab/>
      </w:r>
      <w:r w:rsidR="00BD0B3A" w:rsidRPr="00BD0B3A">
        <w:rPr>
          <w:rFonts w:hint="cs"/>
          <w:rtl/>
          <w:lang w:val="en-US" w:bidi="ar-EG"/>
        </w:rPr>
        <w:t xml:space="preserve">الوثيقة </w:t>
      </w:r>
      <w:r w:rsidR="00BD0B3A" w:rsidRPr="00BD0B3A">
        <w:rPr>
          <w:lang w:val="en-US" w:bidi="ar-EG"/>
        </w:rPr>
        <w:t>7/BL/10</w:t>
      </w:r>
    </w:p>
    <w:p w:rsidR="00BD0B3A" w:rsidRPr="00BD0B3A" w:rsidRDefault="00BD0B3A" w:rsidP="00123964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المواقع المدارية لسواتل مرحِّلة المعطيات الواجب حمايتها من إرسالات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>أنظمة الخدمة الثابتة العاملة في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 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 xml:space="preserve">النطاق 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MHz 2 290</w:t>
      </w:r>
      <w:r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noBreakHyphen/>
        <w:t>2 200</w:t>
      </w:r>
    </w:p>
    <w:p w:rsidR="00BD0B3A" w:rsidRPr="00BD0B3A" w:rsidRDefault="006B6AF4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RS.1813</w:t>
      </w:r>
      <w:r>
        <w:rPr>
          <w:lang w:val="en-US" w:bidi="ar-EG"/>
        </w:rPr>
        <w:noBreakHyphen/>
        <w:t>1</w:t>
      </w:r>
      <w:r w:rsidR="00BD0B3A" w:rsidRPr="00BD0B3A">
        <w:rPr>
          <w:lang w:val="en-US" w:bidi="ar-EG"/>
        </w:rPr>
        <w:tab/>
      </w:r>
      <w:r w:rsidR="00BD0B3A" w:rsidRPr="00BD0B3A">
        <w:rPr>
          <w:rFonts w:hint="cs"/>
          <w:rtl/>
          <w:lang w:val="en-US" w:bidi="ar-EG"/>
        </w:rPr>
        <w:t xml:space="preserve">الوثيقة </w:t>
      </w:r>
      <w:r w:rsidR="00BD0B3A" w:rsidRPr="00BD0B3A">
        <w:rPr>
          <w:lang w:val="en-US" w:bidi="ar-EG"/>
        </w:rPr>
        <w:t>7/BL/11</w:t>
      </w:r>
    </w:p>
    <w:p w:rsidR="00BD0B3A" w:rsidRPr="00BD0B3A" w:rsidRDefault="00123964" w:rsidP="00123964">
      <w:pPr>
        <w:keepNext/>
        <w:tabs>
          <w:tab w:val="clear" w:pos="794"/>
          <w:tab w:val="clear" w:pos="1191"/>
          <w:tab w:val="clear" w:pos="1588"/>
          <w:tab w:val="clear" w:pos="1985"/>
          <w:tab w:val="left" w:pos="1192"/>
          <w:tab w:val="center" w:pos="4819"/>
        </w:tabs>
        <w:spacing w:after="24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  <w:tab/>
      </w:r>
      <w:r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  <w:tab/>
      </w:r>
      <w:r w:rsidR="00BD0B3A"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مخطط الهوائي المرجعي للمحاسيس المنفعلة العاملة في خدمة</w:t>
      </w:r>
      <w:r w:rsidR="00BD0B3A"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>استكشاف الأرض الساتلية (المنفعلة) الذي يتعين استعماله في تحليلات</w:t>
      </w:r>
      <w:r w:rsidR="00BD0B3A"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br/>
        <w:t xml:space="preserve">التوافق في مدى الترددات </w:t>
      </w:r>
      <w:r w:rsidR="00BD0B3A"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t>GHz 100</w:t>
      </w:r>
      <w:r w:rsidR="00BD0B3A" w:rsidRPr="00BD0B3A">
        <w:rPr>
          <w:rFonts w:ascii="Times New Roman Bold" w:hAnsi="Times New Roman Bold"/>
          <w:b/>
          <w:bCs/>
          <w:sz w:val="28"/>
          <w:szCs w:val="40"/>
          <w:lang w:val="en-US" w:bidi="ar-EG"/>
        </w:rPr>
        <w:noBreakHyphen/>
        <w:t>1,4</w:t>
      </w:r>
    </w:p>
    <w:p w:rsidR="00BD0B3A" w:rsidRPr="00BD0B3A" w:rsidRDefault="00870B76" w:rsidP="00C21112">
      <w:pPr>
        <w:keepNext/>
        <w:keepLines/>
        <w:tabs>
          <w:tab w:val="right" w:pos="9639"/>
        </w:tabs>
        <w:spacing w:before="360" w:after="180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التوصية</w:t>
      </w:r>
      <w:r w:rsidR="00BD0B3A" w:rsidRPr="00BD0B3A">
        <w:rPr>
          <w:rFonts w:hint="cs"/>
          <w:rtl/>
          <w:lang w:val="en-US" w:bidi="ar-EG"/>
        </w:rPr>
        <w:t xml:space="preserve"> </w:t>
      </w:r>
      <w:r w:rsidR="00BD0B3A" w:rsidRPr="00BD0B3A">
        <w:rPr>
          <w:lang w:val="en-US" w:bidi="ar-EG"/>
        </w:rPr>
        <w:t>ITU</w:t>
      </w:r>
      <w:r w:rsidR="00BD0B3A" w:rsidRPr="00BD0B3A">
        <w:rPr>
          <w:lang w:val="en-US" w:bidi="ar-EG"/>
        </w:rPr>
        <w:noBreakHyphen/>
        <w:t>R SA.1014</w:t>
      </w:r>
      <w:r w:rsidR="00BD0B3A" w:rsidRPr="00BD0B3A">
        <w:rPr>
          <w:lang w:val="en-US" w:bidi="ar-EG"/>
        </w:rPr>
        <w:noBreakHyphen/>
      </w:r>
      <w:r>
        <w:rPr>
          <w:lang w:val="en-US" w:bidi="ar-EG"/>
        </w:rPr>
        <w:t>2</w:t>
      </w:r>
      <w:r w:rsidR="00BD0B3A" w:rsidRPr="00BD0B3A">
        <w:rPr>
          <w:rFonts w:hint="cs"/>
          <w:rtl/>
          <w:lang w:val="en-US" w:bidi="ar-EG"/>
        </w:rPr>
        <w:tab/>
        <w:t xml:space="preserve">الوثيقة </w:t>
      </w:r>
      <w:r w:rsidR="00BD0B3A" w:rsidRPr="00BD0B3A">
        <w:rPr>
          <w:lang w:val="en-US" w:bidi="ar-EG"/>
        </w:rPr>
        <w:t>7/BL/12</w:t>
      </w:r>
    </w:p>
    <w:p w:rsidR="000D6E5E" w:rsidRDefault="00BD0B3A" w:rsidP="00123964">
      <w:pPr>
        <w:tabs>
          <w:tab w:val="clear" w:pos="794"/>
          <w:tab w:val="clear" w:pos="1191"/>
          <w:tab w:val="clear" w:pos="1588"/>
          <w:tab w:val="clear" w:pos="1985"/>
        </w:tabs>
        <w:jc w:val="center"/>
        <w:textAlignment w:val="auto"/>
        <w:rPr>
          <w:sz w:val="40"/>
          <w:szCs w:val="40"/>
          <w:rtl/>
          <w:lang w:val="en-US"/>
        </w:rPr>
      </w:pP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متطلبات الاتصالات</w:t>
      </w:r>
      <w:r w:rsidR="00123964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 xml:space="preserve"> </w:t>
      </w:r>
      <w:r w:rsidRPr="00BD0B3A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لمركبات أبحاث الفضاء البعيد المأهولة وغير المأهولة</w:t>
      </w:r>
    </w:p>
    <w:p w:rsidR="006855AD" w:rsidRDefault="006855AD" w:rsidP="000D6E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textAlignment w:val="auto"/>
        <w:rPr>
          <w:sz w:val="40"/>
          <w:szCs w:val="40"/>
          <w:lang w:val="en-US"/>
        </w:rPr>
      </w:pPr>
      <w:r>
        <w:rPr>
          <w:sz w:val="40"/>
          <w:szCs w:val="40"/>
          <w:rtl/>
          <w:lang w:val="en-US"/>
        </w:rPr>
        <w:br w:type="page"/>
      </w:r>
    </w:p>
    <w:p w:rsidR="00BD0B3A" w:rsidRDefault="00BD0B3A" w:rsidP="00BD0B3A">
      <w:pPr>
        <w:jc w:val="center"/>
        <w:textAlignment w:val="auto"/>
        <w:rPr>
          <w:sz w:val="28"/>
          <w:szCs w:val="28"/>
          <w:rtl/>
          <w:lang w:val="en-US" w:bidi="ar-EG"/>
        </w:rPr>
      </w:pPr>
      <w:r w:rsidRPr="00574722">
        <w:rPr>
          <w:rFonts w:hint="cs"/>
          <w:sz w:val="40"/>
          <w:szCs w:val="40"/>
          <w:rtl/>
          <w:lang w:val="en-US"/>
        </w:rPr>
        <w:lastRenderedPageBreak/>
        <w:t>الملحـق</w:t>
      </w:r>
      <w:r>
        <w:rPr>
          <w:rFonts w:hint="cs"/>
          <w:sz w:val="40"/>
          <w:szCs w:val="40"/>
          <w:rtl/>
          <w:lang w:val="en-US" w:bidi="ar-EG"/>
        </w:rPr>
        <w:t xml:space="preserve"> </w:t>
      </w:r>
      <w:r>
        <w:rPr>
          <w:sz w:val="28"/>
          <w:szCs w:val="28"/>
          <w:lang w:val="en-US" w:bidi="ar-EG"/>
        </w:rPr>
        <w:t>2</w:t>
      </w:r>
    </w:p>
    <w:p w:rsidR="00BD0B3A" w:rsidRDefault="00BD0B3A" w:rsidP="00BD0B3A">
      <w:pPr>
        <w:keepNext/>
        <w:keepLines/>
        <w:tabs>
          <w:tab w:val="left" w:pos="3099"/>
          <w:tab w:val="center" w:pos="4819"/>
        </w:tabs>
        <w:spacing w:before="240" w:after="240"/>
        <w:jc w:val="center"/>
        <w:rPr>
          <w:rFonts w:ascii="Times New Roman Bold" w:eastAsia="SimSun" w:hAnsi="Times New Roman Bold" w:hint="eastAsia"/>
          <w:b/>
          <w:bCs/>
          <w:sz w:val="26"/>
          <w:szCs w:val="36"/>
          <w:lang w:val="en-US" w:eastAsia="zh-CN" w:bidi="ar-EG"/>
        </w:rPr>
      </w:pPr>
      <w:r>
        <w:rPr>
          <w:rFonts w:ascii="Times New Roman Bold" w:eastAsia="SimSun" w:hAnsi="Times New Roman Bold" w:hint="cs"/>
          <w:b/>
          <w:bCs/>
          <w:sz w:val="26"/>
          <w:szCs w:val="36"/>
          <w:rtl/>
          <w:lang w:bidi="ar-EG"/>
        </w:rPr>
        <w:t>قائمة التوصيات</w:t>
      </w:r>
      <w:r>
        <w:rPr>
          <w:rFonts w:ascii="Times New Roman Bold" w:eastAsia="SimSun" w:hAnsi="Times New Roman Bold" w:hint="cs"/>
          <w:b/>
          <w:bCs/>
          <w:sz w:val="26"/>
          <w:szCs w:val="36"/>
          <w:rtl/>
          <w:lang w:val="en-US" w:eastAsia="zh-CN" w:bidi="ar-EG"/>
        </w:rPr>
        <w:t xml:space="preserve"> الملغاة</w:t>
      </w:r>
    </w:p>
    <w:tbl>
      <w:tblPr>
        <w:bidiVisual/>
        <w:tblW w:w="893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7316"/>
      </w:tblGrid>
      <w:tr w:rsidR="00711AE1" w:rsidTr="006855AD">
        <w:trPr>
          <w:tblHeader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head"/>
              <w:spacing w:before="60" w:after="60" w:line="300" w:lineRule="exact"/>
              <w:rPr>
                <w:bCs/>
                <w:lang w:val="es-ES"/>
              </w:rPr>
            </w:pPr>
            <w:r>
              <w:rPr>
                <w:rFonts w:hint="cs"/>
                <w:bCs/>
                <w:rtl/>
              </w:rPr>
              <w:t>التوصية</w:t>
            </w:r>
            <w:r>
              <w:rPr>
                <w:rFonts w:hint="cs"/>
                <w:bCs/>
                <w:rtl/>
              </w:rPr>
              <w:br/>
            </w:r>
            <w:r>
              <w:rPr>
                <w:bCs/>
                <w:lang w:val="es-ES"/>
              </w:rPr>
              <w:t>ITU-R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head"/>
              <w:spacing w:before="60" w:after="60" w:line="300" w:lineRule="exact"/>
              <w:ind w:right="113"/>
              <w:rPr>
                <w:bCs/>
                <w:lang w:val="en-US"/>
              </w:rPr>
            </w:pPr>
            <w:r>
              <w:rPr>
                <w:rFonts w:hint="cs"/>
                <w:bCs/>
                <w:rtl/>
              </w:rPr>
              <w:t>العنوان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SA.1012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 w:rsidP="006855AD">
            <w:pPr>
              <w:pStyle w:val="Tabletext"/>
              <w:spacing w:before="60" w:after="60" w:line="320" w:lineRule="exact"/>
              <w:ind w:right="113"/>
            </w:pPr>
            <w:r>
              <w:rPr>
                <w:rFonts w:hint="cs"/>
                <w:rtl/>
              </w:rPr>
              <w:t xml:space="preserve">نطاق الترددات المفضلة للبحث في الفضاء البعيد في المدى </w:t>
            </w:r>
            <w:r>
              <w:t>GHz</w:t>
            </w:r>
            <w:r w:rsidR="006855AD">
              <w:t> </w:t>
            </w:r>
            <w:r>
              <w:t>40</w:t>
            </w:r>
            <w:r w:rsidR="006855AD">
              <w:noBreakHyphen/>
            </w:r>
            <w:r>
              <w:t>1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SA.1013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  <w:rPr>
                <w:lang w:bidi="ar-EG"/>
              </w:rPr>
            </w:pPr>
            <w:r>
              <w:rPr>
                <w:rFonts w:hint="cs"/>
                <w:rtl/>
              </w:rPr>
              <w:t xml:space="preserve">نطاقات التردد المفضلة للبحث في الفضاء البعيد في المدى </w:t>
            </w:r>
            <w:r>
              <w:t>GHz</w:t>
            </w:r>
            <w:r w:rsidR="006855AD">
              <w:t> </w:t>
            </w:r>
            <w:r>
              <w:t>120</w:t>
            </w:r>
            <w:r w:rsidR="006855AD">
              <w:noBreakHyphen/>
            </w:r>
            <w:r>
              <w:t>40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SA.1017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</w:pPr>
            <w:r>
              <w:rPr>
                <w:rFonts w:hint="cs"/>
                <w:rtl/>
              </w:rPr>
              <w:t>الطريقة المفضلة لحساب نوعية أداء الوصلات في خدمة البحث الفضائي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SA.1278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</w:pPr>
            <w:r>
              <w:rPr>
                <w:rFonts w:hint="cs"/>
                <w:rtl/>
              </w:rPr>
              <w:t xml:space="preserve">جدوى التقاسم بين الخدمة </w:t>
            </w:r>
            <w:r>
              <w:t>EESS</w:t>
            </w:r>
            <w:r>
              <w:rPr>
                <w:rFonts w:hint="cs"/>
                <w:rtl/>
              </w:rPr>
              <w:t xml:space="preserve"> (فضاء-أرض) والخدمات الثابتة والساتلية البينية والمتنقلة في النطاق </w:t>
            </w:r>
            <w:r>
              <w:t>GHz</w:t>
            </w:r>
            <w:r w:rsidR="006855AD">
              <w:t> </w:t>
            </w:r>
            <w:r>
              <w:t>27,0</w:t>
            </w:r>
            <w:r w:rsidR="006855AD">
              <w:noBreakHyphen/>
            </w:r>
            <w:r>
              <w:t>25,5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SA.1625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 w:rsidP="006855AD">
            <w:pPr>
              <w:pStyle w:val="Tabletext"/>
              <w:spacing w:before="60" w:after="60" w:line="320" w:lineRule="exact"/>
              <w:ind w:right="113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جدوى التقاسم بين خدمة البحوث الفضائية (فضاء-أرض) والخدمات الثابتة والمتنقلة وما</w:t>
            </w:r>
            <w:r w:rsidR="006855AD">
              <w:rPr>
                <w:rFonts w:hint="eastAsia"/>
                <w:lang w:val="en-US" w:bidi="ar-EG"/>
              </w:rPr>
              <w:t> </w:t>
            </w:r>
            <w:r>
              <w:rPr>
                <w:rFonts w:hint="cs"/>
                <w:rtl/>
                <w:lang w:val="en-US" w:bidi="ar-EG"/>
              </w:rPr>
              <w:t xml:space="preserve">بين السواتل في النطاق </w:t>
            </w:r>
            <w:r>
              <w:rPr>
                <w:lang w:val="fr-CH" w:bidi="ar-EG"/>
              </w:rPr>
              <w:t>27,0</w:t>
            </w:r>
            <w:r w:rsidR="006855AD">
              <w:noBreakHyphen/>
            </w:r>
            <w:r>
              <w:rPr>
                <w:lang w:val="fr-CH" w:bidi="ar-EG"/>
              </w:rPr>
              <w:t>25,5</w:t>
            </w:r>
            <w:r>
              <w:rPr>
                <w:rFonts w:hint="cs"/>
                <w:rtl/>
                <w:lang w:val="en-US" w:bidi="ar-EG"/>
              </w:rPr>
              <w:t> </w:t>
            </w:r>
            <w:r>
              <w:rPr>
                <w:lang w:val="fr-CH" w:bidi="ar-EG"/>
              </w:rPr>
              <w:t>GHz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RS.1262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 w:rsidP="006855AD">
            <w:pPr>
              <w:pStyle w:val="Tabletext"/>
              <w:spacing w:before="60" w:after="60" w:line="320" w:lineRule="exact"/>
              <w:ind w:right="113"/>
            </w:pPr>
            <w:r>
              <w:rPr>
                <w:rFonts w:hint="cs"/>
                <w:rtl/>
              </w:rPr>
              <w:t xml:space="preserve">معايير التقاسم والتنسيق لمساعدات الأرصاد الجوية في النطاقين </w:t>
            </w:r>
            <w:r>
              <w:t>MHz 406</w:t>
            </w:r>
            <w:r w:rsidR="006855AD">
              <w:noBreakHyphen/>
            </w:r>
            <w:r>
              <w:t>400,15</w:t>
            </w:r>
            <w:r>
              <w:rPr>
                <w:rFonts w:hint="cs"/>
                <w:rtl/>
              </w:rPr>
              <w:t xml:space="preserve"> و</w:t>
            </w:r>
            <w:r>
              <w:t>MHz</w:t>
            </w:r>
            <w:r w:rsidR="006855AD">
              <w:t> </w:t>
            </w:r>
            <w:r>
              <w:t>1 700</w:t>
            </w:r>
            <w:r w:rsidR="006855AD">
              <w:noBreakHyphen/>
            </w:r>
            <w:r>
              <w:t>1</w:t>
            </w:r>
            <w:r>
              <w:rPr>
                <w:lang w:val="fr-CH"/>
              </w:rPr>
              <w:t> </w:t>
            </w:r>
            <w:r>
              <w:t>668,4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</w:pPr>
            <w:r>
              <w:t>SA.1236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</w:pPr>
            <w:r>
              <w:rPr>
                <w:rFonts w:hint="cs"/>
                <w:rtl/>
              </w:rPr>
              <w:t xml:space="preserve">تقاسم الترددات بين وصلات النشاط خارج المركبة </w:t>
            </w:r>
            <w:r>
              <w:t>(EVA)</w:t>
            </w:r>
            <w:r>
              <w:rPr>
                <w:rFonts w:hint="cs"/>
                <w:rtl/>
              </w:rPr>
              <w:t xml:space="preserve"> لخدمة الأبحاث الفضائية ووصلات الخدمة الثابتة والمتنقلة في النطاق بين </w:t>
            </w:r>
            <w:r>
              <w:t>410</w:t>
            </w:r>
            <w:r>
              <w:rPr>
                <w:rFonts w:hint="cs"/>
                <w:rtl/>
              </w:rPr>
              <w:t xml:space="preserve"> و</w:t>
            </w:r>
            <w:r>
              <w:t>MHz 420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TF.458-3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  <w:rPr>
                <w:rFonts w:eastAsia="MS Mincho"/>
              </w:rPr>
            </w:pPr>
            <w:r>
              <w:rPr>
                <w:rFonts w:hint="cs"/>
                <w:rtl/>
              </w:rPr>
              <w:t>مقارنات دولية بين سلالم التوقيت الذري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TF.536-2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  <w:rPr>
                <w:rFonts w:eastAsia="MS Mincho"/>
              </w:rPr>
            </w:pPr>
            <w:r>
              <w:rPr>
                <w:rFonts w:hint="cs"/>
                <w:rtl/>
              </w:rPr>
              <w:t>ترميزات تستعمل للإشارة إلى سلالم التوقيت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TF.582-2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PlainText"/>
              <w:bidi/>
              <w:spacing w:before="60" w:after="60" w:line="320" w:lineRule="exact"/>
              <w:ind w:right="113"/>
              <w:jc w:val="both"/>
              <w:rPr>
                <w:rFonts w:ascii="Times New Roman" w:eastAsia="MS Mincho" w:hAnsi="Times New Roman" w:cs="Traditional Arabic"/>
                <w:sz w:val="22"/>
                <w:szCs w:val="30"/>
                <w:lang w:val="fr-FR"/>
              </w:rPr>
            </w:pPr>
            <w:r>
              <w:rPr>
                <w:rFonts w:ascii="Times New Roman" w:hAnsi="Times New Roman" w:cs="Traditional Arabic" w:hint="cs"/>
                <w:sz w:val="22"/>
                <w:szCs w:val="30"/>
                <w:rtl/>
                <w:lang w:val="fr-FR"/>
              </w:rPr>
              <w:t>بث وتنسيق الإشارات المرجعية للوقت والترددات عبر السواتل</w:t>
            </w:r>
          </w:p>
        </w:tc>
      </w:tr>
      <w:tr w:rsidR="00711AE1" w:rsidTr="006855A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PlainText"/>
              <w:spacing w:before="60" w:after="60" w:line="320" w:lineRule="exact"/>
              <w:jc w:val="center"/>
              <w:rPr>
                <w:rFonts w:ascii="Times New Roman" w:eastAsia="MS Mincho" w:hAnsi="Times New Roman" w:cs="Traditional Arabic"/>
                <w:sz w:val="22"/>
                <w:szCs w:val="30"/>
                <w:lang w:val="fr-FR"/>
              </w:rPr>
            </w:pPr>
            <w:r>
              <w:rPr>
                <w:rFonts w:ascii="Times New Roman" w:eastAsia="MS Mincho" w:hAnsi="Times New Roman" w:cs="Traditional Arabic"/>
                <w:sz w:val="22"/>
                <w:szCs w:val="30"/>
                <w:lang w:val="fr-FR"/>
              </w:rPr>
              <w:t>TF.1552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E1" w:rsidRDefault="00711AE1">
            <w:pPr>
              <w:pStyle w:val="Tabletext"/>
              <w:spacing w:before="60" w:after="60" w:line="320" w:lineRule="exact"/>
              <w:ind w:right="113"/>
              <w:rPr>
                <w:rFonts w:eastAsia="MS Mincho"/>
              </w:rPr>
            </w:pPr>
            <w:r>
              <w:rPr>
                <w:rFonts w:eastAsia="MS Mincho" w:hint="cs"/>
                <w:rtl/>
              </w:rPr>
              <w:t>سلالم التوقيت لاستخدامها في خدمتي الترددات المعيارية وإشارات التوقيت</w:t>
            </w:r>
          </w:p>
        </w:tc>
      </w:tr>
    </w:tbl>
    <w:p w:rsidR="004455A5" w:rsidRDefault="009365E9" w:rsidP="008D0DE6">
      <w:pPr>
        <w:tabs>
          <w:tab w:val="left" w:pos="2224"/>
          <w:tab w:val="center" w:pos="4819"/>
        </w:tabs>
        <w:spacing w:before="60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</w:t>
      </w:r>
    </w:p>
    <w:sectPr w:rsidR="004455A5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A3" w:rsidRDefault="002B5FA3">
      <w:r>
        <w:separator/>
      </w:r>
    </w:p>
  </w:endnote>
  <w:endnote w:type="continuationSeparator" w:id="0">
    <w:p w:rsidR="002B5FA3" w:rsidRDefault="002B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A3" w:rsidRPr="00123964" w:rsidRDefault="00282E7D" w:rsidP="00E63D84">
    <w:pPr>
      <w:pStyle w:val="Footer"/>
      <w:tabs>
        <w:tab w:val="clear" w:pos="6379"/>
        <w:tab w:val="center" w:pos="5670"/>
        <w:tab w:val="right" w:pos="15451"/>
      </w:tabs>
      <w:spacing w:before="80" w:line="192" w:lineRule="auto"/>
      <w:rPr>
        <w:szCs w:val="16"/>
        <w:lang w:val="es-ES"/>
      </w:rPr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 w:rsidR="00F4026F">
      <w:rPr>
        <w:szCs w:val="16"/>
      </w:rPr>
      <w:t>Y:\APP\BR\CIRCS_DMS\CACE\500\529\529a.DOCX</w:t>
    </w:r>
    <w:r>
      <w:rPr>
        <w:szCs w:val="16"/>
      </w:rPr>
      <w:fldChar w:fldCharType="end"/>
    </w:r>
    <w:r w:rsidR="002B5FA3" w:rsidRPr="00123964">
      <w:rPr>
        <w:rFonts w:hint="eastAsia"/>
        <w:szCs w:val="16"/>
        <w:lang w:val="es-ES"/>
      </w:rPr>
      <w:tab/>
    </w:r>
    <w:r w:rsidR="002B5FA3" w:rsidRPr="00123964">
      <w:rPr>
        <w:szCs w:val="16"/>
      </w:rPr>
      <w:fldChar w:fldCharType="begin"/>
    </w:r>
    <w:r w:rsidR="002B5FA3" w:rsidRPr="00123964">
      <w:rPr>
        <w:szCs w:val="16"/>
      </w:rPr>
      <w:instrText xml:space="preserve"> DATE \@ "dd/MM/yyyy" </w:instrText>
    </w:r>
    <w:r w:rsidR="002B5FA3" w:rsidRPr="00123964">
      <w:rPr>
        <w:szCs w:val="16"/>
      </w:rPr>
      <w:fldChar w:fldCharType="separate"/>
    </w:r>
    <w:r w:rsidR="00F4026F">
      <w:rPr>
        <w:szCs w:val="16"/>
      </w:rPr>
      <w:t>14/02/2011</w:t>
    </w:r>
    <w:r w:rsidR="002B5FA3" w:rsidRPr="00123964">
      <w:rPr>
        <w:szCs w:val="16"/>
      </w:rPr>
      <w:fldChar w:fldCharType="end"/>
    </w:r>
    <w:r w:rsidR="002B5FA3" w:rsidRPr="00123964">
      <w:rPr>
        <w:rFonts w:hint="eastAsia"/>
        <w:szCs w:val="16"/>
        <w:lang w:val="es-ES"/>
      </w:rPr>
      <w:tab/>
    </w:r>
    <w:r w:rsidR="002B5FA3" w:rsidRPr="00123964">
      <w:rPr>
        <w:szCs w:val="16"/>
      </w:rPr>
      <w:fldChar w:fldCharType="begin"/>
    </w:r>
    <w:r w:rsidR="002B5FA3" w:rsidRPr="00123964">
      <w:rPr>
        <w:szCs w:val="16"/>
      </w:rPr>
      <w:instrText xml:space="preserve"> DATE \@ "dd/MM/yyyy" </w:instrText>
    </w:r>
    <w:r w:rsidR="002B5FA3" w:rsidRPr="00123964">
      <w:rPr>
        <w:szCs w:val="16"/>
      </w:rPr>
      <w:fldChar w:fldCharType="separate"/>
    </w:r>
    <w:r w:rsidR="00F4026F">
      <w:rPr>
        <w:szCs w:val="16"/>
      </w:rPr>
      <w:t>14/02/2011</w:t>
    </w:r>
    <w:r w:rsidR="002B5FA3" w:rsidRPr="00123964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B5FA3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5FA3" w:rsidRDefault="002B5FA3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5FA3" w:rsidRDefault="002B5FA3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5FA3" w:rsidRDefault="002B5FA3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5FA3" w:rsidRDefault="002B5FA3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B5FA3">
      <w:trPr>
        <w:cantSplit/>
        <w:jc w:val="center"/>
      </w:trPr>
      <w:tc>
        <w:tcPr>
          <w:tcW w:w="1062" w:type="pct"/>
        </w:tcPr>
        <w:p w:rsidR="002B5FA3" w:rsidRDefault="002B5FA3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B5FA3" w:rsidRDefault="002B5FA3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B5FA3" w:rsidRDefault="002B5FA3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B5FA3" w:rsidRDefault="002B5FA3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B5FA3">
      <w:trPr>
        <w:cantSplit/>
        <w:jc w:val="center"/>
      </w:trPr>
      <w:tc>
        <w:tcPr>
          <w:tcW w:w="1062" w:type="pct"/>
        </w:tcPr>
        <w:p w:rsidR="002B5FA3" w:rsidRDefault="002B5FA3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B5FA3" w:rsidRDefault="002B5FA3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B5FA3" w:rsidRDefault="002B5FA3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B5FA3" w:rsidRDefault="002B5FA3">
          <w:pPr>
            <w:pStyle w:val="itu"/>
            <w:bidi w:val="0"/>
            <w:spacing w:line="240" w:lineRule="auto"/>
          </w:pPr>
        </w:p>
      </w:tc>
    </w:tr>
  </w:tbl>
  <w:p w:rsidR="002B5FA3" w:rsidRPr="00B60F3C" w:rsidRDefault="002B5FA3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A3" w:rsidRDefault="002B5FA3">
      <w:r>
        <w:t>____________________</w:t>
      </w:r>
    </w:p>
  </w:footnote>
  <w:footnote w:type="continuationSeparator" w:id="0">
    <w:p w:rsidR="002B5FA3" w:rsidRDefault="002B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A3" w:rsidRPr="00123964" w:rsidRDefault="002B5FA3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F4026F">
      <w:rPr>
        <w:rStyle w:val="PageNumber"/>
        <w:noProof/>
        <w:sz w:val="22"/>
        <w:szCs w:val="22"/>
      </w:rPr>
      <w:t>3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A0238"/>
    <w:rsid w:val="000A5989"/>
    <w:rsid w:val="000C2275"/>
    <w:rsid w:val="000D6E5E"/>
    <w:rsid w:val="00123964"/>
    <w:rsid w:val="0015472E"/>
    <w:rsid w:val="0017387F"/>
    <w:rsid w:val="001B76C6"/>
    <w:rsid w:val="002245D5"/>
    <w:rsid w:val="002421E2"/>
    <w:rsid w:val="00272D2E"/>
    <w:rsid w:val="002800C3"/>
    <w:rsid w:val="00282E7D"/>
    <w:rsid w:val="002A6EE3"/>
    <w:rsid w:val="002B429A"/>
    <w:rsid w:val="002B5FA3"/>
    <w:rsid w:val="002F50DD"/>
    <w:rsid w:val="0033452F"/>
    <w:rsid w:val="003E4FE0"/>
    <w:rsid w:val="003E6E31"/>
    <w:rsid w:val="0041280C"/>
    <w:rsid w:val="0043420B"/>
    <w:rsid w:val="004455A5"/>
    <w:rsid w:val="00473EBF"/>
    <w:rsid w:val="004805AF"/>
    <w:rsid w:val="00502FA8"/>
    <w:rsid w:val="00523C53"/>
    <w:rsid w:val="00530244"/>
    <w:rsid w:val="005369B6"/>
    <w:rsid w:val="00544220"/>
    <w:rsid w:val="00554F06"/>
    <w:rsid w:val="00571BB2"/>
    <w:rsid w:val="00574722"/>
    <w:rsid w:val="005A305F"/>
    <w:rsid w:val="005F700A"/>
    <w:rsid w:val="0061258A"/>
    <w:rsid w:val="006332A5"/>
    <w:rsid w:val="006855AD"/>
    <w:rsid w:val="006947CB"/>
    <w:rsid w:val="006A7AE5"/>
    <w:rsid w:val="006B6AF4"/>
    <w:rsid w:val="00711AE1"/>
    <w:rsid w:val="00720DFC"/>
    <w:rsid w:val="00757994"/>
    <w:rsid w:val="00776029"/>
    <w:rsid w:val="007946C0"/>
    <w:rsid w:val="007C68A4"/>
    <w:rsid w:val="007D77E5"/>
    <w:rsid w:val="007D7A10"/>
    <w:rsid w:val="007E76D3"/>
    <w:rsid w:val="007F2DBC"/>
    <w:rsid w:val="00814ACB"/>
    <w:rsid w:val="00817199"/>
    <w:rsid w:val="0083338C"/>
    <w:rsid w:val="00870B76"/>
    <w:rsid w:val="008D0DE6"/>
    <w:rsid w:val="00907D16"/>
    <w:rsid w:val="00917B22"/>
    <w:rsid w:val="009365E9"/>
    <w:rsid w:val="00993234"/>
    <w:rsid w:val="00993A11"/>
    <w:rsid w:val="009C5DD3"/>
    <w:rsid w:val="00A60550"/>
    <w:rsid w:val="00A93713"/>
    <w:rsid w:val="00AB1F50"/>
    <w:rsid w:val="00B448C6"/>
    <w:rsid w:val="00B73B76"/>
    <w:rsid w:val="00BA0A41"/>
    <w:rsid w:val="00BC7CFC"/>
    <w:rsid w:val="00BD0B3A"/>
    <w:rsid w:val="00BF4776"/>
    <w:rsid w:val="00BF4B64"/>
    <w:rsid w:val="00C21112"/>
    <w:rsid w:val="00C71C57"/>
    <w:rsid w:val="00C7467E"/>
    <w:rsid w:val="00C861A8"/>
    <w:rsid w:val="00CB7D1A"/>
    <w:rsid w:val="00CD0425"/>
    <w:rsid w:val="00D13C0F"/>
    <w:rsid w:val="00D14A1D"/>
    <w:rsid w:val="00D25607"/>
    <w:rsid w:val="00D50FAC"/>
    <w:rsid w:val="00D81C13"/>
    <w:rsid w:val="00D84510"/>
    <w:rsid w:val="00DC1D86"/>
    <w:rsid w:val="00DC70D0"/>
    <w:rsid w:val="00E3584E"/>
    <w:rsid w:val="00E4560C"/>
    <w:rsid w:val="00E607F6"/>
    <w:rsid w:val="00E63D84"/>
    <w:rsid w:val="00EB3B99"/>
    <w:rsid w:val="00ED25DB"/>
    <w:rsid w:val="00EF78F5"/>
    <w:rsid w:val="00F05C97"/>
    <w:rsid w:val="00F10078"/>
    <w:rsid w:val="00F26342"/>
    <w:rsid w:val="00F4026F"/>
    <w:rsid w:val="00F532B7"/>
    <w:rsid w:val="00F87D6E"/>
    <w:rsid w:val="00FD6C79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9557C1A-7513-4AE8-A3C5-97EC3763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3</Pages>
  <Words>505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3448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bonet</cp:lastModifiedBy>
  <cp:revision>4</cp:revision>
  <cp:lastPrinted>2011-02-14T18:25:00Z</cp:lastPrinted>
  <dcterms:created xsi:type="dcterms:W3CDTF">2011-02-14T18:24:00Z</dcterms:created>
  <dcterms:modified xsi:type="dcterms:W3CDTF">2011-02-14T18:25:00Z</dcterms:modified>
</cp:coreProperties>
</file>