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B90A5F" w:rsidRPr="007B3DB1" w:rsidTr="004334C5">
        <w:tc>
          <w:tcPr>
            <w:tcW w:w="9889" w:type="dxa"/>
            <w:gridSpan w:val="3"/>
            <w:shd w:val="clear" w:color="auto" w:fill="auto"/>
          </w:tcPr>
          <w:p w:rsidR="00B90A5F" w:rsidRDefault="00B90A5F" w:rsidP="004334C5">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Pr="00AF70DA">
              <w:rPr>
                <w:rFonts w:cstheme="minorHAnsi"/>
                <w:b/>
                <w:bCs/>
                <w:color w:val="808080"/>
                <w:sz w:val="28"/>
                <w:szCs w:val="28"/>
                <w:lang w:val="en-GB"/>
              </w:rPr>
              <w:t>Bureau (BR)</w:t>
            </w:r>
          </w:p>
          <w:p w:rsidR="00B90A5F" w:rsidRDefault="00B90A5F" w:rsidP="004334C5">
            <w:pPr>
              <w:spacing w:before="0"/>
              <w:jc w:val="left"/>
              <w:rPr>
                <w:rFonts w:cstheme="minorHAnsi"/>
                <w:b/>
                <w:bCs/>
                <w:color w:val="808080"/>
                <w:sz w:val="28"/>
                <w:szCs w:val="28"/>
                <w:lang w:val="en-GB"/>
              </w:rPr>
            </w:pPr>
          </w:p>
          <w:p w:rsidR="00B90A5F" w:rsidRPr="00AF70DA" w:rsidRDefault="00B90A5F" w:rsidP="004334C5">
            <w:pPr>
              <w:spacing w:before="0"/>
              <w:jc w:val="left"/>
              <w:rPr>
                <w:rFonts w:cs="Times New Roman Bold"/>
                <w:b/>
                <w:bCs/>
                <w:color w:val="808080"/>
                <w:sz w:val="28"/>
                <w:szCs w:val="28"/>
                <w:lang w:val="en-GB"/>
              </w:rPr>
            </w:pPr>
          </w:p>
        </w:tc>
      </w:tr>
      <w:tr w:rsidR="00B90A5F" w:rsidRPr="00CD4E44" w:rsidTr="004334C5">
        <w:tc>
          <w:tcPr>
            <w:tcW w:w="7054" w:type="dxa"/>
            <w:gridSpan w:val="2"/>
            <w:shd w:val="clear" w:color="auto" w:fill="auto"/>
          </w:tcPr>
          <w:p w:rsidR="00B90A5F" w:rsidRPr="00CD4E44" w:rsidRDefault="00B90A5F" w:rsidP="004334C5">
            <w:pPr>
              <w:spacing w:before="0"/>
              <w:jc w:val="left"/>
              <w:rPr>
                <w:szCs w:val="24"/>
                <w:lang w:val="fr-CH"/>
              </w:rPr>
            </w:pPr>
            <w:r w:rsidRPr="00CD4E44">
              <w:rPr>
                <w:szCs w:val="24"/>
                <w:lang w:val="fr-CH"/>
              </w:rPr>
              <w:t xml:space="preserve">Administrative </w:t>
            </w:r>
            <w:proofErr w:type="spellStart"/>
            <w:r w:rsidRPr="00CD4E44">
              <w:rPr>
                <w:szCs w:val="24"/>
                <w:lang w:val="fr-CH"/>
              </w:rPr>
              <w:t>Circular</w:t>
            </w:r>
            <w:proofErr w:type="spellEnd"/>
          </w:p>
          <w:p w:rsidR="00B90A5F" w:rsidRPr="00CD4E44" w:rsidRDefault="00B90A5F" w:rsidP="004334C5">
            <w:pPr>
              <w:spacing w:before="0"/>
              <w:jc w:val="left"/>
              <w:rPr>
                <w:b/>
                <w:bCs/>
                <w:szCs w:val="24"/>
                <w:lang w:val="fr-CH"/>
              </w:rPr>
            </w:pPr>
            <w:r w:rsidRPr="00CD4E44">
              <w:rPr>
                <w:b/>
                <w:bCs/>
                <w:szCs w:val="24"/>
                <w:lang w:val="fr-CH"/>
              </w:rPr>
              <w:t>CA/</w:t>
            </w:r>
            <w:r>
              <w:rPr>
                <w:b/>
                <w:bCs/>
                <w:szCs w:val="24"/>
                <w:lang w:val="fr-CH"/>
              </w:rPr>
              <w:t>219</w:t>
            </w:r>
          </w:p>
        </w:tc>
        <w:tc>
          <w:tcPr>
            <w:tcW w:w="2835" w:type="dxa"/>
            <w:shd w:val="clear" w:color="auto" w:fill="auto"/>
          </w:tcPr>
          <w:p w:rsidR="00B90A5F" w:rsidRPr="00CD4E44" w:rsidRDefault="00B90A5F" w:rsidP="004334C5">
            <w:pPr>
              <w:spacing w:before="0"/>
              <w:jc w:val="right"/>
              <w:rPr>
                <w:szCs w:val="24"/>
                <w:lang w:val="en-GB"/>
              </w:rPr>
            </w:pPr>
            <w:r>
              <w:rPr>
                <w:szCs w:val="24"/>
                <w:lang w:val="en-GB"/>
              </w:rPr>
              <w:t xml:space="preserve">17 </w:t>
            </w:r>
            <w:r w:rsidRPr="00726B6A">
              <w:rPr>
                <w:szCs w:val="24"/>
                <w:lang w:val="en-GB"/>
              </w:rPr>
              <w:t>February 2015</w:t>
            </w:r>
          </w:p>
        </w:tc>
      </w:tr>
      <w:tr w:rsidR="00B90A5F" w:rsidRPr="00CD4E44" w:rsidTr="004334C5">
        <w:tc>
          <w:tcPr>
            <w:tcW w:w="9889" w:type="dxa"/>
            <w:gridSpan w:val="3"/>
            <w:shd w:val="clear" w:color="auto" w:fill="auto"/>
          </w:tcPr>
          <w:p w:rsidR="00B90A5F" w:rsidRPr="00CD4E44" w:rsidRDefault="00B90A5F" w:rsidP="004334C5">
            <w:pPr>
              <w:spacing w:before="0"/>
              <w:jc w:val="left"/>
              <w:rPr>
                <w:rFonts w:cs="Arial"/>
                <w:szCs w:val="24"/>
                <w:lang w:val="en-GB"/>
              </w:rPr>
            </w:pPr>
          </w:p>
        </w:tc>
      </w:tr>
      <w:tr w:rsidR="00B90A5F" w:rsidRPr="00CD4E44" w:rsidTr="004334C5">
        <w:tc>
          <w:tcPr>
            <w:tcW w:w="9889" w:type="dxa"/>
            <w:gridSpan w:val="3"/>
            <w:shd w:val="clear" w:color="auto" w:fill="auto"/>
          </w:tcPr>
          <w:p w:rsidR="00B90A5F" w:rsidRPr="00CD4E44" w:rsidRDefault="00B90A5F" w:rsidP="004334C5">
            <w:pPr>
              <w:spacing w:before="0"/>
              <w:jc w:val="left"/>
              <w:rPr>
                <w:szCs w:val="24"/>
              </w:rPr>
            </w:pPr>
          </w:p>
        </w:tc>
      </w:tr>
      <w:tr w:rsidR="00B90A5F" w:rsidRPr="00CD4E44" w:rsidTr="004334C5">
        <w:tc>
          <w:tcPr>
            <w:tcW w:w="9889" w:type="dxa"/>
            <w:gridSpan w:val="3"/>
            <w:shd w:val="clear" w:color="auto" w:fill="auto"/>
          </w:tcPr>
          <w:p w:rsidR="00B90A5F" w:rsidRPr="00CD4E44" w:rsidRDefault="00B90A5F" w:rsidP="004334C5">
            <w:pPr>
              <w:spacing w:before="0"/>
              <w:jc w:val="left"/>
              <w:rPr>
                <w:b/>
                <w:bCs/>
                <w:szCs w:val="24"/>
              </w:rPr>
            </w:pPr>
            <w:r w:rsidRPr="00CD4E44">
              <w:rPr>
                <w:b/>
                <w:bCs/>
                <w:szCs w:val="24"/>
              </w:rPr>
              <w:t xml:space="preserve">To </w:t>
            </w:r>
            <w:r w:rsidRPr="00E85824">
              <w:rPr>
                <w:rFonts w:asciiTheme="minorHAnsi" w:hAnsiTheme="minorHAnsi"/>
                <w:b/>
                <w:bCs/>
                <w:szCs w:val="24"/>
              </w:rPr>
              <w:t xml:space="preserve">Administrations of Member States of ITU </w:t>
            </w:r>
            <w:r w:rsidRPr="00537F52">
              <w:rPr>
                <w:rFonts w:asciiTheme="minorHAnsi" w:hAnsiTheme="minorHAnsi"/>
                <w:b/>
                <w:bCs/>
                <w:szCs w:val="24"/>
              </w:rPr>
              <w:t>and Observers at WRC-15</w:t>
            </w:r>
          </w:p>
          <w:p w:rsidR="00B90A5F" w:rsidRPr="00CD4E44" w:rsidRDefault="00B90A5F" w:rsidP="004334C5">
            <w:pPr>
              <w:spacing w:before="0"/>
              <w:jc w:val="left"/>
              <w:rPr>
                <w:b/>
                <w:bCs/>
                <w:szCs w:val="24"/>
              </w:rPr>
            </w:pPr>
          </w:p>
          <w:p w:rsidR="00B90A5F" w:rsidRPr="00CD4E44" w:rsidRDefault="00B90A5F" w:rsidP="004334C5">
            <w:pPr>
              <w:spacing w:before="0"/>
              <w:jc w:val="left"/>
              <w:rPr>
                <w:b/>
                <w:bCs/>
                <w:szCs w:val="24"/>
              </w:rPr>
            </w:pPr>
          </w:p>
        </w:tc>
      </w:tr>
      <w:tr w:rsidR="00B90A5F" w:rsidRPr="00CD4E44" w:rsidTr="004334C5">
        <w:tc>
          <w:tcPr>
            <w:tcW w:w="9889" w:type="dxa"/>
            <w:gridSpan w:val="3"/>
            <w:shd w:val="clear" w:color="auto" w:fill="auto"/>
          </w:tcPr>
          <w:p w:rsidR="00B90A5F" w:rsidRPr="00CD4E44" w:rsidRDefault="00B90A5F" w:rsidP="004334C5">
            <w:pPr>
              <w:spacing w:before="0"/>
              <w:jc w:val="left"/>
              <w:rPr>
                <w:szCs w:val="24"/>
              </w:rPr>
            </w:pPr>
          </w:p>
        </w:tc>
      </w:tr>
      <w:tr w:rsidR="00B90A5F" w:rsidRPr="00CD4E44" w:rsidTr="004334C5">
        <w:tc>
          <w:tcPr>
            <w:tcW w:w="9889" w:type="dxa"/>
            <w:gridSpan w:val="3"/>
            <w:shd w:val="clear" w:color="auto" w:fill="auto"/>
          </w:tcPr>
          <w:p w:rsidR="00B90A5F" w:rsidRPr="00CD4E44" w:rsidRDefault="00B90A5F" w:rsidP="004334C5">
            <w:pPr>
              <w:spacing w:before="0"/>
              <w:jc w:val="left"/>
              <w:rPr>
                <w:szCs w:val="24"/>
              </w:rPr>
            </w:pPr>
          </w:p>
        </w:tc>
      </w:tr>
      <w:tr w:rsidR="00B90A5F" w:rsidRPr="00CD4E44" w:rsidTr="004334C5">
        <w:tc>
          <w:tcPr>
            <w:tcW w:w="1526" w:type="dxa"/>
            <w:shd w:val="clear" w:color="auto" w:fill="auto"/>
          </w:tcPr>
          <w:p w:rsidR="00B90A5F" w:rsidRPr="006614B5" w:rsidRDefault="00B90A5F" w:rsidP="004334C5">
            <w:pPr>
              <w:spacing w:before="0"/>
              <w:jc w:val="left"/>
              <w:rPr>
                <w:b/>
                <w:bCs/>
                <w:szCs w:val="24"/>
                <w:lang w:val="en-GB"/>
              </w:rPr>
            </w:pPr>
            <w:r w:rsidRPr="002D2B9F">
              <w:rPr>
                <w:szCs w:val="24"/>
              </w:rPr>
              <w:t>Subject</w:t>
            </w:r>
            <w:r w:rsidRPr="006614B5">
              <w:rPr>
                <w:b/>
                <w:bCs/>
                <w:szCs w:val="24"/>
              </w:rPr>
              <w:t>:</w:t>
            </w:r>
          </w:p>
        </w:tc>
        <w:tc>
          <w:tcPr>
            <w:tcW w:w="8363" w:type="dxa"/>
            <w:gridSpan w:val="2"/>
            <w:vMerge w:val="restart"/>
            <w:shd w:val="clear" w:color="auto" w:fill="auto"/>
          </w:tcPr>
          <w:p w:rsidR="00B90A5F" w:rsidRPr="006614B5" w:rsidRDefault="00B90A5F" w:rsidP="004334C5">
            <w:pPr>
              <w:spacing w:before="0"/>
              <w:rPr>
                <w:b/>
                <w:bCs/>
                <w:szCs w:val="24"/>
                <w:lang w:val="en-GB"/>
              </w:rPr>
            </w:pPr>
            <w:r w:rsidRPr="006614B5">
              <w:rPr>
                <w:b/>
                <w:bCs/>
              </w:rPr>
              <w:t xml:space="preserve">World </w:t>
            </w:r>
            <w:proofErr w:type="spellStart"/>
            <w:r w:rsidRPr="006614B5">
              <w:rPr>
                <w:b/>
                <w:bCs/>
              </w:rPr>
              <w:t>Radiocommunication</w:t>
            </w:r>
            <w:proofErr w:type="spellEnd"/>
            <w:r w:rsidRPr="006614B5">
              <w:rPr>
                <w:b/>
                <w:bCs/>
              </w:rPr>
              <w:t xml:space="preserve"> Conference 2015 (WRC-15)</w:t>
            </w:r>
          </w:p>
        </w:tc>
      </w:tr>
      <w:tr w:rsidR="00B90A5F" w:rsidRPr="00CD4E44" w:rsidTr="004334C5">
        <w:tc>
          <w:tcPr>
            <w:tcW w:w="1526" w:type="dxa"/>
            <w:shd w:val="clear" w:color="auto" w:fill="auto"/>
          </w:tcPr>
          <w:p w:rsidR="00B90A5F" w:rsidRPr="00CD4E44" w:rsidRDefault="00B90A5F" w:rsidP="004334C5">
            <w:pPr>
              <w:spacing w:before="0"/>
              <w:jc w:val="left"/>
              <w:rPr>
                <w:b/>
                <w:bCs/>
                <w:szCs w:val="24"/>
                <w:lang w:val="en-GB"/>
              </w:rPr>
            </w:pPr>
          </w:p>
        </w:tc>
        <w:tc>
          <w:tcPr>
            <w:tcW w:w="8363" w:type="dxa"/>
            <w:gridSpan w:val="2"/>
            <w:vMerge/>
            <w:shd w:val="clear" w:color="auto" w:fill="auto"/>
          </w:tcPr>
          <w:p w:rsidR="00B90A5F" w:rsidRPr="00CD4E44" w:rsidRDefault="00B90A5F" w:rsidP="004334C5">
            <w:pPr>
              <w:spacing w:before="0"/>
              <w:rPr>
                <w:b/>
                <w:bCs/>
                <w:szCs w:val="24"/>
                <w:lang w:val="en-GB"/>
              </w:rPr>
            </w:pPr>
          </w:p>
        </w:tc>
      </w:tr>
    </w:tbl>
    <w:p w:rsidR="00B90A5F" w:rsidRPr="00726B6A" w:rsidRDefault="00B90A5F" w:rsidP="00B90A5F">
      <w:pPr>
        <w:pStyle w:val="Heading1"/>
      </w:pPr>
      <w:r w:rsidRPr="003D75DF">
        <w:t>1</w:t>
      </w:r>
      <w:r w:rsidRPr="003D75DF">
        <w:tab/>
      </w:r>
      <w:r>
        <w:t>Invitation, Date and Venue</w:t>
      </w:r>
    </w:p>
    <w:p w:rsidR="00B90A5F" w:rsidRPr="00926954" w:rsidRDefault="00B90A5F" w:rsidP="00B90A5F">
      <w:pPr>
        <w:pStyle w:val="Normalaftertitle0"/>
        <w:jc w:val="both"/>
        <w:rPr>
          <w:rFonts w:ascii="Calibri" w:hAnsi="Calibri" w:cs="Calibri"/>
          <w:szCs w:val="22"/>
          <w:lang w:val="en-US"/>
        </w:rPr>
      </w:pPr>
      <w:r w:rsidRPr="006340EF">
        <w:rPr>
          <w:rFonts w:ascii="Calibri" w:hAnsi="Calibri" w:cs="Calibri"/>
          <w:szCs w:val="22"/>
          <w:lang w:val="en-US"/>
        </w:rPr>
        <w:t>As announced</w:t>
      </w:r>
      <w:r w:rsidRPr="00926954">
        <w:rPr>
          <w:rFonts w:ascii="Calibri" w:hAnsi="Calibri" w:cs="Calibri"/>
          <w:szCs w:val="22"/>
          <w:lang w:val="en-US"/>
        </w:rPr>
        <w:t xml:space="preserve"> by the Secretary-General in Circular Letters </w:t>
      </w:r>
      <w:r w:rsidRPr="00726B6A">
        <w:rPr>
          <w:rFonts w:ascii="Calibri" w:hAnsi="Calibri" w:cs="Calibri"/>
          <w:szCs w:val="22"/>
          <w:lang w:val="en-US"/>
        </w:rPr>
        <w:t xml:space="preserve">CL-002 </w:t>
      </w:r>
      <w:r w:rsidRPr="006340EF">
        <w:rPr>
          <w:rFonts w:ascii="Calibri" w:hAnsi="Calibri" w:cs="Calibri"/>
          <w:szCs w:val="22"/>
          <w:lang w:val="en-US"/>
        </w:rPr>
        <w:t>and DM-15/</w:t>
      </w:r>
      <w:r w:rsidRPr="00726B6A">
        <w:rPr>
          <w:rFonts w:ascii="Calibri" w:hAnsi="Calibri" w:cs="Calibri"/>
          <w:szCs w:val="22"/>
          <w:lang w:val="en-US"/>
        </w:rPr>
        <w:t>1000</w:t>
      </w:r>
      <w:r w:rsidRPr="006340EF">
        <w:rPr>
          <w:rFonts w:ascii="Calibri" w:hAnsi="Calibri" w:cs="Calibri"/>
          <w:szCs w:val="22"/>
          <w:lang w:val="en-US"/>
        </w:rPr>
        <w:t xml:space="preserve"> dated </w:t>
      </w:r>
      <w:r w:rsidRPr="00726B6A">
        <w:rPr>
          <w:rFonts w:ascii="Calibri" w:hAnsi="Calibri" w:cs="Calibri"/>
          <w:szCs w:val="22"/>
          <w:lang w:val="en-US"/>
        </w:rPr>
        <w:t>19</w:t>
      </w:r>
      <w:r w:rsidRPr="006340EF">
        <w:rPr>
          <w:rFonts w:ascii="Calibri" w:hAnsi="Calibri" w:cs="Calibri"/>
          <w:szCs w:val="22"/>
          <w:lang w:val="en-US"/>
        </w:rPr>
        <w:t> January 2015</w:t>
      </w:r>
      <w:r w:rsidRPr="00926954">
        <w:rPr>
          <w:rFonts w:ascii="Calibri" w:hAnsi="Calibri" w:cs="Calibri"/>
          <w:szCs w:val="22"/>
          <w:lang w:val="en-US"/>
        </w:rPr>
        <w:t xml:space="preserve">, the World </w:t>
      </w:r>
      <w:proofErr w:type="spellStart"/>
      <w:r w:rsidRPr="00926954">
        <w:rPr>
          <w:rFonts w:ascii="Calibri" w:hAnsi="Calibri" w:cs="Calibri"/>
          <w:szCs w:val="22"/>
          <w:lang w:val="en-US"/>
        </w:rPr>
        <w:t>Radiocommunication</w:t>
      </w:r>
      <w:proofErr w:type="spellEnd"/>
      <w:r w:rsidRPr="00926954">
        <w:rPr>
          <w:rFonts w:ascii="Calibri" w:hAnsi="Calibri" w:cs="Calibri"/>
          <w:szCs w:val="22"/>
          <w:lang w:val="en-US"/>
        </w:rPr>
        <w:t xml:space="preserve"> Conference 201</w:t>
      </w:r>
      <w:r>
        <w:rPr>
          <w:rFonts w:ascii="Calibri" w:hAnsi="Calibri" w:cs="Calibri"/>
          <w:szCs w:val="22"/>
          <w:lang w:val="en-US"/>
        </w:rPr>
        <w:t>5</w:t>
      </w:r>
      <w:r w:rsidRPr="00926954">
        <w:rPr>
          <w:rFonts w:ascii="Calibri" w:hAnsi="Calibri" w:cs="Calibri"/>
          <w:szCs w:val="22"/>
          <w:lang w:val="en-US"/>
        </w:rPr>
        <w:t xml:space="preserve"> (WRC-1</w:t>
      </w:r>
      <w:r>
        <w:rPr>
          <w:rFonts w:ascii="Calibri" w:hAnsi="Calibri" w:cs="Calibri"/>
          <w:szCs w:val="22"/>
          <w:lang w:val="en-US"/>
        </w:rPr>
        <w:t>5</w:t>
      </w:r>
      <w:r w:rsidRPr="00926954">
        <w:rPr>
          <w:rFonts w:ascii="Calibri" w:hAnsi="Calibri" w:cs="Calibri"/>
          <w:szCs w:val="22"/>
          <w:lang w:val="en-US"/>
        </w:rPr>
        <w:t>) will be held from 2</w:t>
      </w:r>
      <w:r>
        <w:rPr>
          <w:rFonts w:ascii="Calibri" w:hAnsi="Calibri" w:cs="Calibri"/>
          <w:szCs w:val="22"/>
          <w:lang w:val="en-US"/>
        </w:rPr>
        <w:t xml:space="preserve"> to 27 November 2015 at both the ITU Geneva </w:t>
      </w:r>
      <w:r w:rsidRPr="00726B6A">
        <w:rPr>
          <w:rFonts w:asciiTheme="minorHAnsi" w:hAnsiTheme="minorHAnsi" w:cs="Calibri"/>
          <w:szCs w:val="22"/>
          <w:lang w:val="en-US"/>
        </w:rPr>
        <w:t xml:space="preserve">Headquarters and the </w:t>
      </w:r>
      <w:r w:rsidRPr="00726B6A">
        <w:rPr>
          <w:rFonts w:asciiTheme="minorHAnsi" w:hAnsiTheme="minorHAnsi"/>
        </w:rPr>
        <w:t>International Conference Centre of Geneva (CICG)</w:t>
      </w:r>
      <w:r w:rsidRPr="00726B6A">
        <w:rPr>
          <w:rFonts w:asciiTheme="minorHAnsi" w:hAnsiTheme="minorHAnsi" w:cs="Calibri"/>
          <w:szCs w:val="22"/>
          <w:lang w:val="en-US"/>
        </w:rPr>
        <w:t xml:space="preserve">, immediately following the </w:t>
      </w:r>
      <w:proofErr w:type="spellStart"/>
      <w:r w:rsidRPr="00726B6A">
        <w:rPr>
          <w:rFonts w:asciiTheme="minorHAnsi" w:hAnsiTheme="minorHAnsi" w:cs="Calibri"/>
          <w:szCs w:val="22"/>
          <w:lang w:val="en-US"/>
        </w:rPr>
        <w:t>Radi</w:t>
      </w:r>
      <w:r w:rsidRPr="00926954">
        <w:rPr>
          <w:rFonts w:ascii="Calibri" w:hAnsi="Calibri" w:cs="Calibri"/>
          <w:szCs w:val="22"/>
          <w:lang w:val="en-US"/>
        </w:rPr>
        <w:t>ocommunication</w:t>
      </w:r>
      <w:proofErr w:type="spellEnd"/>
      <w:r w:rsidRPr="00926954">
        <w:rPr>
          <w:rFonts w:ascii="Calibri" w:hAnsi="Calibri" w:cs="Calibri"/>
          <w:szCs w:val="22"/>
          <w:lang w:val="en-US"/>
        </w:rPr>
        <w:t xml:space="preserve"> Assembly 201</w:t>
      </w:r>
      <w:r>
        <w:rPr>
          <w:rFonts w:ascii="Calibri" w:hAnsi="Calibri" w:cs="Calibri"/>
          <w:szCs w:val="22"/>
          <w:lang w:val="en-US"/>
        </w:rPr>
        <w:t>5</w:t>
      </w:r>
      <w:r w:rsidRPr="00926954">
        <w:rPr>
          <w:rFonts w:ascii="Calibri" w:hAnsi="Calibri" w:cs="Calibri"/>
          <w:szCs w:val="22"/>
          <w:lang w:val="en-US"/>
        </w:rPr>
        <w:t xml:space="preserve"> (RA-1</w:t>
      </w:r>
      <w:r>
        <w:rPr>
          <w:rFonts w:ascii="Calibri" w:hAnsi="Calibri" w:cs="Calibri"/>
          <w:szCs w:val="22"/>
          <w:lang w:val="en-US"/>
        </w:rPr>
        <w:t>5</w:t>
      </w:r>
      <w:r w:rsidRPr="00926954">
        <w:rPr>
          <w:rFonts w:ascii="Calibri" w:hAnsi="Calibri" w:cs="Calibri"/>
          <w:szCs w:val="22"/>
          <w:lang w:val="en-US"/>
        </w:rPr>
        <w:t>). The purpose of this Administrative Circular is to provide further details for WRC-1</w:t>
      </w:r>
      <w:r>
        <w:rPr>
          <w:rFonts w:ascii="Calibri" w:hAnsi="Calibri" w:cs="Calibri"/>
          <w:szCs w:val="22"/>
          <w:lang w:val="en-US"/>
        </w:rPr>
        <w:t>5</w:t>
      </w:r>
      <w:r w:rsidRPr="00926954">
        <w:rPr>
          <w:rFonts w:ascii="Calibri" w:hAnsi="Calibri" w:cs="Calibri"/>
          <w:szCs w:val="22"/>
          <w:lang w:val="en-US"/>
        </w:rPr>
        <w:t xml:space="preserve"> </w:t>
      </w:r>
      <w:r>
        <w:rPr>
          <w:rFonts w:ascii="Calibri" w:hAnsi="Calibri" w:cs="Calibri"/>
          <w:szCs w:val="22"/>
          <w:lang w:val="en-US"/>
        </w:rPr>
        <w:t xml:space="preserve">in order </w:t>
      </w:r>
      <w:r w:rsidRPr="00926954">
        <w:rPr>
          <w:rFonts w:ascii="Calibri" w:hAnsi="Calibri" w:cs="Calibri"/>
          <w:szCs w:val="22"/>
          <w:lang w:val="en-US"/>
        </w:rPr>
        <w:t>to assist participants with their preparations.</w:t>
      </w:r>
    </w:p>
    <w:p w:rsidR="00B90A5F" w:rsidRPr="00474D21" w:rsidRDefault="00B90A5F" w:rsidP="00B90A5F">
      <w:r>
        <w:rPr>
          <w:lang w:eastAsia="zh-CN"/>
        </w:rPr>
        <w:t>The agenda of the Conference, contained in Council Resolution 1343</w:t>
      </w:r>
      <w:r w:rsidRPr="00080B38">
        <w:rPr>
          <w:lang w:eastAsia="zh-CN"/>
        </w:rPr>
        <w:t>,</w:t>
      </w:r>
      <w:r>
        <w:rPr>
          <w:lang w:eastAsia="zh-CN"/>
        </w:rPr>
        <w:t xml:space="preserve"> is attached in </w:t>
      </w:r>
      <w:r w:rsidRPr="00726B6A">
        <w:rPr>
          <w:b/>
          <w:bCs/>
          <w:lang w:eastAsia="zh-CN"/>
        </w:rPr>
        <w:t>Annex 1</w:t>
      </w:r>
      <w:r>
        <w:rPr>
          <w:lang w:eastAsia="zh-CN"/>
        </w:rPr>
        <w:t xml:space="preserve">. In addition, the 2014 Plenipotentiary Conference through its </w:t>
      </w:r>
      <w:r w:rsidRPr="00A223EB">
        <w:rPr>
          <w:lang w:eastAsia="zh-CN"/>
        </w:rPr>
        <w:t>Resolution 185 (</w:t>
      </w:r>
      <w:r>
        <w:rPr>
          <w:lang w:eastAsia="zh-CN"/>
        </w:rPr>
        <w:t>Busan, 2014) resolves to i</w:t>
      </w:r>
      <w:r w:rsidRPr="00AD54AF">
        <w:rPr>
          <w:lang w:eastAsia="zh-CN"/>
        </w:rPr>
        <w:t xml:space="preserve">nstruct WRC-15, pursuant to No. 119 of the ITU Convention, to include </w:t>
      </w:r>
      <w:r>
        <w:rPr>
          <w:lang w:eastAsia="zh-CN"/>
        </w:rPr>
        <w:t>in</w:t>
      </w:r>
      <w:r w:rsidRPr="00AD54AF">
        <w:rPr>
          <w:lang w:eastAsia="zh-CN"/>
        </w:rPr>
        <w:t xml:space="preserve"> its agenda</w:t>
      </w:r>
      <w:r w:rsidRPr="00A223EB">
        <w:rPr>
          <w:lang w:eastAsia="zh-CN"/>
        </w:rPr>
        <w:t>, as a matter</w:t>
      </w:r>
      <w:r w:rsidRPr="003A2945">
        <w:rPr>
          <w:szCs w:val="24"/>
        </w:rPr>
        <w:t xml:space="preserve"> of urgency,</w:t>
      </w:r>
      <w:r w:rsidRPr="00AD54AF">
        <w:rPr>
          <w:lang w:eastAsia="zh-CN"/>
        </w:rPr>
        <w:t xml:space="preserve"> the consideration of global flight tracking</w:t>
      </w:r>
      <w:r>
        <w:rPr>
          <w:szCs w:val="24"/>
        </w:rPr>
        <w:t>, including, if appropriate and consistent with ITU practices, various aspects of the</w:t>
      </w:r>
      <w:r w:rsidRPr="007D1AC4">
        <w:rPr>
          <w:szCs w:val="24"/>
        </w:rPr>
        <w:t xml:space="preserve"> </w:t>
      </w:r>
      <w:r>
        <w:rPr>
          <w:szCs w:val="24"/>
        </w:rPr>
        <w:t>matter</w:t>
      </w:r>
      <w:r w:rsidRPr="00AD54AF">
        <w:rPr>
          <w:lang w:eastAsia="zh-CN"/>
        </w:rPr>
        <w:t>, taking into account ITU-R studies</w:t>
      </w:r>
      <w:r>
        <w:rPr>
          <w:lang w:eastAsia="zh-CN"/>
        </w:rPr>
        <w:t xml:space="preserve"> (see </w:t>
      </w:r>
      <w:r w:rsidRPr="00726B6A">
        <w:rPr>
          <w:b/>
          <w:bCs/>
          <w:lang w:eastAsia="zh-CN"/>
        </w:rPr>
        <w:t>Annex 2</w:t>
      </w:r>
      <w:r>
        <w:rPr>
          <w:lang w:eastAsia="zh-CN"/>
        </w:rPr>
        <w:t>)</w:t>
      </w:r>
      <w:r w:rsidRPr="00AD54AF">
        <w:rPr>
          <w:lang w:eastAsia="zh-CN"/>
        </w:rPr>
        <w:t>.</w:t>
      </w:r>
    </w:p>
    <w:p w:rsidR="00B90A5F" w:rsidRPr="00B777D5" w:rsidRDefault="00B90A5F" w:rsidP="00B90A5F">
      <w:pPr>
        <w:pStyle w:val="Heading1"/>
      </w:pPr>
      <w:r>
        <w:rPr>
          <w:bCs/>
        </w:rPr>
        <w:t>2</w:t>
      </w:r>
      <w:r w:rsidRPr="00B777D5">
        <w:tab/>
      </w:r>
      <w:r>
        <w:t>Submission of proposals prepared in advance of WRC-15</w:t>
      </w:r>
    </w:p>
    <w:p w:rsidR="00B90A5F" w:rsidRPr="00F34FA8" w:rsidRDefault="00B90A5F" w:rsidP="00B90A5F">
      <w:pPr>
        <w:rPr>
          <w:rStyle w:val="msoins0"/>
          <w:rFonts w:ascii="Times New Roman" w:hAnsi="Times New Roman" w:cs="Times New Roman"/>
          <w:szCs w:val="20"/>
          <w:lang w:val="en-GB"/>
        </w:rPr>
      </w:pPr>
      <w:r w:rsidRPr="00474D21">
        <w:t>Member States</w:t>
      </w:r>
      <w:r>
        <w:t xml:space="preserve"> and the State of Palestine</w:t>
      </w:r>
      <w:r w:rsidRPr="00474D21">
        <w:t xml:space="preserve"> may wish to give consideration to their proposals for the work of </w:t>
      </w:r>
      <w:r>
        <w:t>WRC-15</w:t>
      </w:r>
      <w:r w:rsidRPr="00474D21">
        <w:t xml:space="preserve">. In accordance with </w:t>
      </w:r>
      <w:hyperlink r:id="rId9" w:anchor="8" w:history="1">
        <w:r w:rsidRPr="00A13D75">
          <w:rPr>
            <w:rStyle w:val="Hyperlink"/>
          </w:rPr>
          <w:t>No. 40</w:t>
        </w:r>
      </w:hyperlink>
      <w:r w:rsidRPr="00474D21">
        <w:t xml:space="preserve"> of the General Rules of Conferences, Assemblies an</w:t>
      </w:r>
      <w:r>
        <w:t xml:space="preserve">d </w:t>
      </w:r>
      <w:r w:rsidRPr="00474D21">
        <w:t>Meetings of the Union, such proposals will need to reach the ITU Secretariat at least four</w:t>
      </w:r>
      <w:r>
        <w:t xml:space="preserve"> (4)</w:t>
      </w:r>
      <w:r w:rsidRPr="00474D21">
        <w:t xml:space="preserve"> months before the start of </w:t>
      </w:r>
      <w:r>
        <w:t>WRC</w:t>
      </w:r>
      <w:r>
        <w:noBreakHyphen/>
        <w:t>15, i.e</w:t>
      </w:r>
      <w:r w:rsidRPr="00161060">
        <w:t xml:space="preserve">. </w:t>
      </w:r>
      <w:r w:rsidRPr="00726B6A">
        <w:t xml:space="preserve">2 June </w:t>
      </w:r>
      <w:r w:rsidRPr="00161060">
        <w:t>2015</w:t>
      </w:r>
      <w:r w:rsidRPr="00474D21">
        <w:t xml:space="preserve">. </w:t>
      </w:r>
      <w:r>
        <w:t>Furthermore, i</w:t>
      </w:r>
      <w:r w:rsidRPr="00F34FA8">
        <w:t>n order to ensure</w:t>
      </w:r>
      <w:r w:rsidRPr="00F34FA8">
        <w:rPr>
          <w:rStyle w:val="msoins0"/>
        </w:rPr>
        <w:t>, in accordance with Resolution 165 (Guadalajara 2010),</w:t>
      </w:r>
      <w:r w:rsidRPr="00F34FA8">
        <w:t xml:space="preserve"> the timely translation and thorough consideration </w:t>
      </w:r>
      <w:r w:rsidRPr="00F34FA8">
        <w:rPr>
          <w:rStyle w:val="msoins0"/>
        </w:rPr>
        <w:t xml:space="preserve">by delegations </w:t>
      </w:r>
      <w:r w:rsidRPr="00F34FA8">
        <w:t xml:space="preserve">of </w:t>
      </w:r>
      <w:r>
        <w:t>documents</w:t>
      </w:r>
      <w:r w:rsidRPr="00F34FA8">
        <w:t xml:space="preserve"> submitted</w:t>
      </w:r>
      <w:r w:rsidRPr="00F34FA8">
        <w:rPr>
          <w:rStyle w:val="msoins0"/>
        </w:rPr>
        <w:t xml:space="preserve"> to WRC-1</w:t>
      </w:r>
      <w:r>
        <w:rPr>
          <w:rStyle w:val="msoins0"/>
        </w:rPr>
        <w:t>5</w:t>
      </w:r>
      <w:r w:rsidRPr="00F34FA8">
        <w:t xml:space="preserve">, </w:t>
      </w:r>
      <w:r>
        <w:t xml:space="preserve">they </w:t>
      </w:r>
      <w:r w:rsidRPr="006F57B6">
        <w:t>should</w:t>
      </w:r>
      <w:r w:rsidRPr="00726B6A">
        <w:rPr>
          <w:b/>
          <w:bCs/>
        </w:rPr>
        <w:t xml:space="preserve"> submit their proposals no later than fourteen (14) days before the commencement of the Conference</w:t>
      </w:r>
      <w:r>
        <w:rPr>
          <w:b/>
          <w:bCs/>
        </w:rPr>
        <w:t xml:space="preserve"> (deadline of </w:t>
      </w:r>
      <w:r w:rsidRPr="00726B6A">
        <w:rPr>
          <w:b/>
          <w:bCs/>
        </w:rPr>
        <w:t>19</w:t>
      </w:r>
      <w:r>
        <w:rPr>
          <w:b/>
          <w:bCs/>
        </w:rPr>
        <w:t> </w:t>
      </w:r>
      <w:r w:rsidRPr="00726B6A">
        <w:rPr>
          <w:b/>
          <w:bCs/>
        </w:rPr>
        <w:t>October 2015</w:t>
      </w:r>
      <w:r>
        <w:rPr>
          <w:b/>
          <w:bCs/>
        </w:rPr>
        <w:t>)</w:t>
      </w:r>
      <w:r w:rsidRPr="00726B6A">
        <w:rPr>
          <w:b/>
          <w:bCs/>
        </w:rPr>
        <w:t>.</w:t>
      </w:r>
    </w:p>
    <w:p w:rsidR="00B90A5F" w:rsidRDefault="00B90A5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B90A5F" w:rsidRDefault="00B90A5F" w:rsidP="00B90A5F">
      <w:r>
        <w:lastRenderedPageBreak/>
        <w:t>Member States and the State of Palestine</w:t>
      </w:r>
      <w:r w:rsidRPr="00474D21">
        <w:t xml:space="preserve"> are urged to give careful attention to the initial preparation of proposals so as to avoid needless revisions to documents. </w:t>
      </w:r>
      <w:r>
        <w:t xml:space="preserve">In order to comply with </w:t>
      </w:r>
      <w:hyperlink r:id="rId10" w:anchor="8" w:history="1">
        <w:r w:rsidRPr="00726B6A">
          <w:t>provisions</w:t>
        </w:r>
        <w:r>
          <w:t xml:space="preserve"> of </w:t>
        </w:r>
        <w:r>
          <w:rPr>
            <w:rStyle w:val="Hyperlink"/>
          </w:rPr>
          <w:t>Nos. 4</w:t>
        </w:r>
        <w:r w:rsidRPr="00D24941">
          <w:rPr>
            <w:rStyle w:val="Hyperlink"/>
          </w:rPr>
          <w:t>1 and 42</w:t>
        </w:r>
      </w:hyperlink>
      <w:r>
        <w:t xml:space="preserve"> of the General Rules of conferences, Assemblies and Meetings of the Union with regard to the format of proposals for the Conference, the Secretariat has prepared guidelines for the presentation of proposals (see </w:t>
      </w:r>
      <w:r w:rsidRPr="00726B6A">
        <w:rPr>
          <w:b/>
          <w:bCs/>
        </w:rPr>
        <w:t>Annex 3</w:t>
      </w:r>
      <w:r>
        <w:t>). An electronic tool to facilitate preparation of the proposals will be made available. Further information on this tool will be sent in due course.</w:t>
      </w:r>
      <w:r w:rsidRPr="00474D21" w:rsidDel="00D24941">
        <w:t xml:space="preserve"> </w:t>
      </w:r>
    </w:p>
    <w:p w:rsidR="00B90A5F" w:rsidRPr="00B777D5" w:rsidRDefault="00B90A5F" w:rsidP="00B90A5F">
      <w:pPr>
        <w:pStyle w:val="Heading1"/>
      </w:pPr>
      <w:r>
        <w:rPr>
          <w:bCs/>
        </w:rPr>
        <w:t>3</w:t>
      </w:r>
      <w:r w:rsidRPr="00B777D5">
        <w:tab/>
      </w:r>
      <w:r>
        <w:t>Availability of d</w:t>
      </w:r>
      <w:r w:rsidRPr="00B777D5">
        <w:t xml:space="preserve">ocuments produced </w:t>
      </w:r>
      <w:r>
        <w:t xml:space="preserve">before and </w:t>
      </w:r>
      <w:r w:rsidRPr="00B777D5">
        <w:t xml:space="preserve">during </w:t>
      </w:r>
      <w:r>
        <w:t>WRC-15</w:t>
      </w:r>
    </w:p>
    <w:p w:rsidR="00B90A5F" w:rsidRPr="00537F52" w:rsidRDefault="00B90A5F" w:rsidP="00B83665">
      <w:pPr>
        <w:spacing w:before="0"/>
      </w:pPr>
      <w:r>
        <w:rPr>
          <w:rFonts w:asciiTheme="minorHAnsi" w:eastAsia="MS PGothic" w:hAnsiTheme="minorHAnsi" w:cs="Times New Roman"/>
          <w:szCs w:val="24"/>
          <w:lang w:val="en-GB" w:eastAsia="zh-CN"/>
        </w:rPr>
        <w:t xml:space="preserve">In accordance with </w:t>
      </w:r>
      <w:r w:rsidRPr="004843EB">
        <w:rPr>
          <w:rFonts w:asciiTheme="minorHAnsi" w:eastAsia="MS PGothic" w:hAnsiTheme="minorHAnsi" w:cs="Times New Roman"/>
          <w:szCs w:val="24"/>
          <w:lang w:val="en-GB" w:eastAsia="zh-CN"/>
        </w:rPr>
        <w:t>no. 9 of Annex 2 to Decision 5 (Rev. Busan, 2014)</w:t>
      </w:r>
      <w:r w:rsidRPr="00561645">
        <w:rPr>
          <w:rFonts w:asciiTheme="minorHAnsi" w:eastAsia="MS PGothic" w:hAnsiTheme="minorHAnsi" w:cs="Times New Roman"/>
          <w:szCs w:val="24"/>
          <w:lang w:val="en-GB" w:eastAsia="zh-CN"/>
        </w:rPr>
        <w:t xml:space="preserve"> to reduce the cost of documentation of ITU conferences, </w:t>
      </w:r>
      <w:r w:rsidRPr="004843EB">
        <w:rPr>
          <w:rFonts w:asciiTheme="minorHAnsi" w:hAnsiTheme="minorHAnsi" w:cs="Times New Roman"/>
          <w:b/>
          <w:bCs/>
          <w:szCs w:val="24"/>
          <w:lang w:val="en-GB"/>
        </w:rPr>
        <w:t xml:space="preserve">WRC-15 </w:t>
      </w:r>
      <w:r w:rsidRPr="004843EB">
        <w:rPr>
          <w:rFonts w:asciiTheme="minorHAnsi" w:eastAsia="MS PGothic" w:hAnsiTheme="minorHAnsi"/>
          <w:b/>
          <w:bCs/>
          <w:szCs w:val="24"/>
          <w:lang w:eastAsia="zh-CN"/>
        </w:rPr>
        <w:t>will be completely paperless</w:t>
      </w:r>
      <w:r>
        <w:rPr>
          <w:rFonts w:asciiTheme="minorHAnsi" w:eastAsia="MS PGothic" w:hAnsiTheme="minorHAnsi"/>
          <w:szCs w:val="24"/>
          <w:lang w:eastAsia="zh-CN"/>
        </w:rPr>
        <w:t>. H</w:t>
      </w:r>
      <w:r w:rsidRPr="004843EB">
        <w:rPr>
          <w:rFonts w:asciiTheme="minorHAnsi" w:eastAsia="MS PGothic" w:hAnsiTheme="minorHAnsi"/>
          <w:szCs w:val="24"/>
          <w:lang w:eastAsia="zh-CN"/>
        </w:rPr>
        <w:t>owever,</w:t>
      </w:r>
      <w:r w:rsidRPr="004843EB">
        <w:rPr>
          <w:rFonts w:asciiTheme="minorHAnsi" w:eastAsia="MS PGothic" w:hAnsiTheme="minorHAnsi"/>
          <w:b/>
          <w:bCs/>
          <w:szCs w:val="24"/>
          <w:lang w:eastAsia="zh-CN"/>
        </w:rPr>
        <w:t xml:space="preserve"> </w:t>
      </w:r>
      <w:r>
        <w:rPr>
          <w:rFonts w:asciiTheme="minorHAnsi" w:eastAsia="SimSun" w:hAnsiTheme="minorHAnsi"/>
          <w:szCs w:val="24"/>
          <w:lang w:eastAsia="zh-CN"/>
        </w:rPr>
        <w:t>p</w:t>
      </w:r>
      <w:r w:rsidRPr="00F40756">
        <w:rPr>
          <w:rFonts w:asciiTheme="minorHAnsi" w:eastAsia="SimSun" w:hAnsiTheme="minorHAnsi"/>
          <w:szCs w:val="24"/>
          <w:lang w:eastAsia="zh-CN"/>
        </w:rPr>
        <w:t xml:space="preserve">rinters </w:t>
      </w:r>
      <w:r w:rsidRPr="001B398A">
        <w:rPr>
          <w:rFonts w:asciiTheme="minorHAnsi" w:eastAsia="SimSun" w:hAnsiTheme="minorHAnsi"/>
          <w:szCs w:val="24"/>
          <w:lang w:eastAsia="zh-CN"/>
        </w:rPr>
        <w:t>will be</w:t>
      </w:r>
      <w:r>
        <w:rPr>
          <w:rFonts w:asciiTheme="minorHAnsi" w:eastAsia="SimSun" w:hAnsiTheme="minorHAnsi"/>
          <w:szCs w:val="24"/>
          <w:lang w:eastAsia="zh-CN"/>
        </w:rPr>
        <w:t xml:space="preserve"> </w:t>
      </w:r>
      <w:r w:rsidRPr="00F40756">
        <w:rPr>
          <w:rFonts w:asciiTheme="minorHAnsi" w:eastAsia="SimSun" w:hAnsiTheme="minorHAnsi"/>
          <w:szCs w:val="24"/>
          <w:lang w:eastAsia="zh-CN"/>
        </w:rPr>
        <w:t xml:space="preserve">available in the </w:t>
      </w:r>
      <w:r w:rsidRPr="00F40756">
        <w:rPr>
          <w:rFonts w:asciiTheme="minorHAnsi" w:eastAsia="SimSun" w:hAnsiTheme="minorHAnsi" w:cs="Times New Roman"/>
          <w:szCs w:val="24"/>
          <w:lang w:val="en-GB" w:eastAsia="zh-CN"/>
        </w:rPr>
        <w:t xml:space="preserve">cyber cafés of the CICG and </w:t>
      </w:r>
      <w:r w:rsidRPr="00F40756">
        <w:rPr>
          <w:rFonts w:asciiTheme="minorHAnsi" w:eastAsia="SimSun" w:hAnsiTheme="minorHAnsi"/>
          <w:szCs w:val="24"/>
          <w:lang w:eastAsia="zh-CN"/>
        </w:rPr>
        <w:t xml:space="preserve">the </w:t>
      </w:r>
      <w:r>
        <w:rPr>
          <w:rFonts w:asciiTheme="minorHAnsi" w:eastAsia="SimSun" w:hAnsiTheme="minorHAnsi"/>
          <w:szCs w:val="24"/>
          <w:lang w:eastAsia="zh-CN"/>
        </w:rPr>
        <w:t>ITU</w:t>
      </w:r>
      <w:r w:rsidRPr="00F40756">
        <w:rPr>
          <w:rFonts w:asciiTheme="minorHAnsi" w:eastAsia="SimSun" w:hAnsiTheme="minorHAnsi"/>
          <w:szCs w:val="24"/>
          <w:lang w:eastAsia="zh-CN"/>
        </w:rPr>
        <w:t xml:space="preserve"> for </w:t>
      </w:r>
      <w:r w:rsidR="00B83665">
        <w:rPr>
          <w:rFonts w:asciiTheme="minorHAnsi" w:eastAsia="SimSun" w:hAnsiTheme="minorHAnsi"/>
          <w:szCs w:val="24"/>
          <w:lang w:eastAsia="zh-CN"/>
        </w:rPr>
        <w:t>participants</w:t>
      </w:r>
      <w:r w:rsidRPr="00F40756">
        <w:rPr>
          <w:rFonts w:asciiTheme="minorHAnsi" w:eastAsia="SimSun" w:hAnsiTheme="minorHAnsi"/>
          <w:szCs w:val="24"/>
          <w:lang w:eastAsia="zh-CN"/>
        </w:rPr>
        <w:t xml:space="preserve"> who wish to print documents</w:t>
      </w:r>
      <w:r>
        <w:rPr>
          <w:rFonts w:asciiTheme="minorHAnsi" w:eastAsia="SimSun" w:hAnsiTheme="minorHAnsi"/>
          <w:szCs w:val="24"/>
          <w:lang w:eastAsia="zh-CN"/>
        </w:rPr>
        <w:t xml:space="preserve"> on</w:t>
      </w:r>
      <w:r>
        <w:rPr>
          <w:rFonts w:asciiTheme="minorHAnsi" w:eastAsia="SimSun" w:hAnsiTheme="minorHAnsi"/>
          <w:szCs w:val="24"/>
          <w:lang w:eastAsia="zh-CN"/>
        </w:rPr>
        <w:noBreakHyphen/>
        <w:t>site</w:t>
      </w:r>
      <w:r w:rsidRPr="004843EB">
        <w:rPr>
          <w:rFonts w:asciiTheme="minorHAnsi" w:hAnsiTheme="minorHAnsi"/>
          <w:szCs w:val="24"/>
        </w:rPr>
        <w:t>.</w:t>
      </w:r>
      <w:r w:rsidRPr="00F40756">
        <w:rPr>
          <w:rFonts w:asciiTheme="minorHAnsi" w:eastAsia="MS PGothic" w:hAnsiTheme="minorHAnsi"/>
          <w:szCs w:val="24"/>
          <w:lang w:eastAsia="zh-CN"/>
        </w:rPr>
        <w:t xml:space="preserve"> </w:t>
      </w:r>
      <w:r w:rsidRPr="00B777D5">
        <w:t xml:space="preserve">All documents will be available electronically on the </w:t>
      </w:r>
      <w:r w:rsidRPr="002D496F">
        <w:rPr>
          <w:rFonts w:asciiTheme="minorHAnsi" w:hAnsiTheme="minorHAnsi"/>
          <w:szCs w:val="24"/>
        </w:rPr>
        <w:t xml:space="preserve">WRC-15 website at </w:t>
      </w:r>
      <w:hyperlink r:id="rId11" w:tooltip="click to update" w:history="1">
        <w:r w:rsidRPr="00FD110B">
          <w:rPr>
            <w:rStyle w:val="Hyperlink"/>
            <w:rFonts w:asciiTheme="minorHAnsi" w:hAnsiTheme="minorHAnsi" w:cstheme="majorBidi"/>
            <w:szCs w:val="24"/>
            <w:shd w:val="clear" w:color="auto" w:fill="FFFFFF"/>
            <w:lang w:val="en-GB"/>
          </w:rPr>
          <w:t>www.itu.int/go/ITU-R/wrc-15</w:t>
        </w:r>
      </w:hyperlink>
      <w:r w:rsidRPr="002D496F">
        <w:rPr>
          <w:rFonts w:asciiTheme="minorHAnsi" w:hAnsiTheme="minorHAnsi"/>
          <w:szCs w:val="24"/>
        </w:rPr>
        <w:t xml:space="preserve">. </w:t>
      </w:r>
      <w:r w:rsidRPr="00C41096">
        <w:rPr>
          <w:rFonts w:asciiTheme="minorHAnsi" w:eastAsia="MS PGothic" w:hAnsiTheme="minorHAnsi"/>
          <w:szCs w:val="24"/>
          <w:lang w:eastAsia="zh-CN"/>
        </w:rPr>
        <w:t xml:space="preserve">Wireless LAN facilities will be available for use by delegates in the meeting rooms. </w:t>
      </w:r>
      <w:r w:rsidRPr="002D496F">
        <w:rPr>
          <w:rFonts w:asciiTheme="minorHAnsi" w:hAnsiTheme="minorHAnsi"/>
          <w:szCs w:val="24"/>
        </w:rPr>
        <w:t>In</w:t>
      </w:r>
      <w:r>
        <w:t xml:space="preserve"> addition, the Secretariat is preparing an ITU Sync Application to enable the expeditious download and synchronization of WRC-15 documents from the ITU servers. </w:t>
      </w:r>
      <w:r w:rsidRPr="004843EB">
        <w:rPr>
          <w:rFonts w:asciiTheme="minorHAnsi" w:hAnsiTheme="minorHAnsi" w:cs="Times New Roman"/>
          <w:color w:val="000000"/>
          <w:szCs w:val="24"/>
          <w:shd w:val="clear" w:color="auto" w:fill="FFFFFF"/>
          <w:lang w:val="en-GB"/>
        </w:rPr>
        <w:t xml:space="preserve">An ITU </w:t>
      </w:r>
      <w:hyperlink r:id="rId12" w:history="1">
        <w:r w:rsidRPr="004843EB">
          <w:rPr>
            <w:rStyle w:val="Hyperlink"/>
            <w:rFonts w:asciiTheme="minorHAnsi" w:hAnsiTheme="minorHAnsi" w:cstheme="majorBidi"/>
            <w:szCs w:val="24"/>
            <w:shd w:val="clear" w:color="auto" w:fill="FFFFFF"/>
            <w:lang w:val="en-GB"/>
          </w:rPr>
          <w:t>TIES account</w:t>
        </w:r>
      </w:hyperlink>
      <w:r w:rsidRPr="004843EB">
        <w:rPr>
          <w:rFonts w:asciiTheme="minorHAnsi" w:hAnsiTheme="minorHAnsi" w:cs="Times New Roman"/>
          <w:color w:val="000000"/>
          <w:szCs w:val="24"/>
          <w:shd w:val="clear" w:color="auto" w:fill="FFFFFF"/>
          <w:lang w:val="en-GB"/>
        </w:rPr>
        <w:t xml:space="preserve"> is required to access WRC-15 documents and other electronic resources.</w:t>
      </w:r>
    </w:p>
    <w:p w:rsidR="00B90A5F" w:rsidRPr="00B777D5" w:rsidRDefault="00B90A5F" w:rsidP="00B90A5F">
      <w:r w:rsidRPr="00537F52">
        <w:t xml:space="preserve">One paper copy of the </w:t>
      </w:r>
      <w:r w:rsidRPr="004843EB">
        <w:t>Provisional</w:t>
      </w:r>
      <w:r w:rsidRPr="00561645">
        <w:t xml:space="preserve"> Final Acts will be provided at the end</w:t>
      </w:r>
      <w:r>
        <w:t xml:space="preserve"> of the conference </w:t>
      </w:r>
      <w:r w:rsidRPr="00B777D5">
        <w:t xml:space="preserve">to </w:t>
      </w:r>
      <w:r>
        <w:t>each</w:t>
      </w:r>
      <w:r w:rsidRPr="00B777D5">
        <w:t xml:space="preserve"> Head of </w:t>
      </w:r>
      <w:r>
        <w:t>D</w:t>
      </w:r>
      <w:r w:rsidRPr="00B777D5">
        <w:t>elegation</w:t>
      </w:r>
      <w:r>
        <w:t xml:space="preserve"> or his/her designated representative. </w:t>
      </w:r>
    </w:p>
    <w:p w:rsidR="00B90A5F" w:rsidRPr="00726B6A" w:rsidRDefault="00B90A5F" w:rsidP="00B90A5F">
      <w:pPr>
        <w:pStyle w:val="Heading1"/>
        <w:rPr>
          <w:b w:val="0"/>
          <w:bCs/>
          <w:sz w:val="22"/>
          <w:lang w:eastAsia="zh-CN"/>
        </w:rPr>
      </w:pPr>
      <w:r>
        <w:t>4</w:t>
      </w:r>
      <w:r w:rsidRPr="00B777D5">
        <w:tab/>
      </w:r>
      <w:r w:rsidRPr="00726B6A">
        <w:t>Participation/Visa requirements/Accommodation</w:t>
      </w:r>
    </w:p>
    <w:p w:rsidR="00B90A5F" w:rsidRPr="00726B6A" w:rsidRDefault="00B90A5F" w:rsidP="00B90A5F">
      <w:r>
        <w:t xml:space="preserve">Registration for the World </w:t>
      </w:r>
      <w:proofErr w:type="spellStart"/>
      <w:r>
        <w:t>Radiocommunication</w:t>
      </w:r>
      <w:proofErr w:type="spellEnd"/>
      <w:r>
        <w:t xml:space="preserve"> Conference will begin on 1 June 2015</w:t>
      </w:r>
      <w:r w:rsidRPr="00726B6A">
        <w:t>.  Advance registration to ITU</w:t>
      </w:r>
      <w:r>
        <w:t xml:space="preserve"> conferences</w:t>
      </w:r>
      <w:r w:rsidRPr="00726B6A">
        <w:t xml:space="preserve"> is mandatory and carried out exclusively online through Designated Focal Points (DFPs). Each ITU Member State and </w:t>
      </w:r>
      <w:r>
        <w:t>Observer</w:t>
      </w:r>
      <w:r w:rsidRPr="00726B6A">
        <w:t xml:space="preserve"> has been requested to designate a DFP responsible for the handling of all registration formalities, including visa support requests that should also be submitted by the DFP during the on-line registration process.  Individuals wishing to be registered to </w:t>
      </w:r>
      <w:r>
        <w:t>WRC-15</w:t>
      </w:r>
      <w:r w:rsidRPr="00726B6A">
        <w:t xml:space="preserve"> should directly contact the DFP for their entity.  The list of ITU-R DFPs (TIES protected) as well as detailed information on event registration, visa support requirements, hotel accommodation, etc. can be found at:</w:t>
      </w:r>
    </w:p>
    <w:p w:rsidR="00B90A5F" w:rsidRDefault="00CF1D3A" w:rsidP="00B90A5F">
      <w:pPr>
        <w:spacing w:before="240" w:after="120" w:line="240" w:lineRule="exact"/>
        <w:ind w:left="720"/>
        <w:jc w:val="center"/>
        <w:rPr>
          <w:sz w:val="22"/>
        </w:rPr>
      </w:pPr>
      <w:hyperlink r:id="rId13" w:history="1">
        <w:r w:rsidR="00B90A5F">
          <w:rPr>
            <w:rStyle w:val="Hyperlink"/>
          </w:rPr>
          <w:t>www.itu.int/en/ITU-R/information/events</w:t>
        </w:r>
      </w:hyperlink>
    </w:p>
    <w:p w:rsidR="00B90A5F" w:rsidRDefault="00B90A5F" w:rsidP="00B90A5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B90A5F" w:rsidRPr="009B7788" w:rsidRDefault="00B90A5F" w:rsidP="004F2448">
      <w:pPr>
        <w:pStyle w:val="Heading1"/>
        <w:tabs>
          <w:tab w:val="center" w:pos="4819"/>
        </w:tabs>
        <w:rPr>
          <w:bCs/>
          <w:sz w:val="22"/>
          <w:lang w:eastAsia="zh-CN"/>
        </w:rPr>
      </w:pPr>
      <w:r>
        <w:lastRenderedPageBreak/>
        <w:t>5</w:t>
      </w:r>
      <w:r w:rsidRPr="00B777D5">
        <w:tab/>
      </w:r>
      <w:r>
        <w:t>Further Information</w:t>
      </w:r>
    </w:p>
    <w:p w:rsidR="00B90A5F" w:rsidRPr="00474D21" w:rsidRDefault="00B90A5F" w:rsidP="00B90A5F">
      <w:r w:rsidRPr="00474D21">
        <w:t>The contact person for general matters regarding WRC-</w:t>
      </w:r>
      <w:r>
        <w:t>15</w:t>
      </w:r>
      <w:r w:rsidRPr="00474D21">
        <w:t xml:space="preserve"> is </w:t>
      </w:r>
      <w:proofErr w:type="spellStart"/>
      <w:r w:rsidRPr="00474D21">
        <w:t>Mr</w:t>
      </w:r>
      <w:proofErr w:type="spellEnd"/>
      <w:r w:rsidRPr="00474D21">
        <w:t> </w:t>
      </w:r>
      <w:r>
        <w:t xml:space="preserve">Mario Maniewicz, Deputy to the Director, </w:t>
      </w:r>
      <w:proofErr w:type="spellStart"/>
      <w:r>
        <w:t>Radiocommunication</w:t>
      </w:r>
      <w:proofErr w:type="spellEnd"/>
      <w:r>
        <w:t xml:space="preserve"> Bureau</w:t>
      </w:r>
      <w:r w:rsidRPr="00474D21">
        <w:t xml:space="preserve"> (Tel.: +4</w:t>
      </w:r>
      <w:r>
        <w:t xml:space="preserve">1 22 730 5940 or </w:t>
      </w:r>
      <w:r w:rsidRPr="00474D21">
        <w:t xml:space="preserve">e-mail: </w:t>
      </w:r>
      <w:hyperlink r:id="rId14" w:history="1">
        <w:r w:rsidRPr="00A54898">
          <w:rPr>
            <w:rStyle w:val="Hyperlink"/>
          </w:rPr>
          <w:t>mario.maniewicz@itu.int</w:t>
        </w:r>
      </w:hyperlink>
      <w:r w:rsidRPr="00474D21">
        <w:t>).</w:t>
      </w:r>
    </w:p>
    <w:p w:rsidR="00B90A5F" w:rsidRDefault="00B90A5F" w:rsidP="00B90A5F">
      <w:pPr>
        <w:rPr>
          <w:rFonts w:asciiTheme="minorHAnsi" w:hAnsiTheme="minorHAnsi" w:cstheme="minorHAnsi"/>
          <w:szCs w:val="24"/>
        </w:rPr>
      </w:pPr>
    </w:p>
    <w:p w:rsidR="00B90A5F" w:rsidRDefault="00B90A5F" w:rsidP="00B90A5F">
      <w:pPr>
        <w:rPr>
          <w:rFonts w:asciiTheme="minorHAnsi" w:hAnsiTheme="minorHAnsi" w:cstheme="minorHAnsi"/>
          <w:szCs w:val="24"/>
        </w:rPr>
      </w:pPr>
    </w:p>
    <w:p w:rsidR="00B90A5F" w:rsidRDefault="00B90A5F" w:rsidP="00B90A5F">
      <w:pPr>
        <w:rPr>
          <w:rFonts w:asciiTheme="minorHAnsi" w:hAnsiTheme="minorHAnsi" w:cstheme="minorHAnsi"/>
          <w:szCs w:val="24"/>
        </w:rPr>
      </w:pPr>
    </w:p>
    <w:p w:rsidR="00B90A5F" w:rsidRDefault="00B90A5F" w:rsidP="00B90A5F">
      <w:pPr>
        <w:rPr>
          <w:rFonts w:asciiTheme="minorHAnsi" w:hAnsiTheme="minorHAnsi" w:cstheme="minorHAnsi"/>
          <w:szCs w:val="24"/>
        </w:rPr>
      </w:pPr>
    </w:p>
    <w:p w:rsidR="00B90A5F" w:rsidRPr="00926954" w:rsidRDefault="00B90A5F" w:rsidP="00B90A5F">
      <w:pPr>
        <w:rPr>
          <w:rFonts w:asciiTheme="minorHAnsi" w:hAnsiTheme="minorHAnsi" w:cstheme="minorHAnsi"/>
          <w:szCs w:val="24"/>
        </w:rPr>
      </w:pPr>
    </w:p>
    <w:p w:rsidR="00B90A5F" w:rsidRPr="00926954" w:rsidRDefault="00B90A5F" w:rsidP="00B90A5F">
      <w:pPr>
        <w:rPr>
          <w:rFonts w:asciiTheme="minorHAnsi" w:hAnsiTheme="minorHAnsi" w:cstheme="minorHAnsi"/>
          <w:szCs w:val="24"/>
        </w:rPr>
      </w:pPr>
    </w:p>
    <w:p w:rsidR="00B90A5F" w:rsidRPr="00537F52" w:rsidRDefault="00B90A5F" w:rsidP="00B90A5F">
      <w:pPr>
        <w:spacing w:before="0" w:line="240" w:lineRule="auto"/>
        <w:jc w:val="left"/>
        <w:rPr>
          <w:rFonts w:asciiTheme="minorHAnsi" w:hAnsiTheme="minorHAnsi" w:cstheme="minorHAnsi"/>
          <w:szCs w:val="24"/>
          <w:lang w:val="fr-CH"/>
        </w:rPr>
      </w:pPr>
      <w:r w:rsidRPr="00537F52">
        <w:rPr>
          <w:rFonts w:asciiTheme="minorHAnsi" w:hAnsiTheme="minorHAnsi" w:cstheme="minorHAnsi"/>
          <w:szCs w:val="24"/>
          <w:lang w:val="fr-CH"/>
        </w:rPr>
        <w:t>François Rancy</w:t>
      </w:r>
    </w:p>
    <w:p w:rsidR="00B90A5F" w:rsidRPr="00537F52" w:rsidRDefault="00B90A5F" w:rsidP="00B90A5F">
      <w:pPr>
        <w:spacing w:before="0" w:line="240" w:lineRule="auto"/>
        <w:jc w:val="left"/>
        <w:rPr>
          <w:rFonts w:asciiTheme="minorHAnsi" w:hAnsiTheme="minorHAnsi" w:cstheme="minorHAnsi"/>
          <w:szCs w:val="24"/>
          <w:lang w:val="fr-CH"/>
        </w:rPr>
      </w:pPr>
      <w:proofErr w:type="spellStart"/>
      <w:r w:rsidRPr="00537F52">
        <w:rPr>
          <w:rFonts w:asciiTheme="minorHAnsi" w:hAnsiTheme="minorHAnsi" w:cstheme="minorHAnsi"/>
          <w:szCs w:val="24"/>
          <w:lang w:val="fr-CH"/>
        </w:rPr>
        <w:t>Director</w:t>
      </w:r>
      <w:proofErr w:type="spellEnd"/>
    </w:p>
    <w:p w:rsidR="00B90A5F" w:rsidRPr="00537F52" w:rsidRDefault="00B90A5F" w:rsidP="00B90A5F">
      <w:pPr>
        <w:tabs>
          <w:tab w:val="clear" w:pos="1191"/>
          <w:tab w:val="clear" w:pos="1588"/>
          <w:tab w:val="clear" w:pos="1985"/>
          <w:tab w:val="center" w:pos="7371"/>
        </w:tabs>
        <w:rPr>
          <w:lang w:val="fr-CH"/>
        </w:rPr>
      </w:pPr>
    </w:p>
    <w:p w:rsidR="00B90A5F" w:rsidRPr="00537F52" w:rsidRDefault="00B90A5F" w:rsidP="00B90A5F">
      <w:pPr>
        <w:tabs>
          <w:tab w:val="center" w:pos="7371"/>
        </w:tabs>
        <w:rPr>
          <w:lang w:val="fr-CH"/>
        </w:rPr>
      </w:pPr>
    </w:p>
    <w:p w:rsidR="00B90A5F" w:rsidRPr="00537F52" w:rsidRDefault="00B90A5F" w:rsidP="00B90A5F">
      <w:pPr>
        <w:tabs>
          <w:tab w:val="center" w:pos="7371"/>
        </w:tabs>
        <w:rPr>
          <w:lang w:val="fr-CH"/>
        </w:rPr>
      </w:pPr>
    </w:p>
    <w:p w:rsidR="00B90A5F" w:rsidRPr="00537F52" w:rsidRDefault="00B90A5F" w:rsidP="00B90A5F">
      <w:pPr>
        <w:tabs>
          <w:tab w:val="center" w:pos="7371"/>
        </w:tabs>
        <w:rPr>
          <w:lang w:val="fr-CH"/>
        </w:rPr>
      </w:pPr>
    </w:p>
    <w:p w:rsidR="00B90A5F" w:rsidRPr="00537F52" w:rsidRDefault="00B90A5F" w:rsidP="00B90A5F">
      <w:pPr>
        <w:tabs>
          <w:tab w:val="center" w:pos="7371"/>
        </w:tabs>
        <w:rPr>
          <w:lang w:val="fr-CH"/>
        </w:rPr>
      </w:pPr>
    </w:p>
    <w:p w:rsidR="00B90A5F" w:rsidRPr="00477E5E" w:rsidRDefault="00B90A5F" w:rsidP="00B90A5F">
      <w:pPr>
        <w:pStyle w:val="enumlev1"/>
        <w:rPr>
          <w:lang w:val="fr-CH"/>
        </w:rPr>
      </w:pPr>
      <w:r w:rsidRPr="00477E5E">
        <w:rPr>
          <w:b/>
          <w:lang w:val="fr-CH"/>
        </w:rPr>
        <w:t xml:space="preserve">Annexes: </w:t>
      </w:r>
      <w:r w:rsidRPr="0054609C">
        <w:rPr>
          <w:bCs/>
          <w:lang w:val="fr-CH"/>
        </w:rPr>
        <w:t>3</w:t>
      </w: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rPr>
          <w:b/>
          <w:bCs/>
          <w:sz w:val="18"/>
          <w:szCs w:val="18"/>
          <w:lang w:val="fr-CH"/>
        </w:rPr>
      </w:pPr>
    </w:p>
    <w:p w:rsidR="00B90A5F" w:rsidRPr="00477E5E" w:rsidRDefault="00B90A5F" w:rsidP="00B90A5F">
      <w:pPr>
        <w:tabs>
          <w:tab w:val="left" w:pos="284"/>
          <w:tab w:val="left" w:pos="568"/>
        </w:tabs>
        <w:spacing w:before="0"/>
        <w:rPr>
          <w:b/>
          <w:bCs/>
          <w:sz w:val="18"/>
          <w:szCs w:val="18"/>
          <w:lang w:val="fr-CH"/>
        </w:rPr>
      </w:pPr>
    </w:p>
    <w:p w:rsidR="00B90A5F" w:rsidRPr="00477E5E" w:rsidRDefault="00B90A5F" w:rsidP="00B90A5F">
      <w:pPr>
        <w:tabs>
          <w:tab w:val="left" w:pos="284"/>
          <w:tab w:val="left" w:pos="568"/>
        </w:tabs>
        <w:spacing w:line="240" w:lineRule="auto"/>
        <w:rPr>
          <w:b/>
          <w:bCs/>
          <w:sz w:val="18"/>
          <w:szCs w:val="18"/>
          <w:lang w:val="fr-CH"/>
        </w:rPr>
      </w:pPr>
    </w:p>
    <w:p w:rsidR="00B90A5F" w:rsidRPr="00477E5E" w:rsidRDefault="00B90A5F" w:rsidP="00B90A5F">
      <w:pPr>
        <w:tabs>
          <w:tab w:val="left" w:pos="284"/>
          <w:tab w:val="left" w:pos="568"/>
        </w:tabs>
        <w:spacing w:line="240" w:lineRule="auto"/>
        <w:rPr>
          <w:b/>
          <w:bCs/>
          <w:sz w:val="18"/>
          <w:szCs w:val="18"/>
          <w:lang w:val="fr-CH"/>
        </w:rPr>
      </w:pPr>
    </w:p>
    <w:p w:rsidR="00B90A5F" w:rsidRPr="00477E5E" w:rsidRDefault="00B90A5F" w:rsidP="00B90A5F">
      <w:pPr>
        <w:tabs>
          <w:tab w:val="left" w:pos="284"/>
          <w:tab w:val="left" w:pos="568"/>
        </w:tabs>
        <w:spacing w:line="240" w:lineRule="auto"/>
        <w:rPr>
          <w:b/>
          <w:bCs/>
          <w:sz w:val="18"/>
          <w:szCs w:val="18"/>
          <w:lang w:val="fr-CH"/>
        </w:rPr>
      </w:pPr>
      <w:r w:rsidRPr="00477E5E">
        <w:rPr>
          <w:b/>
          <w:bCs/>
          <w:sz w:val="18"/>
          <w:szCs w:val="18"/>
          <w:lang w:val="fr-CH"/>
        </w:rPr>
        <w:t>Distribution:</w:t>
      </w:r>
    </w:p>
    <w:p w:rsidR="00B90A5F" w:rsidRPr="00726B6A" w:rsidRDefault="00B90A5F" w:rsidP="00B90A5F">
      <w:pPr>
        <w:tabs>
          <w:tab w:val="left" w:pos="284"/>
        </w:tabs>
        <w:spacing w:line="240" w:lineRule="auto"/>
        <w:ind w:left="284" w:hanging="284"/>
        <w:rPr>
          <w:sz w:val="18"/>
          <w:szCs w:val="18"/>
        </w:rPr>
      </w:pPr>
      <w:r w:rsidRPr="009A2817">
        <w:rPr>
          <w:sz w:val="18"/>
          <w:szCs w:val="18"/>
        </w:rPr>
        <w:t>–</w:t>
      </w:r>
      <w:r w:rsidRPr="009A2817">
        <w:rPr>
          <w:sz w:val="18"/>
          <w:szCs w:val="18"/>
        </w:rPr>
        <w:tab/>
        <w:t>Administrations of Member States of ITU</w:t>
      </w:r>
    </w:p>
    <w:p w:rsidR="00B90A5F" w:rsidRPr="00726B6A" w:rsidRDefault="00B90A5F" w:rsidP="00B90A5F">
      <w:pPr>
        <w:tabs>
          <w:tab w:val="left" w:pos="284"/>
        </w:tabs>
        <w:spacing w:before="0" w:line="240" w:lineRule="auto"/>
        <w:ind w:left="284" w:hanging="284"/>
        <w:rPr>
          <w:sz w:val="18"/>
          <w:szCs w:val="18"/>
        </w:rPr>
      </w:pPr>
      <w:r w:rsidRPr="00726B6A">
        <w:rPr>
          <w:sz w:val="18"/>
          <w:szCs w:val="18"/>
        </w:rPr>
        <w:t>–</w:t>
      </w:r>
      <w:r w:rsidRPr="00726B6A">
        <w:rPr>
          <w:sz w:val="18"/>
          <w:szCs w:val="18"/>
        </w:rPr>
        <w:tab/>
        <w:t>Observer (Resolution 99 (Rev. Busan, 2014))</w:t>
      </w:r>
    </w:p>
    <w:p w:rsidR="00B90A5F" w:rsidRPr="00726B6A" w:rsidRDefault="00B90A5F" w:rsidP="00B90A5F">
      <w:pPr>
        <w:tabs>
          <w:tab w:val="left" w:pos="284"/>
        </w:tabs>
        <w:spacing w:before="0" w:line="240" w:lineRule="auto"/>
        <w:ind w:left="284" w:hanging="284"/>
        <w:rPr>
          <w:sz w:val="18"/>
          <w:szCs w:val="18"/>
        </w:rPr>
      </w:pPr>
      <w:r w:rsidRPr="00726B6A">
        <w:rPr>
          <w:sz w:val="18"/>
          <w:szCs w:val="18"/>
        </w:rPr>
        <w:t>–</w:t>
      </w:r>
      <w:r w:rsidRPr="00726B6A">
        <w:rPr>
          <w:sz w:val="18"/>
          <w:szCs w:val="18"/>
        </w:rPr>
        <w:tab/>
        <w:t>Observers which participate in an advisory capacity pursuant to Nos. 278 and 279 of the ITU Convention</w:t>
      </w:r>
    </w:p>
    <w:p w:rsidR="00B90A5F" w:rsidRPr="00726B6A" w:rsidRDefault="00B90A5F" w:rsidP="00B90A5F">
      <w:pPr>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Observers from Sector Members of the </w:t>
      </w:r>
      <w:proofErr w:type="spellStart"/>
      <w:r w:rsidRPr="00726B6A">
        <w:rPr>
          <w:sz w:val="18"/>
          <w:szCs w:val="18"/>
        </w:rPr>
        <w:t>Radiocommunication</w:t>
      </w:r>
      <w:proofErr w:type="spellEnd"/>
      <w:r w:rsidRPr="00726B6A">
        <w:rPr>
          <w:sz w:val="18"/>
          <w:szCs w:val="18"/>
        </w:rPr>
        <w:t xml:space="preserve"> Sector which do not participate in an advisory capacity pursuant to No. 280 of the ITU Convention</w:t>
      </w:r>
    </w:p>
    <w:p w:rsidR="00B90A5F" w:rsidRPr="00726B6A" w:rsidRDefault="00B90A5F" w:rsidP="00B90A5F">
      <w:pPr>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Chairmen and Vice-Chairmen of </w:t>
      </w:r>
      <w:proofErr w:type="spellStart"/>
      <w:r w:rsidRPr="00726B6A">
        <w:rPr>
          <w:sz w:val="18"/>
          <w:szCs w:val="18"/>
        </w:rPr>
        <w:t>Radiocommunication</w:t>
      </w:r>
      <w:proofErr w:type="spellEnd"/>
      <w:r w:rsidRPr="00726B6A">
        <w:rPr>
          <w:sz w:val="18"/>
          <w:szCs w:val="18"/>
        </w:rPr>
        <w:t xml:space="preserve"> Study Groups and Special Committee on Regulatory/Procedural Matters</w:t>
      </w:r>
    </w:p>
    <w:p w:rsidR="00B90A5F" w:rsidRPr="00726B6A" w:rsidRDefault="00B90A5F" w:rsidP="00B90A5F">
      <w:pPr>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Chairman and Vice-Chairmen of the </w:t>
      </w:r>
      <w:proofErr w:type="spellStart"/>
      <w:r w:rsidRPr="00726B6A">
        <w:rPr>
          <w:sz w:val="18"/>
          <w:szCs w:val="18"/>
        </w:rPr>
        <w:t>Radiocommunication</w:t>
      </w:r>
      <w:proofErr w:type="spellEnd"/>
      <w:r w:rsidRPr="00726B6A">
        <w:rPr>
          <w:sz w:val="18"/>
          <w:szCs w:val="18"/>
        </w:rPr>
        <w:t xml:space="preserve"> Advisory Group</w:t>
      </w:r>
    </w:p>
    <w:p w:rsidR="00B90A5F" w:rsidRPr="009A2817" w:rsidRDefault="00B90A5F" w:rsidP="00B90A5F">
      <w:pPr>
        <w:tabs>
          <w:tab w:val="left" w:pos="284"/>
        </w:tabs>
        <w:spacing w:before="0" w:line="240" w:lineRule="auto"/>
        <w:ind w:left="284" w:hanging="284"/>
        <w:rPr>
          <w:sz w:val="18"/>
          <w:szCs w:val="18"/>
        </w:rPr>
      </w:pPr>
      <w:r w:rsidRPr="00726B6A">
        <w:rPr>
          <w:sz w:val="18"/>
          <w:szCs w:val="18"/>
        </w:rPr>
        <w:t>–</w:t>
      </w:r>
      <w:r w:rsidRPr="00726B6A">
        <w:rPr>
          <w:sz w:val="18"/>
          <w:szCs w:val="18"/>
        </w:rPr>
        <w:tab/>
        <w:t>Chairman and Vice-Chairmen of the Conference Preparatory Meeting</w:t>
      </w:r>
    </w:p>
    <w:p w:rsidR="00B90A5F" w:rsidRPr="009A2817" w:rsidRDefault="00B90A5F" w:rsidP="00B90A5F">
      <w:pPr>
        <w:tabs>
          <w:tab w:val="left" w:pos="284"/>
        </w:tabs>
        <w:spacing w:before="0" w:line="240" w:lineRule="auto"/>
        <w:ind w:left="284" w:hanging="284"/>
        <w:rPr>
          <w:sz w:val="18"/>
          <w:szCs w:val="18"/>
        </w:rPr>
      </w:pPr>
      <w:r w:rsidRPr="009A2817">
        <w:rPr>
          <w:sz w:val="18"/>
          <w:szCs w:val="18"/>
        </w:rPr>
        <w:t>–</w:t>
      </w:r>
      <w:r w:rsidRPr="009A2817">
        <w:rPr>
          <w:sz w:val="18"/>
          <w:szCs w:val="18"/>
        </w:rPr>
        <w:tab/>
        <w:t>Members of the Radio Regulations Board</w:t>
      </w:r>
    </w:p>
    <w:p w:rsidR="00B90A5F" w:rsidRDefault="00B90A5F" w:rsidP="00B90A5F">
      <w:pPr>
        <w:tabs>
          <w:tab w:val="left" w:pos="284"/>
        </w:tabs>
        <w:spacing w:before="0" w:line="240" w:lineRule="auto"/>
        <w:ind w:left="284" w:hanging="284"/>
        <w:rPr>
          <w:sz w:val="18"/>
          <w:szCs w:val="18"/>
        </w:rPr>
      </w:pPr>
      <w:r w:rsidRPr="009A2817">
        <w:rPr>
          <w:sz w:val="18"/>
          <w:szCs w:val="18"/>
        </w:rPr>
        <w:t>–</w:t>
      </w:r>
      <w:r w:rsidRPr="009A2817">
        <w:rPr>
          <w:sz w:val="18"/>
          <w:szCs w:val="18"/>
        </w:rPr>
        <w:tab/>
        <w:t>Secretary-General of ITU, Deputy Secretary-General of ITU, Director of the Telecommunication Standardization Bureau, Director of the Telecommunication Development Bureau</w:t>
      </w:r>
    </w:p>
    <w:p w:rsidR="00715139" w:rsidRDefault="00715139">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B90A5F" w:rsidRDefault="00B90A5F" w:rsidP="00B90A5F">
      <w:pPr>
        <w:pStyle w:val="ArtNo"/>
        <w:rPr>
          <w:lang w:val="en-GB"/>
        </w:rPr>
      </w:pPr>
      <w:r>
        <w:rPr>
          <w:lang w:val="en-GB"/>
        </w:rPr>
        <w:lastRenderedPageBreak/>
        <w:t>ANNEX 1</w:t>
      </w:r>
    </w:p>
    <w:p w:rsidR="00B90A5F" w:rsidRDefault="00B90A5F" w:rsidP="00B90A5F">
      <w:pPr>
        <w:rPr>
          <w:u w:val="single"/>
          <w:lang w:val="en-GB"/>
        </w:rPr>
      </w:pPr>
    </w:p>
    <w:p w:rsidR="00B90A5F" w:rsidRDefault="00B90A5F" w:rsidP="00B90A5F">
      <w:pPr>
        <w:overflowPunct/>
        <w:autoSpaceDE/>
        <w:autoSpaceDN/>
        <w:adjustRightInd/>
        <w:jc w:val="center"/>
        <w:textAlignment w:val="auto"/>
        <w:rPr>
          <w:sz w:val="28"/>
          <w:szCs w:val="28"/>
        </w:rPr>
      </w:pPr>
      <w:r w:rsidRPr="00F30F7A">
        <w:rPr>
          <w:sz w:val="28"/>
          <w:szCs w:val="28"/>
        </w:rPr>
        <w:t>RESOLUTION</w:t>
      </w:r>
      <w:r>
        <w:rPr>
          <w:sz w:val="28"/>
          <w:szCs w:val="28"/>
        </w:rPr>
        <w:t xml:space="preserve"> 1343</w:t>
      </w:r>
    </w:p>
    <w:p w:rsidR="00B90A5F" w:rsidRDefault="00B90A5F" w:rsidP="00B90A5F">
      <w:pPr>
        <w:overflowPunct/>
        <w:autoSpaceDE/>
        <w:autoSpaceDN/>
        <w:adjustRightInd/>
        <w:spacing w:before="240" w:after="360"/>
        <w:jc w:val="center"/>
        <w:textAlignment w:val="auto"/>
        <w:rPr>
          <w:rFonts w:asciiTheme="minorHAnsi" w:hAnsiTheme="minorHAnsi" w:cstheme="majorBidi"/>
          <w:sz w:val="28"/>
          <w:szCs w:val="28"/>
        </w:rPr>
      </w:pPr>
      <w:r>
        <w:rPr>
          <w:rFonts w:asciiTheme="minorHAnsi" w:hAnsiTheme="minorHAnsi" w:cstheme="majorBidi"/>
          <w:sz w:val="28"/>
          <w:szCs w:val="28"/>
        </w:rPr>
        <w:t>(</w:t>
      </w:r>
      <w:proofErr w:type="gramStart"/>
      <w:r>
        <w:rPr>
          <w:rFonts w:asciiTheme="minorHAnsi" w:hAnsiTheme="minorHAnsi" w:cstheme="majorBidi"/>
          <w:sz w:val="28"/>
          <w:szCs w:val="28"/>
        </w:rPr>
        <w:t>adopted</w:t>
      </w:r>
      <w:proofErr w:type="gramEnd"/>
      <w:r>
        <w:rPr>
          <w:rFonts w:asciiTheme="minorHAnsi" w:hAnsiTheme="minorHAnsi" w:cstheme="majorBidi"/>
          <w:sz w:val="28"/>
          <w:szCs w:val="28"/>
        </w:rPr>
        <w:t xml:space="preserve"> at the third Plenary Meeting of the 2012 Council)</w:t>
      </w:r>
    </w:p>
    <w:p w:rsidR="00B90A5F" w:rsidRPr="00F30F7A" w:rsidRDefault="00B90A5F" w:rsidP="00B90A5F">
      <w:pPr>
        <w:overflowPunct/>
        <w:autoSpaceDE/>
        <w:autoSpaceDN/>
        <w:adjustRightInd/>
        <w:spacing w:before="240" w:after="360"/>
        <w:jc w:val="center"/>
        <w:textAlignment w:val="auto"/>
        <w:rPr>
          <w:b/>
          <w:sz w:val="28"/>
          <w:szCs w:val="28"/>
        </w:rPr>
      </w:pPr>
      <w:r w:rsidRPr="00F30F7A">
        <w:rPr>
          <w:b/>
          <w:sz w:val="28"/>
          <w:szCs w:val="28"/>
        </w:rPr>
        <w:t xml:space="preserve">Place, dates and agenda of the World </w:t>
      </w:r>
      <w:proofErr w:type="spellStart"/>
      <w:r w:rsidRPr="00F30F7A">
        <w:rPr>
          <w:b/>
          <w:sz w:val="28"/>
          <w:szCs w:val="28"/>
        </w:rPr>
        <w:t>Radiocommunication</w:t>
      </w:r>
      <w:proofErr w:type="spellEnd"/>
      <w:r w:rsidRPr="00F30F7A">
        <w:rPr>
          <w:b/>
          <w:sz w:val="28"/>
          <w:szCs w:val="28"/>
        </w:rPr>
        <w:t xml:space="preserve"> </w:t>
      </w:r>
      <w:proofErr w:type="gramStart"/>
      <w:r w:rsidRPr="00F30F7A">
        <w:rPr>
          <w:b/>
          <w:sz w:val="28"/>
          <w:szCs w:val="28"/>
        </w:rPr>
        <w:t>Conference</w:t>
      </w:r>
      <w:proofErr w:type="gramEnd"/>
      <w:r w:rsidRPr="00F30F7A">
        <w:rPr>
          <w:b/>
          <w:sz w:val="28"/>
          <w:szCs w:val="28"/>
        </w:rPr>
        <w:br/>
        <w:t>(WRC-15)</w:t>
      </w:r>
    </w:p>
    <w:p w:rsidR="00B90A5F" w:rsidRPr="009A2B70" w:rsidRDefault="00B90A5F" w:rsidP="00B90A5F">
      <w:pPr>
        <w:overflowPunct/>
        <w:autoSpaceDE/>
        <w:autoSpaceDN/>
        <w:adjustRightInd/>
        <w:textAlignment w:val="auto"/>
      </w:pPr>
      <w:r w:rsidRPr="009A2B70">
        <w:t>The Council,</w:t>
      </w:r>
    </w:p>
    <w:p w:rsidR="00B90A5F" w:rsidRPr="009A2B70" w:rsidRDefault="00B90A5F" w:rsidP="00B90A5F">
      <w:pPr>
        <w:overflowPunct/>
        <w:autoSpaceDE/>
        <w:autoSpaceDN/>
        <w:adjustRightInd/>
        <w:ind w:left="709"/>
        <w:textAlignment w:val="auto"/>
        <w:rPr>
          <w:i/>
        </w:rPr>
      </w:pPr>
      <w:proofErr w:type="gramStart"/>
      <w:r w:rsidRPr="009A2B70">
        <w:rPr>
          <w:i/>
        </w:rPr>
        <w:t>noting</w:t>
      </w:r>
      <w:proofErr w:type="gramEnd"/>
    </w:p>
    <w:p w:rsidR="00B90A5F" w:rsidRPr="009A2B70" w:rsidRDefault="00B90A5F" w:rsidP="00B90A5F">
      <w:pPr>
        <w:overflowPunct/>
        <w:autoSpaceDE/>
        <w:autoSpaceDN/>
        <w:adjustRightInd/>
        <w:textAlignment w:val="auto"/>
      </w:pPr>
      <w:proofErr w:type="gramStart"/>
      <w:r w:rsidRPr="009A2B70">
        <w:t>that</w:t>
      </w:r>
      <w:proofErr w:type="gramEnd"/>
      <w:r w:rsidRPr="009A2B70">
        <w:t xml:space="preserve"> Resolution 807 of the World </w:t>
      </w:r>
      <w:proofErr w:type="spellStart"/>
      <w:r w:rsidRPr="009A2B70">
        <w:t>Radiocommunication</w:t>
      </w:r>
      <w:proofErr w:type="spellEnd"/>
      <w:r w:rsidRPr="009A2B70">
        <w:t xml:space="preserve"> Conference (Geneva, 2012):</w:t>
      </w:r>
    </w:p>
    <w:p w:rsidR="00B90A5F" w:rsidRPr="009A2B70" w:rsidRDefault="00B90A5F" w:rsidP="00B90A5F">
      <w:pPr>
        <w:overflowPunct/>
        <w:autoSpaceDE/>
        <w:autoSpaceDN/>
        <w:adjustRightInd/>
        <w:textAlignment w:val="auto"/>
      </w:pPr>
      <w:r w:rsidRPr="00FD110B">
        <w:rPr>
          <w:i/>
          <w:iCs/>
        </w:rPr>
        <w:t>a)</w:t>
      </w:r>
      <w:r w:rsidRPr="009A2B70">
        <w:tab/>
      </w:r>
      <w:proofErr w:type="gramStart"/>
      <w:r w:rsidRPr="009A2B70">
        <w:t>resolved</w:t>
      </w:r>
      <w:proofErr w:type="gramEnd"/>
      <w:r w:rsidRPr="009A2B70">
        <w:t xml:space="preserve"> to recommend to the Council that a world </w:t>
      </w:r>
      <w:proofErr w:type="spellStart"/>
      <w:r w:rsidRPr="009A2B70">
        <w:t>radiocommunication</w:t>
      </w:r>
      <w:proofErr w:type="spellEnd"/>
      <w:r w:rsidRPr="009A2B70">
        <w:t xml:space="preserve"> conference be held in 2015 for a period of four weeks;</w:t>
      </w:r>
    </w:p>
    <w:p w:rsidR="00B90A5F" w:rsidRPr="009A2B70" w:rsidRDefault="00B90A5F" w:rsidP="00B90A5F">
      <w:pPr>
        <w:overflowPunct/>
        <w:autoSpaceDE/>
        <w:autoSpaceDN/>
        <w:adjustRightInd/>
        <w:textAlignment w:val="auto"/>
      </w:pPr>
      <w:r w:rsidRPr="00FD110B">
        <w:rPr>
          <w:i/>
          <w:iCs/>
        </w:rPr>
        <w:t>b)</w:t>
      </w:r>
      <w:r w:rsidRPr="009A2B70">
        <w:tab/>
      </w:r>
      <w:proofErr w:type="gramStart"/>
      <w:r w:rsidRPr="009A2B70">
        <w:t>recommended</w:t>
      </w:r>
      <w:proofErr w:type="gramEnd"/>
      <w:r w:rsidRPr="009A2B70">
        <w:t xml:space="preserve"> its agenda, and invited the Council to finalize the agenda and arrange for the convening of WRC</w:t>
      </w:r>
      <w:r w:rsidRPr="009A2B70">
        <w:noBreakHyphen/>
        <w:t>15 and to initiate as soon as possible the necessary consultation with Member States,</w:t>
      </w:r>
    </w:p>
    <w:p w:rsidR="00B90A5F" w:rsidRPr="009A2B70" w:rsidRDefault="00B90A5F" w:rsidP="00B90A5F">
      <w:pPr>
        <w:overflowPunct/>
        <w:autoSpaceDE/>
        <w:autoSpaceDN/>
        <w:adjustRightInd/>
        <w:ind w:left="709"/>
        <w:textAlignment w:val="auto"/>
        <w:rPr>
          <w:i/>
        </w:rPr>
      </w:pPr>
      <w:proofErr w:type="gramStart"/>
      <w:r w:rsidRPr="009A2B70">
        <w:rPr>
          <w:i/>
        </w:rPr>
        <w:t>resolves</w:t>
      </w:r>
      <w:proofErr w:type="gramEnd"/>
    </w:p>
    <w:p w:rsidR="00B90A5F" w:rsidRPr="009A2B70" w:rsidRDefault="00B90A5F" w:rsidP="00B90A5F">
      <w:pPr>
        <w:overflowPunct/>
        <w:autoSpaceDE/>
        <w:autoSpaceDN/>
        <w:adjustRightInd/>
        <w:textAlignment w:val="auto"/>
      </w:pPr>
      <w:proofErr w:type="gramStart"/>
      <w:r w:rsidRPr="009A2B70">
        <w:t>to</w:t>
      </w:r>
      <w:proofErr w:type="gramEnd"/>
      <w:r w:rsidRPr="009A2B70">
        <w:t xml:space="preserve"> convene a World </w:t>
      </w:r>
      <w:proofErr w:type="spellStart"/>
      <w:r w:rsidRPr="009A2B70">
        <w:t>Radiocommunication</w:t>
      </w:r>
      <w:proofErr w:type="spellEnd"/>
      <w:r w:rsidRPr="009A2B70">
        <w:t xml:space="preserve"> Conference (WRC</w:t>
      </w:r>
      <w:r w:rsidRPr="009A2B70">
        <w:noBreakHyphen/>
        <w:t xml:space="preserve">15) in Geneva (Switzerland) from 2-27 November 2015, preceded by the </w:t>
      </w:r>
      <w:proofErr w:type="spellStart"/>
      <w:r w:rsidRPr="009A2B70">
        <w:t>Radiocommunication</w:t>
      </w:r>
      <w:proofErr w:type="spellEnd"/>
      <w:r w:rsidRPr="009A2B70">
        <w:t xml:space="preserve"> Assembly from 26</w:t>
      </w:r>
      <w:r w:rsidRPr="009A2B70">
        <w:noBreakHyphen/>
        <w:t>30 October 2015, with the following agenda:</w:t>
      </w:r>
    </w:p>
    <w:p w:rsidR="00B90A5F" w:rsidRPr="009A2B70" w:rsidRDefault="00B90A5F" w:rsidP="00B90A5F">
      <w:pPr>
        <w:overflowPunct/>
        <w:autoSpaceDE/>
        <w:autoSpaceDN/>
        <w:adjustRightInd/>
        <w:textAlignment w:val="auto"/>
      </w:pPr>
      <w:r w:rsidRPr="009A2B70">
        <w:t>1</w:t>
      </w:r>
      <w:r w:rsidRPr="009A2B70">
        <w:tab/>
        <w:t>on the basis of proposals from administrations, taking account of the results of WRC</w:t>
      </w:r>
      <w:r w:rsidRPr="009A2B70">
        <w:noBreakHyphen/>
        <w:t>12 and the Report of the Conference Preparatory Meeting, and with due regard to the requirements of existing and future services in the bands under consideration, to consider and take appropriate action in respect of the following items:</w:t>
      </w:r>
    </w:p>
    <w:p w:rsidR="00B90A5F" w:rsidRPr="009A2B70" w:rsidRDefault="00B90A5F" w:rsidP="00B90A5F">
      <w:pPr>
        <w:overflowPunct/>
        <w:autoSpaceDE/>
        <w:autoSpaceDN/>
        <w:adjustRightInd/>
        <w:textAlignment w:val="auto"/>
      </w:pPr>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B90A5F" w:rsidRPr="009A2B70" w:rsidRDefault="00B90A5F" w:rsidP="00B90A5F">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B90A5F" w:rsidRPr="009A2B70" w:rsidRDefault="00B90A5F" w:rsidP="00B90A5F">
      <w:pPr>
        <w:overflowPunct/>
        <w:autoSpaceDE/>
        <w:autoSpaceDN/>
        <w:adjustRightInd/>
        <w:textAlignment w:val="auto"/>
      </w:pPr>
      <w:r w:rsidRPr="009A2B70">
        <w:t>1.3</w:t>
      </w:r>
      <w:r w:rsidRPr="009A2B70">
        <w:tab/>
      </w:r>
      <w:proofErr w:type="gramStart"/>
      <w:r w:rsidRPr="009A2B70">
        <w:t>to</w:t>
      </w:r>
      <w:proofErr w:type="gramEnd"/>
      <w:r w:rsidRPr="009A2B70">
        <w:t xml:space="preserve">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B90A5F" w:rsidRPr="009A2B70" w:rsidRDefault="00B90A5F" w:rsidP="00B90A5F">
      <w:pPr>
        <w:overflowPunct/>
        <w:autoSpaceDE/>
        <w:autoSpaceDN/>
        <w:adjustRightInd/>
        <w:textAlignment w:val="auto"/>
      </w:pPr>
      <w:r w:rsidRPr="009A2B70">
        <w:t>1.4</w:t>
      </w:r>
      <w:r w:rsidRPr="009A2B70">
        <w:tab/>
      </w:r>
      <w:proofErr w:type="gramStart"/>
      <w:r w:rsidRPr="009A2B70">
        <w:t>to</w:t>
      </w:r>
      <w:proofErr w:type="gramEnd"/>
      <w:r w:rsidRPr="009A2B70">
        <w:t xml:space="preserve"> consider possible new allocation to the amateur service on a secondary basis within the band 5 250-5 450 kHz in accordance with Resolution </w:t>
      </w:r>
      <w:r w:rsidRPr="009A2B70">
        <w:rPr>
          <w:b/>
          <w:bCs/>
        </w:rPr>
        <w:t>649 (WRC</w:t>
      </w:r>
      <w:r w:rsidRPr="009A2B70">
        <w:rPr>
          <w:b/>
          <w:bCs/>
        </w:rPr>
        <w:noBreakHyphen/>
        <w:t>12)</w:t>
      </w:r>
      <w:r w:rsidRPr="009A2B70">
        <w:t>;</w:t>
      </w:r>
    </w:p>
    <w:p w:rsidR="00B90A5F" w:rsidRPr="009A2B70" w:rsidRDefault="00B90A5F" w:rsidP="00B90A5F">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B90A5F" w:rsidRPr="009A2B70" w:rsidRDefault="00B90A5F" w:rsidP="00B90A5F">
      <w:pPr>
        <w:overflowPunct/>
        <w:autoSpaceDE/>
        <w:autoSpaceDN/>
        <w:adjustRightInd/>
        <w:textAlignment w:val="auto"/>
      </w:pPr>
      <w:r w:rsidRPr="009A2B70">
        <w:t>1.6</w:t>
      </w:r>
      <w:r w:rsidRPr="009A2B70">
        <w:tab/>
      </w:r>
      <w:proofErr w:type="gramStart"/>
      <w:r w:rsidRPr="009A2B70">
        <w:t>to</w:t>
      </w:r>
      <w:proofErr w:type="gramEnd"/>
      <w:r w:rsidRPr="009A2B70">
        <w:t xml:space="preserve"> consider possible additional primary allocations:</w:t>
      </w:r>
    </w:p>
    <w:p w:rsidR="00B90A5F" w:rsidRPr="009A2B70" w:rsidRDefault="00B90A5F" w:rsidP="00B90A5F">
      <w:pPr>
        <w:overflowPunct/>
        <w:autoSpaceDE/>
        <w:autoSpaceDN/>
        <w:adjustRightInd/>
        <w:textAlignment w:val="auto"/>
      </w:pPr>
      <w:r w:rsidRPr="009A2B70">
        <w:t>1.6.1</w:t>
      </w:r>
      <w:r w:rsidRPr="009A2B70">
        <w:tab/>
        <w:t>to the fixed-satellite service (Earth-to-space and space-to-Earth) of 250 MHz in the range between 10 GHz and 17 GHz in Region 1;</w:t>
      </w:r>
    </w:p>
    <w:p w:rsidR="00B90A5F" w:rsidRPr="009A2B70" w:rsidRDefault="00B90A5F" w:rsidP="00B90A5F">
      <w:pPr>
        <w:overflowPunct/>
        <w:autoSpaceDE/>
        <w:autoSpaceDN/>
        <w:adjustRightInd/>
        <w:textAlignment w:val="auto"/>
      </w:pPr>
      <w:r w:rsidRPr="009A2B70">
        <w:lastRenderedPageBreak/>
        <w:t>1.6.2</w:t>
      </w:r>
      <w:r w:rsidRPr="009A2B70">
        <w:tab/>
        <w:t>to the fixed-satellite service (Earth-to-space) of 250 MHz in Region 2 and 300 MHz in Region 3 within the range 13-17 GHz;</w:t>
      </w:r>
    </w:p>
    <w:p w:rsidR="00B90A5F" w:rsidRPr="009A2B70" w:rsidRDefault="00B90A5F" w:rsidP="00B90A5F">
      <w:pPr>
        <w:overflowPunct/>
        <w:autoSpaceDE/>
        <w:autoSpaceDN/>
        <w:adjustRightInd/>
        <w:textAlignment w:val="auto"/>
        <w:rPr>
          <w:bCs/>
        </w:rPr>
      </w:pPr>
      <w:r w:rsidRPr="009A2B70">
        <w:t>and review the regulatory provisions on the current allocations to the fixed-satellite service within each range, taking into account the results of ITU</w:t>
      </w:r>
      <w:r w:rsidRPr="009A2B70">
        <w:noBreakHyphen/>
        <w:t>R studies, in accordance with Resolutions </w:t>
      </w:r>
      <w:r w:rsidRPr="009A2B70">
        <w:rPr>
          <w:b/>
          <w:bCs/>
        </w:rPr>
        <w:t>151 (WRC</w:t>
      </w:r>
      <w:r w:rsidRPr="009A2B70">
        <w:rPr>
          <w:b/>
          <w:bCs/>
        </w:rPr>
        <w:noBreakHyphen/>
        <w:t>12)</w:t>
      </w:r>
      <w:r w:rsidRPr="009A2B70">
        <w:t xml:space="preserve"> and </w:t>
      </w:r>
      <w:r w:rsidRPr="009A2B70">
        <w:rPr>
          <w:b/>
          <w:bCs/>
        </w:rPr>
        <w:t>152 (WRC</w:t>
      </w:r>
      <w:r w:rsidRPr="009A2B70">
        <w:rPr>
          <w:b/>
          <w:bCs/>
        </w:rPr>
        <w:noBreakHyphen/>
        <w:t>12)</w:t>
      </w:r>
      <w:r w:rsidRPr="009A2B70">
        <w:t>, respectively</w:t>
      </w:r>
      <w:r w:rsidRPr="009A2B70">
        <w:rPr>
          <w:bCs/>
        </w:rPr>
        <w:t>;</w:t>
      </w:r>
    </w:p>
    <w:p w:rsidR="00B90A5F" w:rsidRPr="009A2B70" w:rsidRDefault="00B90A5F" w:rsidP="00B90A5F">
      <w:pPr>
        <w:overflowPunct/>
        <w:autoSpaceDE/>
        <w:autoSpaceDN/>
        <w:adjustRightInd/>
        <w:textAlignment w:val="auto"/>
      </w:pPr>
      <w:r w:rsidRPr="009A2B70">
        <w:t>1.7</w:t>
      </w:r>
      <w:r w:rsidRPr="009A2B70">
        <w:tab/>
      </w:r>
      <w:proofErr w:type="gramStart"/>
      <w:r w:rsidRPr="009A2B70">
        <w:t>to</w:t>
      </w:r>
      <w:proofErr w:type="gramEnd"/>
      <w:r w:rsidRPr="009A2B70">
        <w:t xml:space="preserve"> review the use of the band 5 091-5 150 MHz by the fixed-satellite service (Earth-to-space) (limited to feeder links of the non-geostationary mobile-satellite systems in the mobile-satellite service) in accordance with Resolution </w:t>
      </w:r>
      <w:r w:rsidRPr="009A2B70">
        <w:rPr>
          <w:b/>
        </w:rPr>
        <w:t>114 (Rev.WRC</w:t>
      </w:r>
      <w:r w:rsidRPr="009A2B70">
        <w:rPr>
          <w:b/>
        </w:rPr>
        <w:noBreakHyphen/>
        <w:t>12)</w:t>
      </w:r>
      <w:r w:rsidRPr="009A2B70">
        <w:t>;</w:t>
      </w:r>
    </w:p>
    <w:p w:rsidR="00B90A5F" w:rsidRPr="009A2B70" w:rsidRDefault="00B90A5F" w:rsidP="00B90A5F">
      <w:pPr>
        <w:overflowPunct/>
        <w:autoSpaceDE/>
        <w:autoSpaceDN/>
        <w:adjustRightInd/>
        <w:textAlignment w:val="auto"/>
      </w:pPr>
      <w:r w:rsidRPr="009A2B70">
        <w:t>1.8</w:t>
      </w:r>
      <w:r w:rsidRPr="009A2B70">
        <w:tab/>
        <w:t xml:space="preserve">to review the provisions relating to earth stations located on board vessels (ESVs), based on studies conducted in accordance with Resolution </w:t>
      </w:r>
      <w:r w:rsidRPr="009A2B70">
        <w:rPr>
          <w:b/>
        </w:rPr>
        <w:t>909 (WRC</w:t>
      </w:r>
      <w:r w:rsidRPr="009A2B70">
        <w:rPr>
          <w:b/>
        </w:rPr>
        <w:noBreakHyphen/>
        <w:t>12)</w:t>
      </w:r>
      <w:r w:rsidRPr="009A2B70">
        <w:t>;</w:t>
      </w:r>
    </w:p>
    <w:p w:rsidR="00B90A5F" w:rsidRPr="009A2B70" w:rsidRDefault="00B90A5F" w:rsidP="00B90A5F">
      <w:pPr>
        <w:overflowPunct/>
        <w:autoSpaceDE/>
        <w:autoSpaceDN/>
        <w:adjustRightInd/>
        <w:textAlignment w:val="auto"/>
      </w:pPr>
      <w:r w:rsidRPr="009A2B70">
        <w:t>1.9</w:t>
      </w:r>
      <w:r w:rsidRPr="009A2B70">
        <w:tab/>
      </w:r>
      <w:proofErr w:type="gramStart"/>
      <w:r w:rsidRPr="009A2B70">
        <w:t>to</w:t>
      </w:r>
      <w:proofErr w:type="gramEnd"/>
      <w:r w:rsidRPr="009A2B70">
        <w:t xml:space="preserve"> consider, in accordance with Resolution </w:t>
      </w:r>
      <w:r w:rsidRPr="009A2B70">
        <w:rPr>
          <w:b/>
        </w:rPr>
        <w:t>758 (WRC</w:t>
      </w:r>
      <w:r w:rsidRPr="009A2B70">
        <w:rPr>
          <w:b/>
        </w:rPr>
        <w:noBreakHyphen/>
        <w:t>12)</w:t>
      </w:r>
      <w:r w:rsidRPr="009A2B70">
        <w:t>:</w:t>
      </w:r>
    </w:p>
    <w:p w:rsidR="00B90A5F" w:rsidRPr="009A2B70" w:rsidRDefault="00B90A5F" w:rsidP="00B90A5F">
      <w:pPr>
        <w:overflowPunct/>
        <w:autoSpaceDE/>
        <w:autoSpaceDN/>
        <w:adjustRightInd/>
        <w:spacing w:before="100"/>
        <w:textAlignment w:val="auto"/>
      </w:pPr>
      <w:r w:rsidRPr="009A2B70">
        <w:t>1.9.1</w:t>
      </w:r>
      <w:r w:rsidRPr="009A2B70">
        <w:tab/>
      </w:r>
      <w:proofErr w:type="gramStart"/>
      <w:r w:rsidRPr="009A2B70">
        <w:t>possible</w:t>
      </w:r>
      <w:proofErr w:type="gramEnd"/>
      <w:r w:rsidRPr="009A2B70">
        <w:t xml:space="preserve"> new allocations to the fixed-satellite service in the frequency bands 7 150-7 250 MHz (space-to-Earth) and 8 400-8 500 MHz (Earth-to-space), subject to appropriate sharing conditions;</w:t>
      </w:r>
    </w:p>
    <w:p w:rsidR="00B90A5F" w:rsidRPr="009A2B70" w:rsidRDefault="00B90A5F" w:rsidP="00B90A5F">
      <w:pPr>
        <w:overflowPunct/>
        <w:autoSpaceDE/>
        <w:autoSpaceDN/>
        <w:adjustRightInd/>
        <w:spacing w:before="100"/>
        <w:textAlignment w:val="auto"/>
      </w:pPr>
      <w:r w:rsidRPr="009A2B70">
        <w:t>1.9.2</w:t>
      </w:r>
      <w:r w:rsidRPr="009A2B70">
        <w:tab/>
      </w:r>
      <w:proofErr w:type="gramStart"/>
      <w:r w:rsidRPr="009A2B70">
        <w:t>the</w:t>
      </w:r>
      <w:proofErr w:type="gramEnd"/>
      <w:r w:rsidRPr="009A2B70">
        <w:t xml:space="preserve"> possibility of allocating the bands 7 375-7 750 MHz and 8 025-8 400 MHz to the maritime-mobile satellite service and additional regulatory measures, depending on the results of appropriate studies;</w:t>
      </w:r>
    </w:p>
    <w:p w:rsidR="00B90A5F" w:rsidRPr="009A2B70" w:rsidRDefault="00B90A5F" w:rsidP="00B90A5F">
      <w:pPr>
        <w:overflowPunct/>
        <w:autoSpaceDE/>
        <w:autoSpaceDN/>
        <w:adjustRightInd/>
        <w:spacing w:before="100"/>
        <w:textAlignment w:val="auto"/>
      </w:pPr>
      <w:r w:rsidRPr="009A2B70">
        <w:t>1.10</w:t>
      </w:r>
      <w:r w:rsidRPr="009A2B70">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9A2B70">
        <w:rPr>
          <w:b/>
          <w:bCs/>
        </w:rPr>
        <w:t>234 (WRC</w:t>
      </w:r>
      <w:r w:rsidRPr="009A2B70">
        <w:rPr>
          <w:b/>
          <w:bCs/>
        </w:rPr>
        <w:noBreakHyphen/>
        <w:t>12)</w:t>
      </w:r>
      <w:r w:rsidRPr="009A2B70">
        <w:t>;</w:t>
      </w:r>
    </w:p>
    <w:p w:rsidR="00B90A5F" w:rsidRPr="009A2B70" w:rsidRDefault="00B90A5F" w:rsidP="00B90A5F">
      <w:pPr>
        <w:overflowPunct/>
        <w:autoSpaceDE/>
        <w:autoSpaceDN/>
        <w:adjustRightInd/>
        <w:spacing w:before="100"/>
        <w:textAlignment w:val="auto"/>
      </w:pPr>
      <w:r w:rsidRPr="009A2B70">
        <w:t>1.11</w:t>
      </w:r>
      <w:r w:rsidRPr="009A2B70">
        <w:rPr>
          <w:b/>
        </w:rPr>
        <w:tab/>
      </w:r>
      <w:proofErr w:type="gramStart"/>
      <w:r w:rsidRPr="009A2B70">
        <w:t>to</w:t>
      </w:r>
      <w:proofErr w:type="gramEnd"/>
      <w:r w:rsidRPr="009A2B70">
        <w:t xml:space="preserve"> consider a primary allocation for the Earth exploration-satellite service (Earth-to-space) in the 7-8 GHz range, in accordance with</w:t>
      </w:r>
      <w:r w:rsidRPr="009A2B70">
        <w:rPr>
          <w:bCs/>
        </w:rPr>
        <w:t xml:space="preserve"> </w:t>
      </w:r>
      <w:r w:rsidRPr="009A2B70">
        <w:t>Resolution</w:t>
      </w:r>
      <w:r w:rsidRPr="009A2B70">
        <w:rPr>
          <w:b/>
        </w:rPr>
        <w:t xml:space="preserve"> 650 (WRC</w:t>
      </w:r>
      <w:r w:rsidRPr="009A2B70">
        <w:rPr>
          <w:b/>
        </w:rPr>
        <w:noBreakHyphen/>
        <w:t>12)</w:t>
      </w:r>
      <w:r w:rsidRPr="009A2B70">
        <w:t>;</w:t>
      </w:r>
    </w:p>
    <w:p w:rsidR="00B90A5F" w:rsidRPr="009A2B70" w:rsidRDefault="00B90A5F" w:rsidP="00B90A5F">
      <w:pPr>
        <w:overflowPunct/>
        <w:autoSpaceDE/>
        <w:autoSpaceDN/>
        <w:adjustRightInd/>
        <w:spacing w:before="100"/>
        <w:textAlignment w:val="auto"/>
      </w:pPr>
      <w:r w:rsidRPr="00F30F7A">
        <w:t>1.12</w:t>
      </w:r>
      <w:r w:rsidRPr="009A2B70">
        <w:rPr>
          <w:b/>
        </w:rPr>
        <w:tab/>
      </w:r>
      <w:proofErr w:type="gramStart"/>
      <w:r w:rsidRPr="009A2B70">
        <w:t>to</w:t>
      </w:r>
      <w:proofErr w:type="gramEnd"/>
      <w:r w:rsidRPr="009A2B70">
        <w:t xml:space="preserve"> consider an extension of the current worldwide allocation to the Earth exploration-satellite (active) service in the frequency band 9 300-9 900 MHz by up to 600 MHz within the frequency bands 8 700-9 300 MHz and/or 9 900-10 500 MHz, in accordance with Resolution  </w:t>
      </w:r>
      <w:r w:rsidRPr="009A2B70">
        <w:rPr>
          <w:b/>
          <w:bCs/>
        </w:rPr>
        <w:t>651 (WRC</w:t>
      </w:r>
      <w:r w:rsidRPr="009A2B70">
        <w:rPr>
          <w:b/>
          <w:bCs/>
        </w:rPr>
        <w:noBreakHyphen/>
        <w:t>12)</w:t>
      </w:r>
      <w:r w:rsidRPr="009A2B70">
        <w:t>;</w:t>
      </w:r>
    </w:p>
    <w:p w:rsidR="00B90A5F" w:rsidRPr="009A2B70" w:rsidRDefault="00B90A5F" w:rsidP="00B90A5F">
      <w:pPr>
        <w:overflowPunct/>
        <w:autoSpaceDE/>
        <w:autoSpaceDN/>
        <w:adjustRightInd/>
        <w:spacing w:before="100"/>
        <w:textAlignment w:val="auto"/>
      </w:pPr>
      <w:r w:rsidRPr="00F30F7A">
        <w:t>1.13</w:t>
      </w:r>
      <w:r w:rsidRPr="009A2B70">
        <w:tab/>
        <w:t>to review No. </w:t>
      </w:r>
      <w:r w:rsidRPr="009A2B70">
        <w:rPr>
          <w:b/>
          <w:bCs/>
        </w:rPr>
        <w:t>5.268</w:t>
      </w:r>
      <w:r w:rsidRPr="009A2B70">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9A2B70">
        <w:rPr>
          <w:b/>
          <w:bCs/>
        </w:rPr>
        <w:t>652 (WRC</w:t>
      </w:r>
      <w:r w:rsidRPr="009A2B70">
        <w:rPr>
          <w:b/>
          <w:bCs/>
        </w:rPr>
        <w:noBreakHyphen/>
        <w:t>12)</w:t>
      </w:r>
      <w:r w:rsidRPr="009A2B70">
        <w:t>;</w:t>
      </w:r>
    </w:p>
    <w:p w:rsidR="00B90A5F" w:rsidRPr="009A2B70" w:rsidRDefault="00B90A5F" w:rsidP="00B90A5F">
      <w:pPr>
        <w:overflowPunct/>
        <w:autoSpaceDE/>
        <w:autoSpaceDN/>
        <w:adjustRightInd/>
        <w:spacing w:before="100"/>
        <w:textAlignment w:val="auto"/>
      </w:pPr>
      <w:r w:rsidRPr="009A2B70">
        <w:t>1.14</w:t>
      </w:r>
      <w:r w:rsidRPr="009A2B70">
        <w:rPr>
          <w:b/>
        </w:rPr>
        <w:tab/>
      </w:r>
      <w:r w:rsidRPr="009A2B70">
        <w:t xml:space="preserve">to consider the feasibility of achieving a continuous reference time-scale, whether by the modification of coordinated universal time (UTC) or some other method, and take appropriate action, in accordance with Resolution </w:t>
      </w:r>
      <w:r w:rsidRPr="009A2B70">
        <w:rPr>
          <w:b/>
        </w:rPr>
        <w:t>653 (WRC</w:t>
      </w:r>
      <w:r w:rsidRPr="009A2B70">
        <w:rPr>
          <w:b/>
        </w:rPr>
        <w:noBreakHyphen/>
        <w:t>12)</w:t>
      </w:r>
      <w:r w:rsidRPr="009A2B70">
        <w:t>;</w:t>
      </w:r>
    </w:p>
    <w:p w:rsidR="00B90A5F" w:rsidRPr="009A2B70" w:rsidRDefault="00B90A5F" w:rsidP="00B90A5F">
      <w:pPr>
        <w:overflowPunct/>
        <w:autoSpaceDE/>
        <w:autoSpaceDN/>
        <w:adjustRightInd/>
        <w:spacing w:before="100"/>
        <w:textAlignment w:val="auto"/>
      </w:pPr>
      <w:r w:rsidRPr="009A2B70">
        <w:t>1.15</w:t>
      </w:r>
      <w:r w:rsidRPr="009A2B70">
        <w:tab/>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B90A5F" w:rsidRPr="009A2B70" w:rsidRDefault="00B90A5F" w:rsidP="00B90A5F">
      <w:pPr>
        <w:overflowPunct/>
        <w:autoSpaceDE/>
        <w:autoSpaceDN/>
        <w:adjustRightInd/>
        <w:spacing w:before="100"/>
        <w:textAlignment w:val="auto"/>
        <w:rPr>
          <w:bCs/>
        </w:rPr>
      </w:pPr>
      <w:r w:rsidRPr="009A2B70">
        <w:t>1.16</w:t>
      </w:r>
      <w:r w:rsidRPr="009A2B70">
        <w:tab/>
      </w:r>
      <w:proofErr w:type="gramStart"/>
      <w:r w:rsidRPr="009A2B70">
        <w:t>to</w:t>
      </w:r>
      <w:proofErr w:type="gramEnd"/>
      <w:r w:rsidRPr="009A2B70">
        <w:t xml:space="preserve"> consider regulatory provisions and spectrum allocations to enable possible new Automatic Identification System (AIS) technology applications and possible new applications to improve maritime </w:t>
      </w:r>
      <w:proofErr w:type="spellStart"/>
      <w:r w:rsidRPr="009A2B70">
        <w:t>radiocommunication</w:t>
      </w:r>
      <w:proofErr w:type="spellEnd"/>
      <w:r w:rsidRPr="009A2B70">
        <w:t xml:space="preserve">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B90A5F" w:rsidRPr="009A2B70" w:rsidRDefault="00B90A5F" w:rsidP="00B90A5F">
      <w:pPr>
        <w:overflowPunct/>
        <w:autoSpaceDE/>
        <w:autoSpaceDN/>
        <w:adjustRightInd/>
        <w:spacing w:before="100"/>
        <w:textAlignment w:val="auto"/>
      </w:pPr>
      <w:r w:rsidRPr="00F30F7A">
        <w:t>1.17</w:t>
      </w:r>
      <w:r w:rsidRPr="009A2B70">
        <w:tab/>
      </w:r>
      <w:proofErr w:type="gramStart"/>
      <w:r w:rsidRPr="009A2B70">
        <w:t>to</w:t>
      </w:r>
      <w:proofErr w:type="gramEnd"/>
      <w:r w:rsidRPr="009A2B70">
        <w:t xml:space="preserve">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r w:rsidRPr="009A2B70">
        <w:t>;</w:t>
      </w:r>
    </w:p>
    <w:p w:rsidR="00B90A5F" w:rsidRPr="009A2B70" w:rsidRDefault="00B90A5F" w:rsidP="00B90A5F">
      <w:pPr>
        <w:overflowPunct/>
        <w:autoSpaceDE/>
        <w:autoSpaceDN/>
        <w:adjustRightInd/>
        <w:spacing w:before="100"/>
        <w:textAlignment w:val="auto"/>
      </w:pPr>
      <w:r w:rsidRPr="009A2B70">
        <w:t>1.18</w:t>
      </w:r>
      <w:r w:rsidRPr="009A2B70">
        <w:tab/>
      </w:r>
      <w:proofErr w:type="gramStart"/>
      <w:r w:rsidRPr="009A2B70">
        <w:t>to</w:t>
      </w:r>
      <w:proofErr w:type="gramEnd"/>
      <w:r w:rsidRPr="009A2B70">
        <w:t xml:space="preserve">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B90A5F" w:rsidRPr="009A2B70" w:rsidRDefault="00B90A5F" w:rsidP="00B90A5F">
      <w:pPr>
        <w:overflowPunct/>
        <w:autoSpaceDE/>
        <w:autoSpaceDN/>
        <w:adjustRightInd/>
        <w:textAlignment w:val="auto"/>
      </w:pPr>
      <w:r w:rsidRPr="009A2B70">
        <w:lastRenderedPageBreak/>
        <w:t>2</w:t>
      </w:r>
      <w:r w:rsidRPr="009A2B70">
        <w:tab/>
        <w:t>to examine the revised ITU</w:t>
      </w:r>
      <w:r w:rsidRPr="009A2B70">
        <w:noBreakHyphen/>
        <w:t xml:space="preserve">R Recommendations incorporated by reference in the Radio Regulations communicated by the </w:t>
      </w:r>
      <w:proofErr w:type="spellStart"/>
      <w:r w:rsidRPr="009A2B70">
        <w:t>Radiocommunication</w:t>
      </w:r>
      <w:proofErr w:type="spellEnd"/>
      <w:r w:rsidRPr="009A2B70">
        <w:t xml:space="preserve"> Assembly, in accordance with Resolution </w:t>
      </w:r>
      <w:r w:rsidRPr="009A2B70">
        <w:rPr>
          <w:b/>
          <w:bCs/>
        </w:rPr>
        <w:t>28 (Rev.WRC</w:t>
      </w:r>
      <w:r w:rsidRPr="009A2B70">
        <w:rPr>
          <w:b/>
          <w:bCs/>
        </w:rPr>
        <w:noBreakHyphen/>
        <w:t>03)</w:t>
      </w:r>
      <w:r w:rsidRPr="009A2B70">
        <w:t>, and to decide whether or not to update the corresponding references in the Radio Regulations, in accordance with the principles contained in Annex 1 to Resolution </w:t>
      </w:r>
      <w:r w:rsidRPr="009A2B70">
        <w:rPr>
          <w:b/>
          <w:bCs/>
        </w:rPr>
        <w:t>27 (Rev.WRC</w:t>
      </w:r>
      <w:r w:rsidRPr="009A2B70">
        <w:rPr>
          <w:b/>
          <w:bCs/>
        </w:rPr>
        <w:noBreakHyphen/>
        <w:t>12)</w:t>
      </w:r>
      <w:r w:rsidRPr="009A2B70">
        <w:t>;</w:t>
      </w:r>
    </w:p>
    <w:p w:rsidR="00B90A5F" w:rsidRPr="009A2B70" w:rsidRDefault="00B90A5F" w:rsidP="00B90A5F">
      <w:pPr>
        <w:overflowPunct/>
        <w:autoSpaceDE/>
        <w:autoSpaceDN/>
        <w:adjustRightInd/>
        <w:textAlignment w:val="auto"/>
      </w:pPr>
      <w:r w:rsidRPr="009A2B70">
        <w:t>3</w:t>
      </w:r>
      <w:r w:rsidRPr="009A2B70">
        <w:tab/>
        <w:t>to consider such consequential changes and amendments to the Radio Regulations as may be necessitated by the decisions of the Conference;</w:t>
      </w:r>
    </w:p>
    <w:p w:rsidR="00B90A5F" w:rsidRPr="009A2B70" w:rsidRDefault="00B90A5F" w:rsidP="00B90A5F">
      <w:pPr>
        <w:overflowPunct/>
        <w:autoSpaceDE/>
        <w:autoSpaceDN/>
        <w:adjustRightInd/>
        <w:textAlignment w:val="auto"/>
      </w:pPr>
      <w:r w:rsidRPr="009A2B70">
        <w:t>4</w:t>
      </w:r>
      <w:r w:rsidRPr="009A2B70">
        <w:tab/>
        <w:t xml:space="preserve">in accordance with Resolution </w:t>
      </w:r>
      <w:r w:rsidRPr="009A2B70">
        <w:rPr>
          <w:b/>
          <w:bCs/>
        </w:rPr>
        <w:t>95 (Rev.WRC</w:t>
      </w:r>
      <w:r w:rsidRPr="009A2B70">
        <w:rPr>
          <w:b/>
          <w:bCs/>
        </w:rPr>
        <w:noBreakHyphen/>
        <w:t>07)</w:t>
      </w:r>
      <w:r w:rsidRPr="009A2B70">
        <w:t>, to review the resolutions and recommendations of previous conferences with a view to their possible revision, replacement or abrogation;</w:t>
      </w:r>
    </w:p>
    <w:p w:rsidR="00B90A5F" w:rsidRPr="009A2B70" w:rsidRDefault="00B90A5F" w:rsidP="00B90A5F">
      <w:pPr>
        <w:overflowPunct/>
        <w:autoSpaceDE/>
        <w:autoSpaceDN/>
        <w:adjustRightInd/>
        <w:textAlignment w:val="auto"/>
      </w:pPr>
      <w:r w:rsidRPr="009A2B70">
        <w:t>5</w:t>
      </w:r>
      <w:r w:rsidRPr="009A2B70">
        <w:tab/>
        <w:t xml:space="preserve">to review, and take appropriate action on, the Report from the </w:t>
      </w:r>
      <w:proofErr w:type="spellStart"/>
      <w:r w:rsidRPr="009A2B70">
        <w:t>Radiocommunication</w:t>
      </w:r>
      <w:proofErr w:type="spellEnd"/>
      <w:r w:rsidRPr="009A2B70">
        <w:t xml:space="preserve"> Assembly submitted in accordance with Nos. 135 and 136 of the Convention;</w:t>
      </w:r>
    </w:p>
    <w:p w:rsidR="00B90A5F" w:rsidRPr="009A2B70" w:rsidRDefault="00B90A5F" w:rsidP="00B90A5F">
      <w:pPr>
        <w:overflowPunct/>
        <w:autoSpaceDE/>
        <w:autoSpaceDN/>
        <w:adjustRightInd/>
        <w:textAlignment w:val="auto"/>
      </w:pPr>
      <w:r w:rsidRPr="009A2B70">
        <w:t>6</w:t>
      </w:r>
      <w:r w:rsidRPr="009A2B70">
        <w:tab/>
        <w:t xml:space="preserve">to identify those items requiring urgent action by the </w:t>
      </w:r>
      <w:proofErr w:type="spellStart"/>
      <w:r w:rsidRPr="009A2B70">
        <w:t>Radiocommunication</w:t>
      </w:r>
      <w:proofErr w:type="spellEnd"/>
      <w:r w:rsidRPr="009A2B70">
        <w:t xml:space="preserve"> Study Groups in preparation for the next world </w:t>
      </w:r>
      <w:proofErr w:type="spellStart"/>
      <w:r w:rsidRPr="009A2B70">
        <w:t>radiocommunication</w:t>
      </w:r>
      <w:proofErr w:type="spellEnd"/>
      <w:r w:rsidRPr="009A2B70">
        <w:t xml:space="preserve"> conference;</w:t>
      </w:r>
    </w:p>
    <w:p w:rsidR="00B90A5F" w:rsidRPr="009A2B70" w:rsidRDefault="00B90A5F" w:rsidP="00B90A5F">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90A5F" w:rsidRPr="009A2B70" w:rsidRDefault="00B90A5F" w:rsidP="00B90A5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B90A5F" w:rsidRPr="009A2B70" w:rsidRDefault="00B90A5F" w:rsidP="00B90A5F">
      <w:pPr>
        <w:overflowPunct/>
        <w:autoSpaceDE/>
        <w:autoSpaceDN/>
        <w:adjustRightInd/>
        <w:textAlignment w:val="auto"/>
      </w:pPr>
      <w:r w:rsidRPr="009A2B70">
        <w:t>9</w:t>
      </w:r>
      <w:r w:rsidRPr="009A2B70">
        <w:tab/>
        <w:t xml:space="preserve">to consider and approve the Report of the Director of the </w:t>
      </w:r>
      <w:proofErr w:type="spellStart"/>
      <w:r w:rsidRPr="009A2B70">
        <w:t>Radiocommunication</w:t>
      </w:r>
      <w:proofErr w:type="spellEnd"/>
      <w:r w:rsidRPr="009A2B70">
        <w:t xml:space="preserve"> Bureau, in accordance with Article 7 of the Convention:</w:t>
      </w:r>
    </w:p>
    <w:p w:rsidR="00B90A5F" w:rsidRPr="009A2B70" w:rsidRDefault="00B90A5F" w:rsidP="00B90A5F">
      <w:pPr>
        <w:overflowPunct/>
        <w:autoSpaceDE/>
        <w:autoSpaceDN/>
        <w:adjustRightInd/>
        <w:spacing w:before="100"/>
        <w:textAlignment w:val="auto"/>
      </w:pPr>
      <w:r w:rsidRPr="009A2B70">
        <w:t>9.1</w:t>
      </w:r>
      <w:r w:rsidRPr="009A2B70">
        <w:tab/>
      </w:r>
      <w:proofErr w:type="gramStart"/>
      <w:r w:rsidRPr="009A2B70">
        <w:t>on</w:t>
      </w:r>
      <w:proofErr w:type="gramEnd"/>
      <w:r w:rsidRPr="009A2B70">
        <w:t xml:space="preserve"> the activities of the </w:t>
      </w:r>
      <w:proofErr w:type="spellStart"/>
      <w:r w:rsidRPr="009A2B70">
        <w:t>Radiocommunication</w:t>
      </w:r>
      <w:proofErr w:type="spellEnd"/>
      <w:r w:rsidRPr="009A2B70">
        <w:t xml:space="preserve"> Sector since WRC</w:t>
      </w:r>
      <w:r w:rsidRPr="009A2B70">
        <w:noBreakHyphen/>
        <w:t>12;</w:t>
      </w:r>
    </w:p>
    <w:p w:rsidR="00B90A5F" w:rsidRPr="009A2B70" w:rsidRDefault="00B90A5F" w:rsidP="00B90A5F">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B90A5F" w:rsidRPr="009A2B70" w:rsidRDefault="00B90A5F" w:rsidP="00B90A5F">
      <w:pPr>
        <w:overflowPunct/>
        <w:autoSpaceDE/>
        <w:autoSpaceDN/>
        <w:adjustRightInd/>
        <w:spacing w:before="100"/>
        <w:textAlignment w:val="auto"/>
      </w:pPr>
      <w:r w:rsidRPr="009A2B70">
        <w:t>9.3</w:t>
      </w:r>
      <w:r w:rsidRPr="009A2B70">
        <w:tab/>
      </w:r>
      <w:proofErr w:type="gramStart"/>
      <w:r w:rsidRPr="009A2B70">
        <w:t>on</w:t>
      </w:r>
      <w:proofErr w:type="gramEnd"/>
      <w:r w:rsidRPr="009A2B70">
        <w:t xml:space="preserve"> action in response to Resolution </w:t>
      </w:r>
      <w:r w:rsidRPr="009A2B70">
        <w:rPr>
          <w:b/>
          <w:bCs/>
        </w:rPr>
        <w:t>80 (Rev.WRC</w:t>
      </w:r>
      <w:r w:rsidRPr="009A2B70">
        <w:rPr>
          <w:b/>
          <w:bCs/>
        </w:rPr>
        <w:noBreakHyphen/>
        <w:t>07)</w:t>
      </w:r>
      <w:r w:rsidRPr="009A2B70">
        <w:t>;</w:t>
      </w:r>
    </w:p>
    <w:p w:rsidR="00B90A5F" w:rsidRPr="009A2B70" w:rsidRDefault="00B90A5F" w:rsidP="00B90A5F">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B90A5F" w:rsidRPr="009A2B70" w:rsidRDefault="00B90A5F" w:rsidP="00B90A5F">
      <w:pPr>
        <w:keepNext/>
        <w:keepLines/>
        <w:overflowPunct/>
        <w:autoSpaceDE/>
        <w:autoSpaceDN/>
        <w:adjustRightInd/>
        <w:ind w:left="709"/>
        <w:textAlignment w:val="auto"/>
        <w:rPr>
          <w:i/>
        </w:rPr>
      </w:pPr>
      <w:proofErr w:type="gramStart"/>
      <w:r w:rsidRPr="009A2B70">
        <w:rPr>
          <w:i/>
        </w:rPr>
        <w:t>instructs</w:t>
      </w:r>
      <w:proofErr w:type="gramEnd"/>
      <w:r w:rsidRPr="009A2B70">
        <w:rPr>
          <w:i/>
        </w:rPr>
        <w:t xml:space="preserve"> the Director of the </w:t>
      </w:r>
      <w:proofErr w:type="spellStart"/>
      <w:r w:rsidRPr="009A2B70">
        <w:rPr>
          <w:i/>
        </w:rPr>
        <w:t>Radiocommunication</w:t>
      </w:r>
      <w:proofErr w:type="spellEnd"/>
      <w:r w:rsidRPr="009A2B70">
        <w:rPr>
          <w:i/>
        </w:rPr>
        <w:t xml:space="preserve"> Bureau</w:t>
      </w:r>
    </w:p>
    <w:p w:rsidR="00B90A5F" w:rsidRPr="009A2B70" w:rsidRDefault="00B90A5F" w:rsidP="00B90A5F">
      <w:pPr>
        <w:keepNext/>
        <w:keepLines/>
        <w:overflowPunct/>
        <w:autoSpaceDE/>
        <w:autoSpaceDN/>
        <w:adjustRightInd/>
        <w:textAlignment w:val="auto"/>
      </w:pPr>
      <w:proofErr w:type="gramStart"/>
      <w:r w:rsidRPr="009A2B70">
        <w:t>to</w:t>
      </w:r>
      <w:proofErr w:type="gramEnd"/>
      <w:r w:rsidRPr="009A2B70">
        <w:t xml:space="preserve"> make the necessary arrangements to convene meetings of the Conference Preparatory Meeting and to prepare a report to WRC</w:t>
      </w:r>
      <w:r w:rsidRPr="009A2B70">
        <w:noBreakHyphen/>
        <w:t>15,</w:t>
      </w:r>
    </w:p>
    <w:p w:rsidR="00B90A5F" w:rsidRPr="009A2B70" w:rsidRDefault="00B90A5F" w:rsidP="00B90A5F">
      <w:pPr>
        <w:overflowPunct/>
        <w:autoSpaceDE/>
        <w:autoSpaceDN/>
        <w:adjustRightInd/>
        <w:ind w:left="709"/>
        <w:textAlignment w:val="auto"/>
        <w:rPr>
          <w:i/>
        </w:rPr>
      </w:pPr>
      <w:proofErr w:type="gramStart"/>
      <w:r w:rsidRPr="009A2B70">
        <w:rPr>
          <w:i/>
        </w:rPr>
        <w:t>instructs</w:t>
      </w:r>
      <w:proofErr w:type="gramEnd"/>
      <w:r w:rsidRPr="009A2B70">
        <w:rPr>
          <w:i/>
        </w:rPr>
        <w:t xml:space="preserve"> the Secretary-General</w:t>
      </w:r>
    </w:p>
    <w:p w:rsidR="00B90A5F" w:rsidRPr="00E148F7" w:rsidRDefault="00B90A5F" w:rsidP="00B90A5F">
      <w:pPr>
        <w:overflowPunct/>
        <w:autoSpaceDE/>
        <w:autoSpaceDN/>
        <w:adjustRightInd/>
        <w:textAlignment w:val="auto"/>
      </w:pPr>
      <w:r w:rsidRPr="00E148F7">
        <w:t>1</w:t>
      </w:r>
      <w:r w:rsidRPr="00E148F7">
        <w:tab/>
        <w:t xml:space="preserve">to make all the necessary arrangements, in agreement with the Director of the </w:t>
      </w:r>
      <w:proofErr w:type="spellStart"/>
      <w:r w:rsidRPr="00E148F7">
        <w:t>Radiocommunication</w:t>
      </w:r>
      <w:proofErr w:type="spellEnd"/>
      <w:r w:rsidRPr="00E148F7">
        <w:t xml:space="preserve"> Bureau, for the convening of the Conference;</w:t>
      </w:r>
    </w:p>
    <w:p w:rsidR="00B90A5F" w:rsidRPr="009A2B70" w:rsidRDefault="00B90A5F" w:rsidP="00B90A5F">
      <w:pPr>
        <w:overflowPunct/>
        <w:autoSpaceDE/>
        <w:autoSpaceDN/>
        <w:adjustRightInd/>
        <w:textAlignment w:val="auto"/>
      </w:pPr>
      <w:proofErr w:type="gramStart"/>
      <w:r w:rsidRPr="00E148F7">
        <w:t>2</w:t>
      </w:r>
      <w:r w:rsidRPr="00E148F7">
        <w:tab/>
        <w:t>to communicate this Resolution to international and regional organizations concerned.</w:t>
      </w:r>
      <w:proofErr w:type="gramEnd"/>
    </w:p>
    <w:p w:rsidR="00B90A5F" w:rsidRDefault="00B90A5F" w:rsidP="00B90A5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B90A5F" w:rsidRPr="00B90A5F" w:rsidRDefault="00B90A5F" w:rsidP="00B90A5F">
      <w:pPr>
        <w:pStyle w:val="ArtNo"/>
        <w:rPr>
          <w:lang w:val="en-GB"/>
        </w:rPr>
      </w:pPr>
      <w:r w:rsidRPr="00B90A5F">
        <w:rPr>
          <w:lang w:val="en-GB"/>
        </w:rPr>
        <w:lastRenderedPageBreak/>
        <w:t>ANNEX 2</w:t>
      </w:r>
    </w:p>
    <w:p w:rsidR="00B90A5F" w:rsidRPr="00B90A5F" w:rsidRDefault="00B90A5F" w:rsidP="00715139"/>
    <w:p w:rsidR="00B90A5F" w:rsidRPr="000A2ADC" w:rsidRDefault="00B90A5F" w:rsidP="00B90A5F">
      <w:pPr>
        <w:pStyle w:val="ResNo"/>
      </w:pPr>
      <w:bookmarkStart w:id="0" w:name="_Toc406757747"/>
      <w:r w:rsidRPr="000A2ADC">
        <w:t xml:space="preserve">RESOLUTION </w:t>
      </w:r>
      <w:r w:rsidRPr="00B42019">
        <w:rPr>
          <w:rStyle w:val="href"/>
        </w:rPr>
        <w:t>185</w:t>
      </w:r>
      <w:r w:rsidRPr="000A2ADC">
        <w:t xml:space="preserve"> (BUSAN, 2014)</w:t>
      </w:r>
      <w:bookmarkEnd w:id="0"/>
    </w:p>
    <w:p w:rsidR="00B90A5F" w:rsidRPr="000A2ADC" w:rsidRDefault="00B90A5F" w:rsidP="00B90A5F">
      <w:pPr>
        <w:pStyle w:val="Restitle"/>
      </w:pPr>
      <w:bookmarkStart w:id="1" w:name="_Toc406757748"/>
      <w:r w:rsidRPr="000A2ADC">
        <w:t>Global flight tracking</w:t>
      </w:r>
      <w:r w:rsidRPr="000A2ADC">
        <w:rPr>
          <w:bCs/>
          <w:szCs w:val="28"/>
        </w:rPr>
        <w:t xml:space="preserve"> for </w:t>
      </w:r>
      <w:r w:rsidRPr="000A2ADC">
        <w:rPr>
          <w:bCs/>
        </w:rPr>
        <w:t>civil aviation</w:t>
      </w:r>
      <w:bookmarkEnd w:id="1"/>
    </w:p>
    <w:p w:rsidR="00B90A5F" w:rsidRPr="00F96C2C" w:rsidRDefault="00B90A5F" w:rsidP="00F96C2C">
      <w:pPr>
        <w:pStyle w:val="Normalaftertitle0"/>
        <w:rPr>
          <w:rFonts w:asciiTheme="minorHAnsi" w:hAnsiTheme="minorHAnsi"/>
        </w:rPr>
      </w:pPr>
      <w:r w:rsidRPr="00F96C2C">
        <w:rPr>
          <w:rFonts w:asciiTheme="minorHAnsi" w:hAnsiTheme="minorHAnsi"/>
        </w:rPr>
        <w:t>The Plenipotentiary Conference of the International Telecommunication Union (Busan, 2014),</w:t>
      </w:r>
    </w:p>
    <w:p w:rsidR="00B90A5F" w:rsidRPr="000A2ADC" w:rsidRDefault="00B90A5F" w:rsidP="00B90A5F">
      <w:pPr>
        <w:pStyle w:val="Call"/>
      </w:pPr>
      <w:proofErr w:type="gramStart"/>
      <w:r w:rsidRPr="000A2ADC">
        <w:t>recalling</w:t>
      </w:r>
      <w:proofErr w:type="gramEnd"/>
    </w:p>
    <w:p w:rsidR="00B90A5F" w:rsidRPr="000A2ADC" w:rsidRDefault="00B90A5F" w:rsidP="00B90A5F">
      <w:proofErr w:type="gramStart"/>
      <w:r w:rsidRPr="000A2ADC">
        <w:t>the</w:t>
      </w:r>
      <w:proofErr w:type="gramEnd"/>
      <w:r w:rsidRPr="000A2ADC">
        <w:t xml:space="preserve"> relevant provisions</w:t>
      </w:r>
      <w:r w:rsidRPr="000A2ADC">
        <w:rPr>
          <w:i/>
          <w:iCs/>
        </w:rPr>
        <w:t xml:space="preserve"> </w:t>
      </w:r>
      <w:r w:rsidRPr="000A2ADC">
        <w:t>of Article 1 of the ITU Constitution, in particular No. 17, which stipulates that the Union is to promote the adoption of measures for ensuring the safety of life through the cooperation of telecommunication services,</w:t>
      </w:r>
    </w:p>
    <w:p w:rsidR="00B90A5F" w:rsidRPr="000A2ADC" w:rsidRDefault="00B90A5F" w:rsidP="00B90A5F">
      <w:pPr>
        <w:pStyle w:val="Call"/>
      </w:pPr>
      <w:proofErr w:type="gramStart"/>
      <w:r w:rsidRPr="000A2ADC">
        <w:t>considering</w:t>
      </w:r>
      <w:proofErr w:type="gramEnd"/>
    </w:p>
    <w:p w:rsidR="00B90A5F" w:rsidRPr="000A2ADC" w:rsidRDefault="00B90A5F" w:rsidP="00B90A5F">
      <w:pPr>
        <w:rPr>
          <w:szCs w:val="24"/>
        </w:rPr>
      </w:pPr>
      <w:r w:rsidRPr="000A2ADC">
        <w:rPr>
          <w:i/>
          <w:iCs/>
          <w:szCs w:val="24"/>
        </w:rPr>
        <w:t>a)</w:t>
      </w:r>
      <w:r w:rsidRPr="000A2ADC">
        <w:rPr>
          <w:i/>
          <w:iCs/>
          <w:szCs w:val="24"/>
        </w:rPr>
        <w:tab/>
      </w:r>
      <w:r w:rsidRPr="000A2ADC">
        <w:rPr>
          <w:szCs w:val="24"/>
        </w:rPr>
        <w:t xml:space="preserve">that the loss of Flight MH370 spurred worldwide discussions on global flight tracking and the need for coordinated action by ITU and other relevant organizations, </w:t>
      </w:r>
      <w:r w:rsidRPr="000A2ADC">
        <w:rPr>
          <w:szCs w:val="24"/>
          <w:lang w:val="en-CA"/>
        </w:rPr>
        <w:t>within the scope of their respective mandates</w:t>
      </w:r>
      <w:r w:rsidRPr="000A2ADC">
        <w:rPr>
          <w:szCs w:val="24"/>
        </w:rPr>
        <w:t>;</w:t>
      </w:r>
    </w:p>
    <w:p w:rsidR="00B90A5F" w:rsidRPr="000A2ADC" w:rsidRDefault="00B90A5F" w:rsidP="00B90A5F">
      <w:pPr>
        <w:rPr>
          <w:iCs/>
          <w:szCs w:val="24"/>
        </w:rPr>
      </w:pPr>
      <w:r w:rsidRPr="000A2ADC">
        <w:rPr>
          <w:i/>
          <w:szCs w:val="24"/>
        </w:rPr>
        <w:t>b)</w:t>
      </w:r>
      <w:r w:rsidRPr="000A2ADC">
        <w:rPr>
          <w:szCs w:val="24"/>
        </w:rPr>
        <w:tab/>
      </w:r>
      <w:proofErr w:type="gramStart"/>
      <w:r w:rsidRPr="000A2ADC">
        <w:rPr>
          <w:iCs/>
          <w:szCs w:val="24"/>
        </w:rPr>
        <w:t>that</w:t>
      </w:r>
      <w:proofErr w:type="gramEnd"/>
      <w:r w:rsidRPr="000A2ADC">
        <w:rPr>
          <w:iCs/>
          <w:szCs w:val="24"/>
        </w:rPr>
        <w:t xml:space="preserve"> determination of the position of aircraft and reporting this information to </w:t>
      </w:r>
      <w:r w:rsidRPr="000A2ADC">
        <w:rPr>
          <w:szCs w:val="24"/>
          <w:lang w:val="en-CA"/>
        </w:rPr>
        <w:t xml:space="preserve">air traffic control </w:t>
      </w:r>
      <w:proofErr w:type="spellStart"/>
      <w:r w:rsidRPr="000A2ADC">
        <w:rPr>
          <w:iCs/>
          <w:szCs w:val="24"/>
        </w:rPr>
        <w:t>centres</w:t>
      </w:r>
      <w:proofErr w:type="spellEnd"/>
      <w:r w:rsidRPr="000A2ADC">
        <w:rPr>
          <w:iCs/>
          <w:szCs w:val="24"/>
        </w:rPr>
        <w:t xml:space="preserve"> represents an important element of aviation safety and security;</w:t>
      </w:r>
    </w:p>
    <w:p w:rsidR="00B90A5F" w:rsidRPr="000A2ADC" w:rsidRDefault="00B90A5F" w:rsidP="00B90A5F">
      <w:pPr>
        <w:rPr>
          <w:szCs w:val="24"/>
        </w:rPr>
      </w:pPr>
      <w:r w:rsidRPr="000A2ADC">
        <w:rPr>
          <w:i/>
          <w:iCs/>
          <w:szCs w:val="24"/>
        </w:rPr>
        <w:t>c)</w:t>
      </w:r>
      <w:r w:rsidRPr="000A2ADC">
        <w:rPr>
          <w:szCs w:val="24"/>
        </w:rPr>
        <w:tab/>
      </w:r>
      <w:proofErr w:type="gramStart"/>
      <w:r w:rsidRPr="000A2ADC">
        <w:rPr>
          <w:szCs w:val="24"/>
        </w:rPr>
        <w:t>that</w:t>
      </w:r>
      <w:proofErr w:type="gramEnd"/>
      <w:r w:rsidRPr="000A2ADC">
        <w:rPr>
          <w:szCs w:val="24"/>
        </w:rPr>
        <w:t xml:space="preserve"> the International Civil Aviation Organization (</w:t>
      </w:r>
      <w:r w:rsidRPr="000A2ADC">
        <w:rPr>
          <w:szCs w:val="24"/>
          <w:lang w:val="en-CA"/>
        </w:rPr>
        <w:t xml:space="preserve">ICAO) has developed Standards and Recommended Practices (SARPs) for systems enabling position determination and </w:t>
      </w:r>
      <w:r w:rsidRPr="000A2ADC">
        <w:rPr>
          <w:szCs w:val="24"/>
        </w:rPr>
        <w:t>tracking</w:t>
      </w:r>
      <w:r w:rsidRPr="000A2ADC">
        <w:rPr>
          <w:szCs w:val="24"/>
          <w:lang w:val="en-CA"/>
        </w:rPr>
        <w:t xml:space="preserve"> of aircraft for air traffic control</w:t>
      </w:r>
      <w:r w:rsidRPr="000A2ADC">
        <w:rPr>
          <w:szCs w:val="24"/>
        </w:rPr>
        <w:t>;</w:t>
      </w:r>
    </w:p>
    <w:p w:rsidR="00B90A5F" w:rsidRPr="000A2ADC" w:rsidRDefault="00B90A5F" w:rsidP="00B90A5F">
      <w:pPr>
        <w:rPr>
          <w:szCs w:val="24"/>
        </w:rPr>
      </w:pPr>
      <w:r w:rsidRPr="000A2ADC">
        <w:rPr>
          <w:i/>
          <w:iCs/>
          <w:szCs w:val="24"/>
        </w:rPr>
        <w:t>d</w:t>
      </w:r>
      <w:r w:rsidRPr="000A2ADC">
        <w:rPr>
          <w:i/>
          <w:iCs/>
          <w:szCs w:val="24"/>
          <w:lang w:val="en-CA"/>
        </w:rPr>
        <w:t>)</w:t>
      </w:r>
      <w:r w:rsidRPr="000A2ADC">
        <w:rPr>
          <w:szCs w:val="24"/>
          <w:lang w:val="en-CA"/>
        </w:rPr>
        <w:tab/>
      </w:r>
      <w:proofErr w:type="gramStart"/>
      <w:r w:rsidRPr="000A2ADC">
        <w:rPr>
          <w:szCs w:val="24"/>
          <w:lang w:val="en-CA"/>
        </w:rPr>
        <w:t>that</w:t>
      </w:r>
      <w:proofErr w:type="gramEnd"/>
      <w:r w:rsidRPr="000A2ADC">
        <w:rPr>
          <w:szCs w:val="24"/>
          <w:lang w:val="en-CA"/>
        </w:rPr>
        <w:t xml:space="preserve"> the current agenda of the 2015 World </w:t>
      </w:r>
      <w:proofErr w:type="spellStart"/>
      <w:r w:rsidRPr="000A2ADC">
        <w:rPr>
          <w:szCs w:val="24"/>
          <w:lang w:val="en-CA"/>
        </w:rPr>
        <w:t>Radiocommunication</w:t>
      </w:r>
      <w:proofErr w:type="spellEnd"/>
      <w:r w:rsidRPr="000A2ADC">
        <w:rPr>
          <w:szCs w:val="24"/>
          <w:lang w:val="en-CA"/>
        </w:rPr>
        <w:t xml:space="preserve"> Conference (WRC-15), as contained in ITU Council Resolution 1343 (Council-12), does not directly address the issue of global flight tracking</w:t>
      </w:r>
      <w:r w:rsidRPr="000A2ADC">
        <w:rPr>
          <w:szCs w:val="24"/>
        </w:rPr>
        <w:t>;</w:t>
      </w:r>
    </w:p>
    <w:p w:rsidR="00B90A5F" w:rsidRPr="000A2ADC" w:rsidRDefault="00B90A5F" w:rsidP="00B90A5F">
      <w:pPr>
        <w:rPr>
          <w:szCs w:val="24"/>
          <w:lang w:val="en-CA"/>
        </w:rPr>
      </w:pPr>
      <w:r w:rsidRPr="000A2ADC">
        <w:rPr>
          <w:i/>
          <w:iCs/>
          <w:szCs w:val="24"/>
        </w:rPr>
        <w:t>e)</w:t>
      </w:r>
      <w:r w:rsidRPr="000A2ADC">
        <w:rPr>
          <w:szCs w:val="24"/>
        </w:rPr>
        <w:tab/>
      </w:r>
      <w:proofErr w:type="gramStart"/>
      <w:r w:rsidRPr="000A2ADC">
        <w:rPr>
          <w:szCs w:val="24"/>
        </w:rPr>
        <w:t>that</w:t>
      </w:r>
      <w:proofErr w:type="gramEnd"/>
      <w:r w:rsidRPr="000A2ADC">
        <w:rPr>
          <w:szCs w:val="24"/>
        </w:rPr>
        <w:t xml:space="preserve"> flight tracking for civil aviation is currently available across the globe, apart from some parts of the polar regions; </w:t>
      </w:r>
    </w:p>
    <w:p w:rsidR="00B90A5F" w:rsidRPr="000A2ADC" w:rsidRDefault="00B90A5F" w:rsidP="00B90A5F">
      <w:pPr>
        <w:overflowPunct/>
        <w:autoSpaceDE/>
        <w:autoSpaceDN/>
        <w:adjustRightInd/>
        <w:textAlignment w:val="auto"/>
        <w:rPr>
          <w:szCs w:val="24"/>
        </w:rPr>
      </w:pPr>
      <w:r w:rsidRPr="000A2ADC">
        <w:rPr>
          <w:i/>
          <w:iCs/>
          <w:szCs w:val="24"/>
          <w:lang w:val="en-CA"/>
        </w:rPr>
        <w:t>f</w:t>
      </w:r>
      <w:r w:rsidRPr="000A2ADC">
        <w:rPr>
          <w:i/>
          <w:iCs/>
          <w:szCs w:val="24"/>
        </w:rPr>
        <w:t>)</w:t>
      </w:r>
      <w:r w:rsidRPr="000A2ADC">
        <w:rPr>
          <w:szCs w:val="24"/>
        </w:rPr>
        <w:tab/>
        <w:t>that ICAO, in its special meeting on</w:t>
      </w:r>
      <w:r w:rsidRPr="000A2ADC">
        <w:rPr>
          <w:b/>
          <w:bCs/>
          <w:szCs w:val="24"/>
        </w:rPr>
        <w:t xml:space="preserve"> </w:t>
      </w:r>
      <w:r w:rsidRPr="000A2ADC">
        <w:rPr>
          <w:szCs w:val="24"/>
        </w:rPr>
        <w:t>global flight tracking</w:t>
      </w:r>
      <w:r w:rsidRPr="000A2ADC">
        <w:rPr>
          <w:b/>
          <w:bCs/>
          <w:szCs w:val="24"/>
        </w:rPr>
        <w:t xml:space="preserve">, </w:t>
      </w:r>
      <w:r w:rsidRPr="000A2ADC">
        <w:rPr>
          <w:szCs w:val="24"/>
        </w:rPr>
        <w:t>Montreal, 12-13 May 2014, encouraged ITU to take action, at the earliest opportunity, to provide the necessary spectrum allocations for satellite when emerging aviation needs are identified,</w:t>
      </w:r>
    </w:p>
    <w:p w:rsidR="00B90A5F" w:rsidRPr="000A2ADC" w:rsidRDefault="00B90A5F" w:rsidP="00B90A5F">
      <w:pPr>
        <w:pStyle w:val="Call"/>
      </w:pPr>
      <w:proofErr w:type="gramStart"/>
      <w:r w:rsidRPr="000A2ADC">
        <w:t>considering</w:t>
      </w:r>
      <w:proofErr w:type="gramEnd"/>
      <w:r w:rsidRPr="000A2ADC">
        <w:t xml:space="preserve"> further</w:t>
      </w:r>
    </w:p>
    <w:p w:rsidR="00B90A5F" w:rsidRPr="000A2ADC" w:rsidRDefault="00B90A5F" w:rsidP="00B90A5F">
      <w:pPr>
        <w:rPr>
          <w:bCs/>
          <w:iCs/>
          <w:szCs w:val="24"/>
        </w:rPr>
      </w:pPr>
      <w:r w:rsidRPr="000A2ADC">
        <w:rPr>
          <w:bCs/>
          <w:i/>
          <w:szCs w:val="24"/>
        </w:rPr>
        <w:t>a)</w:t>
      </w:r>
      <w:r w:rsidRPr="000A2ADC">
        <w:rPr>
          <w:i/>
          <w:iCs/>
          <w:szCs w:val="24"/>
          <w:lang w:val="en-CA"/>
        </w:rPr>
        <w:tab/>
      </w:r>
      <w:proofErr w:type="gramStart"/>
      <w:r w:rsidRPr="000A2ADC">
        <w:rPr>
          <w:bCs/>
          <w:iCs/>
          <w:szCs w:val="24"/>
        </w:rPr>
        <w:t>that</w:t>
      </w:r>
      <w:proofErr w:type="gramEnd"/>
      <w:r w:rsidRPr="000A2ADC">
        <w:rPr>
          <w:bCs/>
          <w:iCs/>
          <w:szCs w:val="24"/>
        </w:rPr>
        <w:t xml:space="preserve"> studies relating to global flight tracking are ongoing in the ITU </w:t>
      </w:r>
      <w:proofErr w:type="spellStart"/>
      <w:r w:rsidRPr="000A2ADC">
        <w:rPr>
          <w:bCs/>
          <w:iCs/>
          <w:szCs w:val="24"/>
        </w:rPr>
        <w:t>Radiocommunication</w:t>
      </w:r>
      <w:proofErr w:type="spellEnd"/>
      <w:r w:rsidRPr="000A2ADC">
        <w:rPr>
          <w:bCs/>
          <w:iCs/>
          <w:szCs w:val="24"/>
        </w:rPr>
        <w:t xml:space="preserve"> Sector (ITU-R);</w:t>
      </w:r>
    </w:p>
    <w:p w:rsidR="00B90A5F" w:rsidRPr="000A2ADC" w:rsidRDefault="00B90A5F" w:rsidP="00B90A5F">
      <w:pPr>
        <w:rPr>
          <w:szCs w:val="24"/>
        </w:rPr>
      </w:pPr>
      <w:r w:rsidRPr="000A2ADC">
        <w:rPr>
          <w:i/>
          <w:iCs/>
          <w:szCs w:val="24"/>
        </w:rPr>
        <w:t>b</w:t>
      </w:r>
      <w:r w:rsidRPr="000A2ADC">
        <w:rPr>
          <w:i/>
          <w:iCs/>
          <w:szCs w:val="24"/>
          <w:lang w:val="en-CA"/>
        </w:rPr>
        <w:t>)</w:t>
      </w:r>
      <w:r w:rsidRPr="000A2ADC">
        <w:rPr>
          <w:i/>
          <w:iCs/>
          <w:szCs w:val="24"/>
          <w:lang w:val="en-CA"/>
        </w:rPr>
        <w:tab/>
      </w:r>
      <w:proofErr w:type="gramStart"/>
      <w:r w:rsidRPr="000A2ADC">
        <w:t>that</w:t>
      </w:r>
      <w:proofErr w:type="gramEnd"/>
      <w:r w:rsidRPr="000A2ADC">
        <w:t xml:space="preserve"> ITU and ICAO signed a memorandum of understanding in 2012 to establish a framework for enhanced cooperation between the two parties,</w:t>
      </w:r>
    </w:p>
    <w:p w:rsidR="00B90A5F" w:rsidRPr="000A2ADC" w:rsidRDefault="00B90A5F" w:rsidP="00B90A5F">
      <w:pPr>
        <w:pStyle w:val="Call"/>
      </w:pPr>
      <w:proofErr w:type="gramStart"/>
      <w:r w:rsidRPr="000A2ADC">
        <w:t>noting</w:t>
      </w:r>
      <w:proofErr w:type="gramEnd"/>
    </w:p>
    <w:p w:rsidR="00B90A5F" w:rsidRPr="000A2ADC" w:rsidRDefault="00B90A5F" w:rsidP="00B90A5F">
      <w:proofErr w:type="gramStart"/>
      <w:r w:rsidRPr="000A2ADC">
        <w:t>that</w:t>
      </w:r>
      <w:proofErr w:type="gramEnd"/>
      <w:r w:rsidRPr="000A2ADC">
        <w:t xml:space="preserve"> identifying and tracking of civil aircraft flights contributes indirectly to aviation safety,</w:t>
      </w:r>
    </w:p>
    <w:p w:rsidR="00B90A5F" w:rsidRPr="000A2ADC" w:rsidRDefault="00B90A5F" w:rsidP="00B90A5F">
      <w:pPr>
        <w:pStyle w:val="Call"/>
      </w:pPr>
      <w:proofErr w:type="gramStart"/>
      <w:r w:rsidRPr="000A2ADC">
        <w:t>resolves</w:t>
      </w:r>
      <w:proofErr w:type="gramEnd"/>
      <w:r w:rsidRPr="000A2ADC">
        <w:t xml:space="preserve"> </w:t>
      </w:r>
    </w:p>
    <w:p w:rsidR="00B90A5F" w:rsidRPr="000A2ADC" w:rsidRDefault="00B90A5F" w:rsidP="00B90A5F">
      <w:pPr>
        <w:rPr>
          <w:szCs w:val="24"/>
        </w:rPr>
      </w:pPr>
      <w:r w:rsidRPr="000A2ADC">
        <w:t xml:space="preserve">to instruct WRC-15, pursuant to No. 119 of the ITU Convention, </w:t>
      </w:r>
      <w:r w:rsidRPr="000A2ADC">
        <w:rPr>
          <w:szCs w:val="24"/>
        </w:rPr>
        <w:t>to include in its agenda, as a matter of urgency, the consideration of global flight tracking, including, if appropriate, and consistent with ITU practices, various aspects of the matter, taking into account ITU-R studies,</w:t>
      </w:r>
      <w:r w:rsidRPr="000A2ADC">
        <w:rPr>
          <w:rFonts w:asciiTheme="minorHAnsi" w:hAnsiTheme="minorHAnsi"/>
          <w:szCs w:val="24"/>
        </w:rPr>
        <w:t xml:space="preserve"> </w:t>
      </w:r>
    </w:p>
    <w:p w:rsidR="00B90A5F" w:rsidRPr="000A2ADC" w:rsidRDefault="00B90A5F" w:rsidP="00B90A5F">
      <w:pPr>
        <w:pStyle w:val="Call"/>
      </w:pPr>
      <w:proofErr w:type="gramStart"/>
      <w:r w:rsidRPr="000A2ADC">
        <w:lastRenderedPageBreak/>
        <w:t>instructs</w:t>
      </w:r>
      <w:proofErr w:type="gramEnd"/>
      <w:r w:rsidRPr="000A2ADC">
        <w:t xml:space="preserve"> the Secretary-General </w:t>
      </w:r>
    </w:p>
    <w:p w:rsidR="00B90A5F" w:rsidRPr="000A2ADC" w:rsidRDefault="00B90A5F" w:rsidP="00B90A5F">
      <w:proofErr w:type="gramStart"/>
      <w:r w:rsidRPr="000A2ADC">
        <w:t>to</w:t>
      </w:r>
      <w:proofErr w:type="gramEnd"/>
      <w:r w:rsidRPr="000A2ADC">
        <w:t xml:space="preserve"> bring this resolution to the attention of WRC-15 and ICAO,</w:t>
      </w:r>
    </w:p>
    <w:p w:rsidR="00B90A5F" w:rsidRPr="000A2ADC" w:rsidRDefault="00B90A5F" w:rsidP="00B90A5F">
      <w:pPr>
        <w:pStyle w:val="Call"/>
      </w:pPr>
      <w:proofErr w:type="gramStart"/>
      <w:r w:rsidRPr="000A2ADC">
        <w:t>instructs</w:t>
      </w:r>
      <w:proofErr w:type="gramEnd"/>
      <w:r w:rsidRPr="000A2ADC">
        <w:t xml:space="preserve"> the Director of the </w:t>
      </w:r>
      <w:proofErr w:type="spellStart"/>
      <w:r w:rsidRPr="000A2ADC">
        <w:t>Radiocommunication</w:t>
      </w:r>
      <w:proofErr w:type="spellEnd"/>
      <w:r w:rsidRPr="000A2ADC">
        <w:t xml:space="preserve"> Bureau</w:t>
      </w:r>
    </w:p>
    <w:p w:rsidR="00B90A5F" w:rsidRPr="000A2ADC" w:rsidRDefault="00B90A5F" w:rsidP="00B90A5F">
      <w:pPr>
        <w:rPr>
          <w:rFonts w:asciiTheme="minorHAnsi" w:hAnsiTheme="minorHAnsi"/>
          <w:szCs w:val="24"/>
        </w:rPr>
      </w:pPr>
      <w:proofErr w:type="gramStart"/>
      <w:r w:rsidRPr="000A2ADC">
        <w:t>to</w:t>
      </w:r>
      <w:proofErr w:type="gramEnd"/>
      <w:r w:rsidRPr="000A2ADC">
        <w:t xml:space="preserve"> prepare a specific report on the matter as referred to in </w:t>
      </w:r>
      <w:r w:rsidRPr="000A2ADC">
        <w:rPr>
          <w:i/>
          <w:iCs/>
        </w:rPr>
        <w:t>resolves</w:t>
      </w:r>
      <w:r w:rsidRPr="000A2ADC">
        <w:t xml:space="preserve"> above for consideration by WRC</w:t>
      </w:r>
      <w:r>
        <w:noBreakHyphen/>
      </w:r>
      <w:r w:rsidRPr="000A2ADC">
        <w:t>15.</w:t>
      </w:r>
    </w:p>
    <w:p w:rsidR="00B90A5F" w:rsidRDefault="00B90A5F">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r>
        <w:rPr>
          <w:b/>
          <w:u w:val="single"/>
        </w:rPr>
        <w:br w:type="page"/>
      </w:r>
    </w:p>
    <w:p w:rsidR="00B90A5F" w:rsidRDefault="00B90A5F" w:rsidP="00F96C2C">
      <w:pPr>
        <w:pStyle w:val="ArtNo"/>
        <w:rPr>
          <w:b/>
        </w:rPr>
      </w:pPr>
      <w:r w:rsidRPr="00726B6A">
        <w:lastRenderedPageBreak/>
        <w:t>A</w:t>
      </w:r>
      <w:r>
        <w:t>NNEX</w:t>
      </w:r>
      <w:r w:rsidRPr="00726B6A">
        <w:t xml:space="preserve"> 3</w:t>
      </w:r>
    </w:p>
    <w:p w:rsidR="00F96C2C" w:rsidRDefault="00B90A5F" w:rsidP="00F96C2C">
      <w:pPr>
        <w:pStyle w:val="Arttitle"/>
      </w:pPr>
      <w:r w:rsidRPr="00726B6A">
        <w:t>Guidelines for the preparation of proposals</w:t>
      </w:r>
      <w:r>
        <w:t xml:space="preserve"> for the work </w:t>
      </w:r>
      <w:r>
        <w:br/>
        <w:t xml:space="preserve">of the World </w:t>
      </w:r>
      <w:proofErr w:type="spellStart"/>
      <w:r>
        <w:t>Radiocommunication</w:t>
      </w:r>
      <w:proofErr w:type="spellEnd"/>
      <w:r>
        <w:t xml:space="preserve"> Conference</w:t>
      </w:r>
    </w:p>
    <w:p w:rsidR="00B90A5F" w:rsidRPr="00474D21" w:rsidRDefault="00B90A5F" w:rsidP="00F96C2C">
      <w:pPr>
        <w:pStyle w:val="Heading1"/>
        <w:jc w:val="left"/>
      </w:pPr>
      <w:r w:rsidRPr="00474D21">
        <w:t>1</w:t>
      </w:r>
      <w:r w:rsidRPr="00474D21">
        <w:tab/>
        <w:t>Introduction</w:t>
      </w:r>
    </w:p>
    <w:p w:rsidR="00B90A5F" w:rsidRPr="00474D21" w:rsidRDefault="00B90A5F" w:rsidP="00B90A5F">
      <w:pPr>
        <w:jc w:val="left"/>
      </w:pPr>
      <w:r w:rsidRPr="00474D21">
        <w:rPr>
          <w:b/>
        </w:rPr>
        <w:t>1.1</w:t>
      </w:r>
      <w:r w:rsidRPr="00474D21">
        <w:tab/>
        <w:t xml:space="preserve">These guidelines have been prepared by the ITU Secretariat for the submission of proposals to the forthcoming World </w:t>
      </w:r>
      <w:proofErr w:type="spellStart"/>
      <w:r w:rsidRPr="00474D21">
        <w:t>Radiocommunication</w:t>
      </w:r>
      <w:proofErr w:type="spellEnd"/>
      <w:r w:rsidRPr="00474D21">
        <w:t xml:space="preserve"> Conference (WRC-</w:t>
      </w:r>
      <w:r>
        <w:t>15</w:t>
      </w:r>
      <w:r w:rsidRPr="00474D21">
        <w:t>).</w:t>
      </w:r>
    </w:p>
    <w:p w:rsidR="00B90A5F" w:rsidRDefault="00B90A5F" w:rsidP="00B90A5F">
      <w:pPr>
        <w:jc w:val="left"/>
      </w:pPr>
      <w:r w:rsidRPr="00474D21">
        <w:rPr>
          <w:b/>
        </w:rPr>
        <w:t>1.2</w:t>
      </w:r>
      <w:r w:rsidRPr="00474D21">
        <w:tab/>
      </w:r>
      <w:r w:rsidRPr="00537F52">
        <w:t xml:space="preserve">Proposals should be based </w:t>
      </w:r>
      <w:r w:rsidRPr="00537F52">
        <w:rPr>
          <w:b/>
          <w:bCs/>
          <w:i/>
          <w:iCs/>
        </w:rPr>
        <w:t>only</w:t>
      </w:r>
      <w:r w:rsidRPr="00537F52">
        <w:t xml:space="preserve"> on the </w:t>
      </w:r>
      <w:hyperlink r:id="rId15" w:history="1">
        <w:r w:rsidRPr="00537F52">
          <w:rPr>
            <w:rStyle w:val="Hyperlink"/>
          </w:rPr>
          <w:t>2012 Edition of the Radio Regulations</w:t>
        </w:r>
      </w:hyperlink>
      <w:r w:rsidRPr="00474D21">
        <w:t>. The sequential numbering system should be used to identify the particular provision to which the proposal is related.</w:t>
      </w:r>
    </w:p>
    <w:p w:rsidR="00B90A5F" w:rsidRPr="00474D21" w:rsidRDefault="00B90A5F" w:rsidP="00B90A5F">
      <w:pPr>
        <w:jc w:val="left"/>
      </w:pPr>
      <w:r w:rsidRPr="00474D21">
        <w:rPr>
          <w:b/>
        </w:rPr>
        <w:t>1.</w:t>
      </w:r>
      <w:r>
        <w:rPr>
          <w:b/>
        </w:rPr>
        <w:t>3</w:t>
      </w:r>
      <w:r w:rsidRPr="00474D21">
        <w:tab/>
      </w:r>
      <w:r w:rsidRPr="007D091D">
        <w:rPr>
          <w:rFonts w:asciiTheme="minorHAnsi" w:hAnsiTheme="minorHAnsi"/>
          <w:szCs w:val="24"/>
        </w:rPr>
        <w:t>F</w:t>
      </w:r>
      <w:r w:rsidRPr="00BB2DC6">
        <w:rPr>
          <w:rFonts w:asciiTheme="minorHAnsi" w:hAnsiTheme="minorHAnsi"/>
          <w:bCs/>
          <w:szCs w:val="24"/>
        </w:rPr>
        <w:t>urther details pertaining to the preparation of proposals</w:t>
      </w:r>
      <w:r>
        <w:rPr>
          <w:rFonts w:asciiTheme="minorHAnsi" w:hAnsiTheme="minorHAnsi"/>
          <w:bCs/>
          <w:szCs w:val="24"/>
        </w:rPr>
        <w:t xml:space="preserve"> </w:t>
      </w:r>
      <w:r w:rsidRPr="00BB2DC6">
        <w:rPr>
          <w:rFonts w:asciiTheme="minorHAnsi" w:hAnsiTheme="minorHAnsi"/>
          <w:bCs/>
          <w:szCs w:val="24"/>
        </w:rPr>
        <w:t xml:space="preserve">will be provided </w:t>
      </w:r>
      <w:r>
        <w:rPr>
          <w:rFonts w:asciiTheme="minorHAnsi" w:hAnsiTheme="minorHAnsi"/>
          <w:bCs/>
          <w:szCs w:val="24"/>
        </w:rPr>
        <w:t xml:space="preserve">in due course </w:t>
      </w:r>
      <w:r w:rsidRPr="00BB2DC6">
        <w:rPr>
          <w:rFonts w:asciiTheme="minorHAnsi" w:hAnsiTheme="minorHAnsi"/>
          <w:bCs/>
          <w:szCs w:val="24"/>
        </w:rPr>
        <w:t xml:space="preserve">on the </w:t>
      </w:r>
      <w:r w:rsidRPr="00726B6A">
        <w:t>WRC-15 website</w:t>
      </w:r>
      <w:r>
        <w:rPr>
          <w:rFonts w:asciiTheme="minorHAnsi" w:hAnsiTheme="minorHAnsi"/>
          <w:bCs/>
          <w:szCs w:val="24"/>
        </w:rPr>
        <w:t xml:space="preserve"> at </w:t>
      </w:r>
      <w:hyperlink r:id="rId16" w:tooltip="click to update" w:history="1">
        <w:r w:rsidRPr="00FD110B">
          <w:rPr>
            <w:rStyle w:val="Hyperlink"/>
          </w:rPr>
          <w:t>www.itu.int/go/ITU-R/wrc-15</w:t>
        </w:r>
      </w:hyperlink>
      <w:r w:rsidRPr="00474D21">
        <w:t>.</w:t>
      </w:r>
    </w:p>
    <w:p w:rsidR="00B90A5F" w:rsidRPr="00474D21" w:rsidRDefault="00B90A5F" w:rsidP="00B90A5F">
      <w:pPr>
        <w:pStyle w:val="Heading1"/>
        <w:jc w:val="left"/>
      </w:pPr>
      <w:r w:rsidRPr="00474D21">
        <w:t>2</w:t>
      </w:r>
      <w:r w:rsidRPr="00474D21">
        <w:tab/>
        <w:t>Guidelines for presentation</w:t>
      </w:r>
    </w:p>
    <w:p w:rsidR="00B90A5F" w:rsidRPr="00726B6A" w:rsidRDefault="00B90A5F" w:rsidP="00B90A5F">
      <w:pPr>
        <w:jc w:val="left"/>
        <w:rPr>
          <w:rFonts w:asciiTheme="minorHAnsi" w:hAnsiTheme="minorHAnsi"/>
        </w:rPr>
      </w:pPr>
      <w:r w:rsidRPr="00474D21">
        <w:rPr>
          <w:b/>
        </w:rPr>
        <w:t>2.1</w:t>
      </w:r>
      <w:r w:rsidRPr="00474D21">
        <w:tab/>
      </w:r>
      <w:r>
        <w:t xml:space="preserve">The </w:t>
      </w:r>
      <w:r w:rsidRPr="00474D21">
        <w:t>proposals</w:t>
      </w:r>
      <w:r>
        <w:t xml:space="preserve"> or common proposals should begin </w:t>
      </w:r>
      <w:r w:rsidRPr="00474D21">
        <w:t>with a short summary of the</w:t>
      </w:r>
      <w:r>
        <w:t xml:space="preserve"> </w:t>
      </w:r>
      <w:r w:rsidRPr="00474D21">
        <w:t xml:space="preserve">views on each agenda item. This should be followed by detailed proposals, each proposal being followed by a </w:t>
      </w:r>
      <w:r w:rsidRPr="00726B6A">
        <w:rPr>
          <w:rFonts w:asciiTheme="minorHAnsi" w:hAnsiTheme="minorHAnsi"/>
        </w:rPr>
        <w:t>brief separate statement of the reason for the proposed change.</w:t>
      </w:r>
    </w:p>
    <w:p w:rsidR="00B90A5F" w:rsidRPr="00726B6A" w:rsidRDefault="00B90A5F" w:rsidP="00B90A5F">
      <w:pPr>
        <w:pStyle w:val="Heading2"/>
        <w:jc w:val="left"/>
        <w:rPr>
          <w:rFonts w:asciiTheme="minorHAnsi" w:hAnsiTheme="minorHAnsi"/>
        </w:rPr>
      </w:pPr>
      <w:r w:rsidRPr="00726B6A">
        <w:rPr>
          <w:rFonts w:asciiTheme="minorHAnsi" w:hAnsiTheme="minorHAnsi"/>
        </w:rPr>
        <w:t>2.2</w:t>
      </w:r>
      <w:r w:rsidRPr="00726B6A">
        <w:rPr>
          <w:rFonts w:asciiTheme="minorHAnsi" w:hAnsiTheme="minorHAnsi"/>
        </w:rPr>
        <w:tab/>
        <w:t>Symbols to be used</w:t>
      </w:r>
    </w:p>
    <w:p w:rsidR="00B90A5F" w:rsidRPr="00726B6A" w:rsidRDefault="00B90A5F" w:rsidP="00B90A5F">
      <w:pPr>
        <w:pStyle w:val="headingb0"/>
        <w:rPr>
          <w:rFonts w:asciiTheme="minorHAnsi" w:hAnsiTheme="minorHAnsi"/>
        </w:rPr>
      </w:pPr>
      <w:r w:rsidRPr="00726B6A">
        <w:rPr>
          <w:rFonts w:asciiTheme="minorHAnsi" w:hAnsiTheme="minorHAnsi"/>
        </w:rPr>
        <w:t>ADD</w:t>
      </w:r>
      <w:r w:rsidRPr="00726B6A">
        <w:rPr>
          <w:rFonts w:asciiTheme="minorHAnsi" w:hAnsiTheme="minorHAnsi"/>
        </w:rPr>
        <w:tab/>
        <w:t>Proposal to add new text to the Radio Regulations (RR)</w:t>
      </w:r>
    </w:p>
    <w:p w:rsidR="00B90A5F" w:rsidRPr="00726B6A" w:rsidRDefault="00B90A5F" w:rsidP="00B90A5F">
      <w:pPr>
        <w:pStyle w:val="enumlev2"/>
        <w:ind w:left="794" w:firstLine="0"/>
        <w:jc w:val="left"/>
        <w:rPr>
          <w:rFonts w:asciiTheme="minorHAnsi" w:hAnsiTheme="minorHAnsi"/>
          <w:i/>
          <w:iCs/>
        </w:rPr>
      </w:pPr>
      <w:r w:rsidRPr="00726B6A">
        <w:rPr>
          <w:rFonts w:asciiTheme="minorHAnsi" w:hAnsiTheme="minorHAnsi"/>
          <w:i/>
          <w:iCs/>
        </w:rPr>
        <w:t>NOTE – Where new text is to be added within an existing paragraph or sub-paragraph, the symbol MOD should be used (see instructions for MOD below).</w:t>
      </w:r>
    </w:p>
    <w:p w:rsidR="00B90A5F" w:rsidRPr="00726B6A" w:rsidRDefault="00B90A5F" w:rsidP="00B90A5F">
      <w:pPr>
        <w:pStyle w:val="headingb0"/>
        <w:rPr>
          <w:rFonts w:asciiTheme="minorHAnsi" w:hAnsiTheme="minorHAnsi"/>
        </w:rPr>
      </w:pPr>
      <w:r w:rsidRPr="00726B6A">
        <w:rPr>
          <w:rFonts w:asciiTheme="minorHAnsi" w:hAnsiTheme="minorHAnsi"/>
        </w:rPr>
        <w:t>ADD*</w:t>
      </w:r>
      <w:r w:rsidRPr="00726B6A">
        <w:rPr>
          <w:rFonts w:asciiTheme="minorHAnsi" w:hAnsiTheme="minorHAnsi"/>
        </w:rPr>
        <w:tab/>
        <w:t>Proposal to add existing text from elsewhere in the RR</w:t>
      </w:r>
    </w:p>
    <w:p w:rsidR="00B90A5F" w:rsidRPr="00726B6A" w:rsidRDefault="00B90A5F" w:rsidP="00B90A5F">
      <w:pPr>
        <w:pStyle w:val="enumlev2"/>
        <w:jc w:val="left"/>
        <w:rPr>
          <w:rFonts w:asciiTheme="minorHAnsi" w:hAnsiTheme="minorHAnsi"/>
          <w:i/>
          <w:iCs/>
        </w:rPr>
      </w:pPr>
      <w:r w:rsidRPr="00726B6A">
        <w:rPr>
          <w:rFonts w:asciiTheme="minorHAnsi" w:hAnsiTheme="minorHAnsi"/>
          <w:i/>
          <w:iCs/>
        </w:rPr>
        <w:t>NOTE – It is necessary to reproduce the texts carrying the symbol ADD*.</w:t>
      </w:r>
    </w:p>
    <w:p w:rsidR="00B90A5F" w:rsidRPr="00726B6A" w:rsidRDefault="00B90A5F" w:rsidP="00B90A5F">
      <w:pPr>
        <w:pStyle w:val="headingb0"/>
        <w:rPr>
          <w:rFonts w:asciiTheme="minorHAnsi" w:hAnsiTheme="minorHAnsi"/>
        </w:rPr>
      </w:pPr>
      <w:r w:rsidRPr="00726B6A">
        <w:rPr>
          <w:rFonts w:asciiTheme="minorHAnsi" w:hAnsiTheme="minorHAnsi"/>
        </w:rPr>
        <w:t>MOD</w:t>
      </w:r>
      <w:r w:rsidRPr="00726B6A">
        <w:rPr>
          <w:rFonts w:asciiTheme="minorHAnsi" w:hAnsiTheme="minorHAnsi"/>
        </w:rPr>
        <w:tab/>
        <w:t>Proposal to amend RR text by addition, deletion or replacement of words or figures</w:t>
      </w:r>
    </w:p>
    <w:p w:rsidR="00B90A5F" w:rsidRPr="00726B6A" w:rsidRDefault="00B90A5F" w:rsidP="00B90A5F">
      <w:pPr>
        <w:pStyle w:val="enumlev2"/>
        <w:ind w:left="794" w:firstLine="0"/>
        <w:jc w:val="left"/>
        <w:rPr>
          <w:rFonts w:asciiTheme="minorHAnsi" w:hAnsiTheme="minorHAnsi"/>
          <w:i/>
          <w:iCs/>
        </w:rPr>
      </w:pPr>
      <w:r w:rsidRPr="00726B6A">
        <w:rPr>
          <w:rFonts w:asciiTheme="minorHAnsi" w:hAnsiTheme="minorHAnsi"/>
          <w:i/>
          <w:iCs/>
        </w:rPr>
        <w:t xml:space="preserve">NOTE – To amend the text, turn on track changes, make modifications (deleted text should then appear as </w:t>
      </w:r>
      <w:r w:rsidRPr="00726B6A">
        <w:rPr>
          <w:rFonts w:asciiTheme="minorHAnsi" w:hAnsiTheme="minorHAnsi"/>
          <w:i/>
          <w:iCs/>
          <w:strike/>
        </w:rPr>
        <w:t>strikethrough</w:t>
      </w:r>
      <w:r w:rsidRPr="00726B6A">
        <w:rPr>
          <w:rFonts w:asciiTheme="minorHAnsi" w:hAnsiTheme="minorHAnsi"/>
          <w:i/>
          <w:iCs/>
        </w:rPr>
        <w:t xml:space="preserve"> and added texts should then appear as </w:t>
      </w:r>
      <w:r w:rsidRPr="00726B6A">
        <w:rPr>
          <w:rFonts w:asciiTheme="minorHAnsi" w:hAnsiTheme="minorHAnsi"/>
          <w:i/>
          <w:iCs/>
          <w:u w:val="single"/>
        </w:rPr>
        <w:t>underlined</w:t>
      </w:r>
      <w:r w:rsidRPr="00726B6A">
        <w:rPr>
          <w:rFonts w:asciiTheme="minorHAnsi" w:hAnsiTheme="minorHAnsi"/>
          <w:i/>
          <w:iCs/>
        </w:rPr>
        <w:t>).</w:t>
      </w:r>
    </w:p>
    <w:p w:rsidR="00B90A5F" w:rsidRPr="007E038D" w:rsidRDefault="00B90A5F" w:rsidP="00B90A5F">
      <w:pPr>
        <w:pStyle w:val="headingb0"/>
        <w:rPr>
          <w:rFonts w:asciiTheme="minorHAnsi" w:hAnsiTheme="minorHAnsi"/>
        </w:rPr>
      </w:pPr>
      <w:r w:rsidRPr="00726B6A">
        <w:rPr>
          <w:rFonts w:asciiTheme="minorHAnsi" w:hAnsiTheme="minorHAnsi"/>
        </w:rPr>
        <w:t>(MOD)</w:t>
      </w:r>
      <w:r w:rsidRPr="00726B6A">
        <w:rPr>
          <w:rFonts w:asciiTheme="minorHAnsi" w:hAnsiTheme="minorHAnsi"/>
        </w:rPr>
        <w:tab/>
        <w:t>Proposal to amend RR text, from an editorial point of view</w:t>
      </w:r>
    </w:p>
    <w:p w:rsidR="00B90A5F" w:rsidRPr="00726B6A" w:rsidRDefault="00B90A5F" w:rsidP="00B90A5F">
      <w:pPr>
        <w:ind w:left="794" w:hanging="794"/>
        <w:jc w:val="left"/>
        <w:rPr>
          <w:rFonts w:asciiTheme="minorHAnsi" w:hAnsiTheme="minorHAnsi"/>
          <w:i/>
          <w:iCs/>
        </w:rPr>
      </w:pPr>
      <w:r w:rsidRPr="00726B6A">
        <w:rPr>
          <w:lang w:val="en-GB"/>
        </w:rPr>
        <w:tab/>
      </w:r>
      <w:r w:rsidRPr="00E764BF">
        <w:rPr>
          <w:rFonts w:asciiTheme="minorHAnsi" w:hAnsiTheme="minorHAnsi"/>
          <w:i/>
          <w:iCs/>
        </w:rPr>
        <w:t xml:space="preserve">NOTE – </w:t>
      </w:r>
      <w:r w:rsidRPr="00361203">
        <w:rPr>
          <w:rFonts w:asciiTheme="minorHAnsi" w:hAnsiTheme="minorHAnsi"/>
          <w:i/>
          <w:iCs/>
        </w:rPr>
        <w:t xml:space="preserve">To amend the text, turn on track changes, make modifications (deleted text should then appear as </w:t>
      </w:r>
      <w:r w:rsidRPr="00361203">
        <w:rPr>
          <w:rFonts w:asciiTheme="minorHAnsi" w:hAnsiTheme="minorHAnsi"/>
          <w:i/>
          <w:iCs/>
          <w:strike/>
        </w:rPr>
        <w:t>strikethrough</w:t>
      </w:r>
      <w:r w:rsidRPr="00361203">
        <w:rPr>
          <w:rFonts w:asciiTheme="minorHAnsi" w:hAnsiTheme="minorHAnsi"/>
          <w:i/>
          <w:iCs/>
        </w:rPr>
        <w:t xml:space="preserve"> and added texts should then appear as </w:t>
      </w:r>
      <w:r w:rsidRPr="00361203">
        <w:rPr>
          <w:rFonts w:asciiTheme="minorHAnsi" w:hAnsiTheme="minorHAnsi"/>
          <w:i/>
          <w:iCs/>
          <w:u w:val="single"/>
        </w:rPr>
        <w:t>underlined</w:t>
      </w:r>
      <w:r w:rsidRPr="00361203">
        <w:rPr>
          <w:rFonts w:asciiTheme="minorHAnsi" w:hAnsiTheme="minorHAnsi"/>
          <w:i/>
          <w:iCs/>
        </w:rPr>
        <w:t>).</w:t>
      </w:r>
    </w:p>
    <w:p w:rsidR="00B90A5F" w:rsidRPr="00726B6A" w:rsidRDefault="00B90A5F" w:rsidP="00B90A5F">
      <w:pPr>
        <w:pStyle w:val="headingb0"/>
        <w:rPr>
          <w:rFonts w:asciiTheme="minorHAnsi" w:hAnsiTheme="minorHAnsi"/>
        </w:rPr>
      </w:pPr>
      <w:r w:rsidRPr="00726B6A">
        <w:rPr>
          <w:rFonts w:asciiTheme="minorHAnsi" w:hAnsiTheme="minorHAnsi"/>
        </w:rPr>
        <w:t>SUP</w:t>
      </w:r>
      <w:r w:rsidRPr="00726B6A">
        <w:rPr>
          <w:rFonts w:asciiTheme="minorHAnsi" w:hAnsiTheme="minorHAnsi"/>
        </w:rPr>
        <w:tab/>
        <w:t>Proposal to delete RR text / RR provision(s), Resolution(s) or Recommendation(s)</w:t>
      </w:r>
    </w:p>
    <w:p w:rsidR="00B90A5F" w:rsidRPr="00726B6A" w:rsidRDefault="00B90A5F" w:rsidP="00B90A5F">
      <w:pPr>
        <w:pStyle w:val="enumlev2"/>
        <w:ind w:left="794" w:firstLine="0"/>
        <w:jc w:val="left"/>
        <w:rPr>
          <w:rFonts w:asciiTheme="minorHAnsi" w:hAnsiTheme="minorHAnsi"/>
          <w:i/>
          <w:iCs/>
        </w:rPr>
      </w:pPr>
      <w:r w:rsidRPr="00726B6A">
        <w:rPr>
          <w:rFonts w:asciiTheme="minorHAnsi" w:hAnsiTheme="minorHAnsi"/>
          <w:i/>
          <w:iCs/>
        </w:rPr>
        <w:t>NOTE 1 – It is not necessary to reproduce texts carrying the symbol SUP.</w:t>
      </w:r>
    </w:p>
    <w:p w:rsidR="00B90A5F" w:rsidRPr="00726B6A" w:rsidRDefault="00B90A5F" w:rsidP="00B90A5F">
      <w:pPr>
        <w:pStyle w:val="enumlev2"/>
        <w:ind w:left="794" w:firstLine="0"/>
        <w:jc w:val="left"/>
        <w:rPr>
          <w:rFonts w:asciiTheme="minorHAnsi" w:hAnsiTheme="minorHAnsi"/>
          <w:i/>
          <w:iCs/>
        </w:rPr>
      </w:pPr>
      <w:r w:rsidRPr="00726B6A">
        <w:rPr>
          <w:rFonts w:asciiTheme="minorHAnsi" w:hAnsiTheme="minorHAnsi"/>
          <w:i/>
          <w:iCs/>
        </w:rPr>
        <w:t>NOTE 2 – Where text is to be deleted from within a paragraph or sub-paragraph, the symbol MOD should be used (see instructions for MOD above).</w:t>
      </w:r>
    </w:p>
    <w:p w:rsidR="00B90A5F" w:rsidRPr="00726B6A" w:rsidRDefault="00B90A5F" w:rsidP="00B90A5F">
      <w:pPr>
        <w:pStyle w:val="headingb0"/>
        <w:rPr>
          <w:rFonts w:asciiTheme="minorHAnsi" w:hAnsiTheme="minorHAnsi"/>
        </w:rPr>
      </w:pPr>
      <w:r w:rsidRPr="00726B6A">
        <w:rPr>
          <w:rFonts w:asciiTheme="minorHAnsi" w:hAnsiTheme="minorHAnsi"/>
        </w:rPr>
        <w:t>SUP*</w:t>
      </w:r>
      <w:r w:rsidRPr="00726B6A">
        <w:rPr>
          <w:rFonts w:asciiTheme="minorHAnsi" w:hAnsiTheme="minorHAnsi"/>
        </w:rPr>
        <w:tab/>
        <w:t>Proposal to transfer text elsewhere in the Radio Regulations</w:t>
      </w:r>
    </w:p>
    <w:p w:rsidR="00B90A5F" w:rsidRPr="00726B6A" w:rsidRDefault="00B90A5F" w:rsidP="00B90A5F">
      <w:pPr>
        <w:pStyle w:val="enumlev2"/>
        <w:jc w:val="left"/>
        <w:rPr>
          <w:rFonts w:asciiTheme="minorHAnsi" w:hAnsiTheme="minorHAnsi"/>
          <w:i/>
          <w:iCs/>
        </w:rPr>
      </w:pPr>
      <w:r w:rsidRPr="00726B6A">
        <w:rPr>
          <w:rFonts w:asciiTheme="minorHAnsi" w:hAnsiTheme="minorHAnsi"/>
          <w:i/>
          <w:iCs/>
        </w:rPr>
        <w:t>NOTE – It is not necessary to reproduce texts carrying the symbol SUP*.</w:t>
      </w:r>
    </w:p>
    <w:p w:rsidR="00B90A5F" w:rsidRPr="00726B6A" w:rsidRDefault="00B90A5F" w:rsidP="00B90A5F">
      <w:pPr>
        <w:pStyle w:val="headingb0"/>
        <w:rPr>
          <w:rFonts w:asciiTheme="minorHAnsi" w:hAnsiTheme="minorHAnsi"/>
        </w:rPr>
      </w:pPr>
      <w:r w:rsidRPr="00726B6A">
        <w:rPr>
          <w:rFonts w:asciiTheme="minorHAnsi" w:hAnsiTheme="minorHAnsi"/>
        </w:rPr>
        <w:t>NOC</w:t>
      </w:r>
      <w:r w:rsidRPr="00726B6A">
        <w:rPr>
          <w:rFonts w:asciiTheme="minorHAnsi" w:hAnsiTheme="minorHAnsi"/>
        </w:rPr>
        <w:tab/>
        <w:t xml:space="preserve">RR text for which no change is </w:t>
      </w:r>
      <w:r>
        <w:rPr>
          <w:rFonts w:asciiTheme="minorHAnsi" w:hAnsiTheme="minorHAnsi"/>
        </w:rPr>
        <w:t>indicat</w:t>
      </w:r>
      <w:r w:rsidRPr="00726B6A">
        <w:rPr>
          <w:rFonts w:asciiTheme="minorHAnsi" w:hAnsiTheme="minorHAnsi"/>
        </w:rPr>
        <w:t>ed</w:t>
      </w:r>
    </w:p>
    <w:p w:rsidR="00B90A5F" w:rsidRDefault="00B90A5F" w:rsidP="00B90A5F">
      <w:pPr>
        <w:pStyle w:val="enumlev2"/>
        <w:ind w:left="794" w:firstLine="0"/>
        <w:jc w:val="left"/>
        <w:rPr>
          <w:rFonts w:asciiTheme="minorHAnsi" w:hAnsiTheme="minorHAnsi"/>
          <w:i/>
          <w:iCs/>
        </w:rPr>
      </w:pPr>
      <w:r w:rsidRPr="00726B6A">
        <w:rPr>
          <w:rFonts w:asciiTheme="minorHAnsi" w:hAnsiTheme="minorHAnsi"/>
          <w:i/>
          <w:iCs/>
        </w:rPr>
        <w:t xml:space="preserve">NOTE – This symbol may be used </w:t>
      </w:r>
      <w:r w:rsidRPr="00726B6A">
        <w:rPr>
          <w:rFonts w:asciiTheme="minorHAnsi" w:hAnsiTheme="minorHAnsi"/>
          <w:i/>
          <w:iCs/>
          <w:u w:val="single"/>
        </w:rPr>
        <w:t>to clarify</w:t>
      </w:r>
      <w:r w:rsidRPr="00726B6A">
        <w:rPr>
          <w:rFonts w:asciiTheme="minorHAnsi" w:hAnsiTheme="minorHAnsi"/>
          <w:i/>
          <w:iCs/>
        </w:rPr>
        <w:t xml:space="preserve"> that no proposals are made with respect to texts carrying this symbol. It is not necessary to reproduce texts carrying this symbol.</w:t>
      </w:r>
    </w:p>
    <w:p w:rsidR="00B90A5F" w:rsidRPr="00726B6A" w:rsidRDefault="00B90A5F" w:rsidP="00B90A5F">
      <w:pPr>
        <w:pStyle w:val="enumlev2"/>
        <w:ind w:left="794" w:firstLine="0"/>
        <w:jc w:val="left"/>
        <w:rPr>
          <w:rFonts w:asciiTheme="minorHAnsi" w:hAnsiTheme="minorHAnsi"/>
          <w:i/>
          <w:iCs/>
        </w:rPr>
      </w:pPr>
    </w:p>
    <w:p w:rsidR="00B90A5F" w:rsidRPr="00726B6A" w:rsidRDefault="00B90A5F" w:rsidP="00B90A5F">
      <w:pPr>
        <w:pStyle w:val="headingb0"/>
        <w:rPr>
          <w:rFonts w:asciiTheme="minorHAnsi" w:hAnsiTheme="minorHAnsi"/>
        </w:rPr>
      </w:pPr>
      <w:r w:rsidRPr="00726B6A">
        <w:rPr>
          <w:rFonts w:asciiTheme="minorHAnsi" w:hAnsiTheme="minorHAnsi"/>
          <w:u w:val="single"/>
        </w:rPr>
        <w:t>NOC</w:t>
      </w:r>
      <w:r w:rsidRPr="00726B6A">
        <w:rPr>
          <w:rFonts w:asciiTheme="minorHAnsi" w:hAnsiTheme="minorHAnsi"/>
        </w:rPr>
        <w:tab/>
        <w:t xml:space="preserve">Proposal for RR text to be </w:t>
      </w:r>
      <w:r w:rsidRPr="00726B6A">
        <w:rPr>
          <w:rFonts w:asciiTheme="minorHAnsi" w:hAnsiTheme="minorHAnsi"/>
          <w:u w:val="single"/>
        </w:rPr>
        <w:t>maintained without change</w:t>
      </w:r>
    </w:p>
    <w:p w:rsidR="00B90A5F" w:rsidRDefault="00B90A5F" w:rsidP="00B90A5F">
      <w:pPr>
        <w:pStyle w:val="enumlev2"/>
        <w:ind w:left="794" w:firstLine="0"/>
        <w:jc w:val="left"/>
        <w:rPr>
          <w:rFonts w:asciiTheme="minorHAnsi" w:hAnsiTheme="minorHAnsi"/>
          <w:i/>
          <w:iCs/>
        </w:rPr>
      </w:pPr>
      <w:r w:rsidRPr="00726B6A">
        <w:rPr>
          <w:rFonts w:asciiTheme="minorHAnsi" w:hAnsiTheme="minorHAnsi"/>
          <w:i/>
          <w:iCs/>
        </w:rPr>
        <w:t xml:space="preserve">NOTE – This symbol may be used </w:t>
      </w:r>
      <w:r w:rsidRPr="00726B6A">
        <w:rPr>
          <w:rFonts w:asciiTheme="minorHAnsi" w:hAnsiTheme="minorHAnsi"/>
          <w:i/>
          <w:iCs/>
          <w:u w:val="single"/>
        </w:rPr>
        <w:t>together with a proposal number</w:t>
      </w:r>
      <w:r w:rsidRPr="004843EB">
        <w:rPr>
          <w:rFonts w:asciiTheme="minorHAnsi" w:hAnsiTheme="minorHAnsi"/>
          <w:i/>
          <w:iCs/>
          <w:u w:val="single"/>
        </w:rPr>
        <w:t xml:space="preserve"> </w:t>
      </w:r>
      <w:r w:rsidRPr="00726B6A">
        <w:rPr>
          <w:rFonts w:asciiTheme="minorHAnsi" w:hAnsiTheme="minorHAnsi"/>
          <w:i/>
          <w:iCs/>
          <w:u w:val="single"/>
        </w:rPr>
        <w:t>to emphasize</w:t>
      </w:r>
      <w:r w:rsidRPr="00726B6A">
        <w:rPr>
          <w:rFonts w:asciiTheme="minorHAnsi" w:hAnsiTheme="minorHAnsi"/>
          <w:i/>
          <w:iCs/>
        </w:rPr>
        <w:t xml:space="preserve"> that a particular provision or provisions of an article should remain unchanged, e.g. Article XX may be shown as NOC but provisions AA and BB of Article XX may be shown as </w:t>
      </w:r>
      <w:r w:rsidRPr="00726B6A">
        <w:rPr>
          <w:rFonts w:asciiTheme="minorHAnsi" w:hAnsiTheme="minorHAnsi"/>
          <w:i/>
          <w:iCs/>
          <w:u w:val="single"/>
        </w:rPr>
        <w:t>NOC</w:t>
      </w:r>
      <w:r w:rsidRPr="00726B6A">
        <w:rPr>
          <w:rFonts w:asciiTheme="minorHAnsi" w:hAnsiTheme="minorHAnsi"/>
          <w:i/>
          <w:iCs/>
        </w:rPr>
        <w:t xml:space="preserve">. The reasons as to why these provisions </w:t>
      </w:r>
      <w:r w:rsidRPr="00726B6A">
        <w:rPr>
          <w:rFonts w:asciiTheme="minorHAnsi" w:hAnsiTheme="minorHAnsi"/>
          <w:i/>
          <w:iCs/>
          <w:u w:val="single"/>
        </w:rPr>
        <w:t>need to be maintained without change</w:t>
      </w:r>
      <w:r w:rsidRPr="00726B6A">
        <w:rPr>
          <w:rFonts w:asciiTheme="minorHAnsi" w:hAnsiTheme="minorHAnsi"/>
          <w:i/>
          <w:iCs/>
        </w:rPr>
        <w:t xml:space="preserve"> should be given.</w:t>
      </w:r>
    </w:p>
    <w:p w:rsidR="00B90A5F" w:rsidRPr="00726B6A" w:rsidRDefault="00B90A5F" w:rsidP="00B90A5F">
      <w:pPr>
        <w:pStyle w:val="enumlev2"/>
        <w:ind w:left="794" w:firstLine="0"/>
        <w:jc w:val="left"/>
        <w:rPr>
          <w:rFonts w:asciiTheme="minorHAnsi" w:hAnsiTheme="minorHAnsi"/>
          <w:i/>
          <w:iCs/>
        </w:rPr>
      </w:pPr>
    </w:p>
    <w:p w:rsidR="00B90A5F" w:rsidRPr="00474D21" w:rsidRDefault="00B90A5F" w:rsidP="00B90A5F">
      <w:pPr>
        <w:jc w:val="left"/>
      </w:pPr>
      <w:r w:rsidRPr="0071553A">
        <w:rPr>
          <w:b/>
        </w:rPr>
        <w:t>2.3</w:t>
      </w:r>
      <w:r>
        <w:tab/>
      </w:r>
      <w:r w:rsidRPr="00F61BA1">
        <w:rPr>
          <w:b/>
          <w:bCs/>
        </w:rPr>
        <w:t>Standards of presentation</w:t>
      </w:r>
    </w:p>
    <w:p w:rsidR="00B90A5F" w:rsidRPr="00474D21" w:rsidRDefault="00B90A5F" w:rsidP="00B90A5F">
      <w:pPr>
        <w:jc w:val="left"/>
      </w:pPr>
      <w:r w:rsidRPr="00474D21">
        <w:rPr>
          <w:b/>
        </w:rPr>
        <w:t>2.3.1</w:t>
      </w:r>
      <w:r w:rsidRPr="00474D21">
        <w:tab/>
        <w:t>Texts should be clearly typed in single spacing.</w:t>
      </w:r>
    </w:p>
    <w:p w:rsidR="00B90A5F" w:rsidRDefault="00B90A5F" w:rsidP="00B90A5F">
      <w:pPr>
        <w:jc w:val="left"/>
      </w:pPr>
      <w:r w:rsidRPr="00474D21">
        <w:rPr>
          <w:b/>
          <w:bCs/>
        </w:rPr>
        <w:t>2.3.2</w:t>
      </w:r>
      <w:r w:rsidRPr="00474D21">
        <w:tab/>
        <w:t xml:space="preserve">The ITU standard </w:t>
      </w:r>
      <w:r>
        <w:t xml:space="preserve">document </w:t>
      </w:r>
      <w:r w:rsidRPr="00474D21">
        <w:t xml:space="preserve">format is MS </w:t>
      </w:r>
      <w:r>
        <w:t xml:space="preserve">Office Word 2013 </w:t>
      </w:r>
      <w:r w:rsidRPr="00474D21">
        <w:t xml:space="preserve">for Windows. Templates will be available for downloading from the </w:t>
      </w:r>
      <w:r w:rsidRPr="00726B6A">
        <w:t>WRC-15 website</w:t>
      </w:r>
      <w:r w:rsidRPr="00474D21">
        <w:t>.</w:t>
      </w:r>
    </w:p>
    <w:p w:rsidR="00B90A5F" w:rsidRPr="00474D21" w:rsidRDefault="00B90A5F" w:rsidP="00B90A5F">
      <w:pPr>
        <w:jc w:val="left"/>
      </w:pPr>
      <w:r w:rsidRPr="00474D21">
        <w:rPr>
          <w:b/>
        </w:rPr>
        <w:t>2.3.3</w:t>
      </w:r>
      <w:r w:rsidRPr="00474D21">
        <w:tab/>
        <w:t>Proposals for draft new</w:t>
      </w:r>
      <w:r>
        <w:t xml:space="preserve"> WRC</w:t>
      </w:r>
      <w:r w:rsidRPr="00474D21">
        <w:t xml:space="preserve"> resolutions and recommendations should be annotated </w:t>
      </w:r>
      <w:r>
        <w:t>“</w:t>
      </w:r>
      <w:r w:rsidRPr="00474D21">
        <w:t>ADD</w:t>
      </w:r>
      <w:r>
        <w:t>”</w:t>
      </w:r>
      <w:r w:rsidRPr="00474D21">
        <w:t xml:space="preserve">. In cases where </w:t>
      </w:r>
      <w:r>
        <w:t xml:space="preserve">WRC </w:t>
      </w:r>
      <w:r w:rsidRPr="00474D21">
        <w:t xml:space="preserve">resolutions or recommendations cancel and replace existing ones, a mention of this </w:t>
      </w:r>
      <w:r>
        <w:t>c</w:t>
      </w:r>
      <w:r w:rsidRPr="00474D21">
        <w:t>ould be included in a footnote to the proposal.</w:t>
      </w:r>
      <w:r>
        <w:t xml:space="preserve"> </w:t>
      </w:r>
      <w:r w:rsidRPr="007E038D">
        <w:t>Proposals should also be provided and annotated “SUP” for the cancelled WRC resolutions or recommendations.”</w:t>
      </w:r>
    </w:p>
    <w:p w:rsidR="00B90A5F" w:rsidRPr="0015033C" w:rsidRDefault="00B90A5F" w:rsidP="00B90A5F">
      <w:pPr>
        <w:pStyle w:val="Heading1"/>
        <w:jc w:val="left"/>
      </w:pPr>
      <w:r w:rsidRPr="0015033C">
        <w:t>3</w:t>
      </w:r>
      <w:r w:rsidRPr="0015033C">
        <w:tab/>
        <w:t>Submission of proposals</w:t>
      </w:r>
    </w:p>
    <w:p w:rsidR="00B90A5F" w:rsidRPr="00726B6A" w:rsidRDefault="00B90A5F" w:rsidP="00B90A5F">
      <w:pPr>
        <w:tabs>
          <w:tab w:val="clear" w:pos="794"/>
          <w:tab w:val="clear" w:pos="1191"/>
          <w:tab w:val="clear" w:pos="1588"/>
          <w:tab w:val="clear" w:pos="1985"/>
        </w:tabs>
        <w:jc w:val="left"/>
        <w:rPr>
          <w:lang w:val="en-GB"/>
        </w:rPr>
      </w:pPr>
      <w:r w:rsidRPr="00474D21">
        <w:t>Proposals should be submitted</w:t>
      </w:r>
      <w:r>
        <w:t xml:space="preserve"> by email to the WRC</w:t>
      </w:r>
      <w:r w:rsidRPr="00474D21">
        <w:t xml:space="preserve"> Secretariat</w:t>
      </w:r>
      <w:r>
        <w:t xml:space="preserve"> at </w:t>
      </w:r>
      <w:hyperlink r:id="rId17" w:history="1">
        <w:r w:rsidRPr="00867667">
          <w:rPr>
            <w:rStyle w:val="Hyperlink"/>
          </w:rPr>
          <w:t>wrc15@itu.int</w:t>
        </w:r>
      </w:hyperlink>
      <w:r w:rsidRPr="007E038D">
        <w:t xml:space="preserve"> by accredited staff</w:t>
      </w:r>
      <w:r>
        <w:t xml:space="preserve"> or Designated Focal Point </w:t>
      </w:r>
      <w:r w:rsidRPr="007E038D">
        <w:t xml:space="preserve">of </w:t>
      </w:r>
      <w:r>
        <w:t xml:space="preserve">the submitting </w:t>
      </w:r>
      <w:r w:rsidRPr="007E038D">
        <w:t>Administration.</w:t>
      </w:r>
    </w:p>
    <w:p w:rsidR="00B90A5F" w:rsidRPr="00474D21" w:rsidRDefault="00B90A5F" w:rsidP="00B90A5F">
      <w:pPr>
        <w:pStyle w:val="Heading1"/>
        <w:jc w:val="left"/>
      </w:pPr>
      <w:r>
        <w:t>4</w:t>
      </w:r>
      <w:r w:rsidRPr="00474D21">
        <w:tab/>
        <w:t>Pr</w:t>
      </w:r>
      <w:r>
        <w:t xml:space="preserve">ocessing </w:t>
      </w:r>
      <w:r w:rsidRPr="00474D21">
        <w:t>of texts</w:t>
      </w:r>
      <w:r>
        <w:t xml:space="preserve"> in the WRC Secretariat</w:t>
      </w:r>
      <w:r w:rsidRPr="00474D21">
        <w:t xml:space="preserve"> </w:t>
      </w:r>
    </w:p>
    <w:p w:rsidR="00B90A5F" w:rsidRPr="00474D21" w:rsidRDefault="00B90A5F" w:rsidP="00B90A5F">
      <w:pPr>
        <w:jc w:val="left"/>
      </w:pPr>
      <w:r>
        <w:t xml:space="preserve">In accordance with the provisions of </w:t>
      </w:r>
      <w:hyperlink r:id="rId18" w:anchor="8" w:history="1">
        <w:r w:rsidRPr="00A13D75">
          <w:rPr>
            <w:rStyle w:val="Hyperlink"/>
          </w:rPr>
          <w:t>No. 42</w:t>
        </w:r>
      </w:hyperlink>
      <w:r>
        <w:t xml:space="preserve"> of the General Rules of Conferences, Assemblies and Meetings of the Union, t</w:t>
      </w:r>
      <w:r w:rsidRPr="00474D21">
        <w:t>he Secretariat will annotate the individual proposals with index numbers composed as follows:</w:t>
      </w:r>
    </w:p>
    <w:p w:rsidR="00B90A5F" w:rsidRPr="00474D21" w:rsidRDefault="00B90A5F" w:rsidP="00B90A5F">
      <w:pPr>
        <w:jc w:val="center"/>
      </w:pPr>
      <w:r w:rsidRPr="00474D21">
        <w:t>ABC/25/3</w:t>
      </w:r>
    </w:p>
    <w:p w:rsidR="00B90A5F" w:rsidRPr="00474D21" w:rsidRDefault="00B90A5F" w:rsidP="00B90A5F">
      <w:pPr>
        <w:jc w:val="left"/>
      </w:pPr>
      <w:proofErr w:type="gramStart"/>
      <w:r w:rsidRPr="00474D21">
        <w:t>where</w:t>
      </w:r>
      <w:proofErr w:type="gramEnd"/>
      <w:r w:rsidRPr="00474D21">
        <w:t xml:space="preserve"> ABC is the symbol of the </w:t>
      </w:r>
      <w:r>
        <w:t>Member State(s)</w:t>
      </w:r>
      <w:r w:rsidRPr="00474D21">
        <w:t>, author</w:t>
      </w:r>
      <w:r>
        <w:t>(s)</w:t>
      </w:r>
      <w:r w:rsidRPr="00474D21">
        <w:t xml:space="preserve"> of the proposal</w:t>
      </w:r>
      <w:r>
        <w:t>(s)</w:t>
      </w:r>
      <w:r w:rsidRPr="00474D21">
        <w:t xml:space="preserve"> </w:t>
      </w:r>
      <w:r>
        <w:t xml:space="preserve">(according to the </w:t>
      </w:r>
      <w:hyperlink r:id="rId19" w:history="1">
        <w:r w:rsidRPr="00244F4B">
          <w:rPr>
            <w:rStyle w:val="Hyperlink"/>
          </w:rPr>
          <w:t>Preface to the International Frequency List</w:t>
        </w:r>
      </w:hyperlink>
      <w:r w:rsidRPr="00474D21">
        <w:t xml:space="preserve">), 25 is the number </w:t>
      </w:r>
      <w:r>
        <w:t xml:space="preserve">assigned by the Secretariat to </w:t>
      </w:r>
      <w:r w:rsidRPr="00474D21">
        <w:t>the document in which the proposal is published and 3 is the serial number of the proposal within that document.</w:t>
      </w:r>
    </w:p>
    <w:p w:rsidR="00B90A5F" w:rsidRPr="00474D21" w:rsidRDefault="00B90A5F" w:rsidP="00B90A5F">
      <w:pPr>
        <w:pStyle w:val="Heading1"/>
        <w:jc w:val="left"/>
      </w:pPr>
      <w:r>
        <w:t>5</w:t>
      </w:r>
      <w:r w:rsidRPr="00474D21">
        <w:tab/>
        <w:t>Conclusion</w:t>
      </w:r>
    </w:p>
    <w:p w:rsidR="00B90A5F" w:rsidRDefault="00B90A5F" w:rsidP="00B90A5F">
      <w:pPr>
        <w:jc w:val="left"/>
      </w:pPr>
      <w:r w:rsidRPr="00474D21">
        <w:t xml:space="preserve">The main purpose of these guidelines is </w:t>
      </w:r>
      <w:r w:rsidRPr="001B398A">
        <w:t>to facilitate the preparation as well as</w:t>
      </w:r>
      <w:r>
        <w:t xml:space="preserve"> </w:t>
      </w:r>
      <w:r w:rsidRPr="00474D21">
        <w:t xml:space="preserve">to enable and enhance the timely processing of proposals submitted </w:t>
      </w:r>
      <w:r>
        <w:t>to WRC-15</w:t>
      </w:r>
      <w:r w:rsidRPr="00474D21">
        <w:t xml:space="preserve">, </w:t>
      </w:r>
      <w:r>
        <w:t xml:space="preserve">and, </w:t>
      </w:r>
      <w:r w:rsidRPr="00474D21">
        <w:t xml:space="preserve">thus, facilitate the work of </w:t>
      </w:r>
      <w:r>
        <w:t>WRC-15</w:t>
      </w:r>
      <w:r w:rsidRPr="00474D21">
        <w:t xml:space="preserve">. These guidelines, if followed, will allow the Secretariat at ITU Headquarters to carry out its work in a more efficient and effective manner and </w:t>
      </w:r>
      <w:r>
        <w:t xml:space="preserve">to </w:t>
      </w:r>
      <w:r w:rsidRPr="00474D21">
        <w:t xml:space="preserve">avoid any additional cost with respect to the budget of </w:t>
      </w:r>
      <w:r>
        <w:t>the conference.</w:t>
      </w:r>
    </w:p>
    <w:p w:rsidR="002D2B9F" w:rsidRDefault="002D2B9F" w:rsidP="00B90A5F">
      <w:pPr>
        <w:jc w:val="left"/>
      </w:pPr>
    </w:p>
    <w:p w:rsidR="002D2B9F" w:rsidRDefault="002D2B9F" w:rsidP="0032202E">
      <w:pPr>
        <w:pStyle w:val="Reasons"/>
      </w:pPr>
    </w:p>
    <w:p w:rsidR="002D2B9F" w:rsidRDefault="002D2B9F">
      <w:pPr>
        <w:jc w:val="center"/>
      </w:pPr>
      <w:r>
        <w:t>______________</w:t>
      </w:r>
    </w:p>
    <w:p w:rsidR="002D2B9F" w:rsidRDefault="002D2B9F" w:rsidP="00B90A5F">
      <w:pPr>
        <w:jc w:val="left"/>
        <w:rPr>
          <w:rFonts w:asciiTheme="minorHAnsi" w:hAnsiTheme="minorHAnsi"/>
          <w:b/>
          <w:bCs/>
          <w:szCs w:val="24"/>
        </w:rPr>
      </w:pPr>
    </w:p>
    <w:sectPr w:rsidR="002D2B9F" w:rsidSect="00BE5EF4">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5F" w:rsidRDefault="00B90A5F">
      <w:r>
        <w:separator/>
      </w:r>
    </w:p>
  </w:endnote>
  <w:endnote w:type="continuationSeparator" w:id="0">
    <w:p w:rsidR="00B90A5F" w:rsidRDefault="00B9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A" w:rsidRDefault="00CF1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A" w:rsidRDefault="00CF1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5F" w:rsidRDefault="00B90A5F">
      <w:r>
        <w:t>____________________</w:t>
      </w:r>
    </w:p>
  </w:footnote>
  <w:footnote w:type="continuationSeparator" w:id="0">
    <w:p w:rsidR="00B90A5F" w:rsidRDefault="00B9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6B" w:rsidRPr="00FC6F6B" w:rsidRDefault="00E915AF" w:rsidP="00436CD1">
    <w:pPr>
      <w:pStyle w:val="Header"/>
      <w:rPr>
        <w:sz w:val="18"/>
        <w:szCs w:val="16"/>
      </w:rPr>
    </w:pPr>
    <w:r w:rsidRPr="00FC6F6B">
      <w:rPr>
        <w:sz w:val="18"/>
        <w:szCs w:val="16"/>
      </w:rPr>
      <w:tab/>
    </w:r>
    <w:r w:rsidRPr="00FC6F6B">
      <w:rPr>
        <w:sz w:val="18"/>
        <w:szCs w:val="16"/>
      </w:rPr>
      <w:tab/>
    </w:r>
    <w:r w:rsidR="002D2B9F">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BE5EF4">
      <w:rPr>
        <w:rStyle w:val="PageNumber"/>
        <w:noProof/>
        <w:sz w:val="18"/>
        <w:szCs w:val="16"/>
      </w:rPr>
      <w:t>2</w:t>
    </w:r>
    <w:r w:rsidRPr="00FC6F6B">
      <w:rPr>
        <w:rStyle w:val="PageNumber"/>
        <w:sz w:val="18"/>
        <w:szCs w:val="16"/>
      </w:rPr>
      <w:fldChar w:fldCharType="end"/>
    </w:r>
    <w:r w:rsidR="002D2B9F">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48" w:rsidRPr="00FC6F6B" w:rsidRDefault="004F2448" w:rsidP="004F2448">
    <w:pPr>
      <w:pStyle w:val="Header"/>
      <w:rPr>
        <w:sz w:val="18"/>
        <w:szCs w:val="16"/>
      </w:rPr>
    </w:pPr>
    <w:r w:rsidRPr="00FC6F6B">
      <w:rPr>
        <w:sz w:val="18"/>
        <w:szCs w:val="16"/>
      </w:rPr>
      <w:tab/>
    </w:r>
    <w:r w:rsidRPr="00FC6F6B">
      <w:rPr>
        <w:sz w:val="18"/>
        <w:szCs w:val="16"/>
      </w:rPr>
      <w:tab/>
    </w:r>
    <w:r w:rsidR="00BE5E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F1D3A">
      <w:rPr>
        <w:rStyle w:val="PageNumber"/>
        <w:noProof/>
        <w:sz w:val="18"/>
        <w:szCs w:val="16"/>
      </w:rPr>
      <w:t>2</w:t>
    </w:r>
    <w:r w:rsidRPr="00FC6F6B">
      <w:rPr>
        <w:rStyle w:val="PageNumber"/>
        <w:sz w:val="18"/>
        <w:szCs w:val="16"/>
      </w:rPr>
      <w:fldChar w:fldCharType="end"/>
    </w:r>
    <w:r w:rsidR="00BE5EF4">
      <w:rPr>
        <w:rStyle w:val="PageNumber"/>
        <w:sz w:val="18"/>
        <w:szCs w:val="16"/>
      </w:rPr>
      <w:t xml:space="preserve"> -</w:t>
    </w:r>
  </w:p>
  <w:p w:rsidR="00E915AF" w:rsidRPr="004F2448" w:rsidRDefault="00E915AF" w:rsidP="00CF1D3A">
    <w:pPr>
      <w:pStyle w:val="Head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90A5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17F"/>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2B9F"/>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2448"/>
    <w:rsid w:val="004F4543"/>
    <w:rsid w:val="004F57BB"/>
    <w:rsid w:val="00505309"/>
    <w:rsid w:val="0050789B"/>
    <w:rsid w:val="005224A1"/>
    <w:rsid w:val="00534372"/>
    <w:rsid w:val="00543DF8"/>
    <w:rsid w:val="0054609C"/>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14B22"/>
    <w:rsid w:val="00715139"/>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3665"/>
    <w:rsid w:val="00B90743"/>
    <w:rsid w:val="00B90A5F"/>
    <w:rsid w:val="00B90C45"/>
    <w:rsid w:val="00B933BE"/>
    <w:rsid w:val="00BA072F"/>
    <w:rsid w:val="00BD6738"/>
    <w:rsid w:val="00BD7E5E"/>
    <w:rsid w:val="00BE5EF4"/>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F1D3A"/>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96C2C"/>
    <w:rsid w:val="00FA2358"/>
    <w:rsid w:val="00FB2592"/>
    <w:rsid w:val="00FB2810"/>
    <w:rsid w:val="00FB7A2C"/>
    <w:rsid w:val="00FC2947"/>
    <w:rsid w:val="00FC6F6B"/>
    <w:rsid w:val="00FD110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5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B90A5F"/>
    <w:rPr>
      <w:b/>
      <w:sz w:val="24"/>
      <w:szCs w:val="22"/>
      <w:lang w:val="en-US" w:eastAsia="en-US"/>
    </w:rPr>
  </w:style>
  <w:style w:type="character" w:customStyle="1" w:styleId="Heading2Char">
    <w:name w:val="Heading 2 Char"/>
    <w:link w:val="Heading2"/>
    <w:uiPriority w:val="99"/>
    <w:locked/>
    <w:rsid w:val="00B90A5F"/>
    <w:rPr>
      <w:b/>
      <w:sz w:val="24"/>
      <w:szCs w:val="22"/>
      <w:lang w:val="en-US" w:eastAsia="en-US"/>
    </w:rPr>
  </w:style>
  <w:style w:type="paragraph" w:customStyle="1" w:styleId="AnnexNotitle0">
    <w:name w:val="Annex_No &amp; title"/>
    <w:basedOn w:val="Normal"/>
    <w:next w:val="Normalaftertitle"/>
    <w:uiPriority w:val="99"/>
    <w:rsid w:val="00B90A5F"/>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B90A5F"/>
    <w:pPr>
      <w:widowControl w:val="0"/>
      <w:spacing w:before="320" w:line="240" w:lineRule="auto"/>
      <w:jc w:val="left"/>
    </w:pPr>
    <w:rPr>
      <w:rFonts w:ascii="Times New Roman" w:hAnsi="Times New Roman" w:cs="Times New Roman"/>
      <w:szCs w:val="20"/>
      <w:lang w:val="en-GB"/>
    </w:rPr>
  </w:style>
  <w:style w:type="paragraph" w:customStyle="1" w:styleId="headingb0">
    <w:name w:val="heading_b"/>
    <w:basedOn w:val="Heading3"/>
    <w:next w:val="Normal"/>
    <w:uiPriority w:val="99"/>
    <w:rsid w:val="00B90A5F"/>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msoins0">
    <w:name w:val="msoins"/>
    <w:uiPriority w:val="99"/>
    <w:rsid w:val="00B90A5F"/>
  </w:style>
  <w:style w:type="paragraph" w:customStyle="1" w:styleId="Default">
    <w:name w:val="Default"/>
    <w:rsid w:val="00B90A5F"/>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FD110B"/>
    <w:rPr>
      <w:color w:val="800080" w:themeColor="followedHyperlink"/>
      <w:u w:val="single"/>
    </w:rPr>
  </w:style>
  <w:style w:type="paragraph" w:customStyle="1" w:styleId="Reasons">
    <w:name w:val="Reasons"/>
    <w:basedOn w:val="Normal"/>
    <w:qFormat/>
    <w:rsid w:val="002D2B9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5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B90A5F"/>
    <w:rPr>
      <w:b/>
      <w:sz w:val="24"/>
      <w:szCs w:val="22"/>
      <w:lang w:val="en-US" w:eastAsia="en-US"/>
    </w:rPr>
  </w:style>
  <w:style w:type="character" w:customStyle="1" w:styleId="Heading2Char">
    <w:name w:val="Heading 2 Char"/>
    <w:link w:val="Heading2"/>
    <w:uiPriority w:val="99"/>
    <w:locked/>
    <w:rsid w:val="00B90A5F"/>
    <w:rPr>
      <w:b/>
      <w:sz w:val="24"/>
      <w:szCs w:val="22"/>
      <w:lang w:val="en-US" w:eastAsia="en-US"/>
    </w:rPr>
  </w:style>
  <w:style w:type="paragraph" w:customStyle="1" w:styleId="AnnexNotitle0">
    <w:name w:val="Annex_No &amp; title"/>
    <w:basedOn w:val="Normal"/>
    <w:next w:val="Normalaftertitle"/>
    <w:uiPriority w:val="99"/>
    <w:rsid w:val="00B90A5F"/>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B90A5F"/>
    <w:pPr>
      <w:widowControl w:val="0"/>
      <w:spacing w:before="320" w:line="240" w:lineRule="auto"/>
      <w:jc w:val="left"/>
    </w:pPr>
    <w:rPr>
      <w:rFonts w:ascii="Times New Roman" w:hAnsi="Times New Roman" w:cs="Times New Roman"/>
      <w:szCs w:val="20"/>
      <w:lang w:val="en-GB"/>
    </w:rPr>
  </w:style>
  <w:style w:type="paragraph" w:customStyle="1" w:styleId="headingb0">
    <w:name w:val="heading_b"/>
    <w:basedOn w:val="Heading3"/>
    <w:next w:val="Normal"/>
    <w:uiPriority w:val="99"/>
    <w:rsid w:val="00B90A5F"/>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msoins0">
    <w:name w:val="msoins"/>
    <w:uiPriority w:val="99"/>
    <w:rsid w:val="00B90A5F"/>
  </w:style>
  <w:style w:type="paragraph" w:customStyle="1" w:styleId="Default">
    <w:name w:val="Default"/>
    <w:rsid w:val="00B90A5F"/>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FD110B"/>
    <w:rPr>
      <w:color w:val="800080" w:themeColor="followedHyperlink"/>
      <w:u w:val="single"/>
    </w:rPr>
  </w:style>
  <w:style w:type="paragraph" w:customStyle="1" w:styleId="Reasons">
    <w:name w:val="Reasons"/>
    <w:basedOn w:val="Normal"/>
    <w:qFormat/>
    <w:rsid w:val="002D2B9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R/information/events" TargetMode="External"/><Relationship Id="rId18" Type="http://schemas.openxmlformats.org/officeDocument/2006/relationships/hyperlink" Target="http://www.itu.int/net/about/basic-texts/rul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TIES/" TargetMode="External"/><Relationship Id="rId17" Type="http://schemas.openxmlformats.org/officeDocument/2006/relationships/hyperlink" Target="mailto:wrc15@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en/ITU-R/conferences/wrc/20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R/conferences/wrc/2015/"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pub/R-REG-RR" TargetMode="External"/><Relationship Id="rId23" Type="http://schemas.openxmlformats.org/officeDocument/2006/relationships/footer" Target="footer2.xml"/><Relationship Id="rId10" Type="http://schemas.openxmlformats.org/officeDocument/2006/relationships/hyperlink" Target="http://www.itu.int/net/about/basic-texts/rules.aspx" TargetMode="External"/><Relationship Id="rId19" Type="http://schemas.openxmlformats.org/officeDocument/2006/relationships/hyperlink" Target="http://www.itu.int/ITU-R/terrestrial/docs/brific/files/preface/PREFACE_EN.PDF" TargetMode="External"/><Relationship Id="rId4" Type="http://schemas.microsoft.com/office/2007/relationships/stylesWithEffects" Target="stylesWithEffects.xml"/><Relationship Id="rId9" Type="http://schemas.openxmlformats.org/officeDocument/2006/relationships/hyperlink" Target="http://www.itu.int/net/about/basic-texts/rules.aspx" TargetMode="External"/><Relationship Id="rId14" Type="http://schemas.openxmlformats.org/officeDocument/2006/relationships/hyperlink" Target="mailto:mario.maniewicz@itu.i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1692-6DFE-43FF-9962-D02FEF54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10</Pages>
  <Words>3184</Words>
  <Characters>18864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Murphy, Margaret</dc:creator>
  <cp:lastModifiedBy>Contin-Abou Chanab, Nicole</cp:lastModifiedBy>
  <cp:revision>3</cp:revision>
  <cp:lastPrinted>2013-01-14T15:21:00Z</cp:lastPrinted>
  <dcterms:created xsi:type="dcterms:W3CDTF">2015-02-17T15:00:00Z</dcterms:created>
  <dcterms:modified xsi:type="dcterms:W3CDTF">2015-02-17T15:10:00Z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