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668"/>
        <w:gridCol w:w="284"/>
        <w:gridCol w:w="4536"/>
      </w:tblGrid>
      <w:tr w:rsidR="00677FD0" w:rsidRPr="00677FD0" w:rsidTr="00AE664D">
        <w:trPr>
          <w:jc w:val="center"/>
        </w:trPr>
        <w:tc>
          <w:tcPr>
            <w:tcW w:w="9889" w:type="dxa"/>
            <w:gridSpan w:val="4"/>
            <w:tcMar>
              <w:top w:w="142" w:type="dxa"/>
              <w:bottom w:w="142" w:type="dxa"/>
            </w:tcMar>
          </w:tcPr>
          <w:p w:rsidR="00677FD0" w:rsidRPr="00677FD0" w:rsidRDefault="00677FD0" w:rsidP="00677FD0">
            <w:pPr>
              <w:spacing w:after="0" w:line="240" w:lineRule="auto"/>
              <w:jc w:val="center"/>
              <w:rPr>
                <w:rFonts w:ascii="Calibri" w:eastAsia="SimHei" w:hAnsi="Calibri" w:cs="Simplified Arabic"/>
                <w:noProof/>
                <w:szCs w:val="28"/>
                <w:lang w:val="en-GB" w:eastAsia="fr-CH"/>
              </w:rPr>
            </w:pPr>
            <w:r w:rsidRPr="00677FD0">
              <w:rPr>
                <w:rFonts w:ascii="Calibri" w:eastAsia="SimHei" w:hAnsi="Calibri" w:cs="Simplified Arabic"/>
                <w:noProof/>
                <w:szCs w:val="28"/>
              </w:rPr>
              <w:drawing>
                <wp:inline distT="0" distB="0" distL="0" distR="0" wp14:anchorId="661C3195" wp14:editId="62A709A7">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677FD0" w:rsidRPr="00A040D1" w:rsidTr="00AE664D">
        <w:trPr>
          <w:jc w:val="center"/>
        </w:trPr>
        <w:tc>
          <w:tcPr>
            <w:tcW w:w="9889" w:type="dxa"/>
            <w:gridSpan w:val="4"/>
          </w:tcPr>
          <w:p w:rsidR="00677FD0" w:rsidRPr="00D5444D" w:rsidRDefault="00D5444D" w:rsidP="00D5444D">
            <w:pPr>
              <w:spacing w:before="120" w:after="120" w:line="240" w:lineRule="auto"/>
              <w:rPr>
                <w:rFonts w:ascii="Calibri" w:eastAsia="SimSun" w:hAnsi="Calibri" w:cs="Traditional Arabic"/>
                <w:b/>
                <w:color w:val="808080"/>
                <w:sz w:val="28"/>
                <w:szCs w:val="30"/>
                <w:lang w:val="es-ES_tradnl" w:eastAsia="en-US"/>
              </w:rPr>
            </w:pPr>
            <w:r w:rsidRPr="00E17F7D">
              <w:rPr>
                <w:rStyle w:val="BDTName"/>
              </w:rPr>
              <w:t xml:space="preserve">Oficina de Desarrollo </w:t>
            </w:r>
            <w:r w:rsidRPr="00E17F7D">
              <w:rPr>
                <w:rStyle w:val="BDTName"/>
              </w:rPr>
              <w:br/>
              <w:t>de las Telecomunicaciones (BDT)</w:t>
            </w:r>
          </w:p>
        </w:tc>
      </w:tr>
      <w:tr w:rsidR="00677FD0" w:rsidRPr="00A040D1" w:rsidTr="00AE664D">
        <w:trPr>
          <w:jc w:val="center"/>
        </w:trPr>
        <w:tc>
          <w:tcPr>
            <w:tcW w:w="9889" w:type="dxa"/>
            <w:gridSpan w:val="4"/>
          </w:tcPr>
          <w:p w:rsidR="00677FD0" w:rsidRPr="00677FD0" w:rsidRDefault="00677FD0" w:rsidP="00677FD0">
            <w:pPr>
              <w:spacing w:after="0" w:line="240" w:lineRule="auto"/>
              <w:rPr>
                <w:rFonts w:ascii="Calibri" w:eastAsia="SimSun" w:hAnsi="Calibri" w:cs="Traditional Arabic"/>
                <w:szCs w:val="30"/>
                <w:lang w:val="es-ES_tradnl" w:eastAsia="en-US"/>
              </w:rPr>
            </w:pPr>
          </w:p>
        </w:tc>
      </w:tr>
      <w:tr w:rsidR="00677FD0" w:rsidRPr="00B84E40" w:rsidTr="00AE664D">
        <w:trPr>
          <w:jc w:val="center"/>
        </w:trPr>
        <w:tc>
          <w:tcPr>
            <w:tcW w:w="1401" w:type="dxa"/>
          </w:tcPr>
          <w:p w:rsidR="00677FD0" w:rsidRPr="00B84E40" w:rsidRDefault="00677FD0" w:rsidP="00677FD0">
            <w:pPr>
              <w:spacing w:before="120" w:after="120" w:line="240" w:lineRule="auto"/>
              <w:rPr>
                <w:rFonts w:ascii="Calibri" w:eastAsia="SimSun" w:hAnsi="Calibri" w:cs="Traditional Arabic"/>
                <w:lang w:val="es-ES_tradnl" w:eastAsia="en-US"/>
              </w:rPr>
            </w:pPr>
            <w:r w:rsidRPr="00B84E40">
              <w:rPr>
                <w:rFonts w:ascii="Calibri" w:eastAsia="SimSun" w:hAnsi="Calibri" w:cs="Traditional Arabic"/>
                <w:lang w:val="es-ES_tradnl" w:eastAsia="en-US"/>
              </w:rPr>
              <w:t>Ref.</w:t>
            </w:r>
          </w:p>
        </w:tc>
        <w:tc>
          <w:tcPr>
            <w:tcW w:w="3952" w:type="dxa"/>
            <w:gridSpan w:val="2"/>
          </w:tcPr>
          <w:p w:rsidR="00677FD0" w:rsidRPr="00B84E40" w:rsidRDefault="00677FD0" w:rsidP="00677FD0">
            <w:pPr>
              <w:spacing w:before="120" w:after="120" w:line="240" w:lineRule="auto"/>
              <w:rPr>
                <w:rFonts w:ascii="Calibri" w:eastAsia="SimSun" w:hAnsi="Calibri" w:cs="Traditional Arabic"/>
                <w:lang w:val="es-ES_tradnl" w:eastAsia="en-US"/>
              </w:rPr>
            </w:pPr>
            <w:r w:rsidRPr="00B84E40">
              <w:rPr>
                <w:rFonts w:ascii="Calibri" w:eastAsia="SimSun" w:hAnsi="Calibri" w:cs="Traditional Arabic"/>
                <w:lang w:val="es-ES_tradnl" w:eastAsia="en-US"/>
              </w:rPr>
              <w:t>Circular BDT/IP/CSTG/020</w:t>
            </w:r>
          </w:p>
        </w:tc>
        <w:tc>
          <w:tcPr>
            <w:tcW w:w="4536" w:type="dxa"/>
          </w:tcPr>
          <w:p w:rsidR="00677FD0" w:rsidRPr="00B84E40" w:rsidRDefault="00D5444D" w:rsidP="00D5444D">
            <w:pPr>
              <w:spacing w:before="120" w:after="120" w:line="240" w:lineRule="auto"/>
              <w:rPr>
                <w:rFonts w:ascii="Calibri" w:eastAsia="SimSun" w:hAnsi="Calibri" w:cs="Arial"/>
                <w:lang w:val="es-ES_tradnl" w:eastAsia="en-US"/>
              </w:rPr>
            </w:pPr>
            <w:r w:rsidRPr="00B84E40">
              <w:rPr>
                <w:rFonts w:ascii="Calibri" w:eastAsia="SimSun" w:hAnsi="Calibri" w:cs="Arial"/>
                <w:lang w:val="es-ES_tradnl" w:eastAsia="en-US"/>
              </w:rPr>
              <w:t xml:space="preserve">Ginebra, </w:t>
            </w:r>
            <w:r w:rsidR="00677FD0" w:rsidRPr="00B84E40">
              <w:rPr>
                <w:rFonts w:ascii="Calibri" w:eastAsia="SimSun" w:hAnsi="Calibri" w:cs="Traditional Arabic"/>
                <w:lang w:val="es-ES_tradnl" w:eastAsia="en-US"/>
              </w:rPr>
              <w:t xml:space="preserve">24 </w:t>
            </w:r>
            <w:r w:rsidRPr="00B84E40">
              <w:rPr>
                <w:rFonts w:ascii="Calibri" w:eastAsia="SimSun" w:hAnsi="Calibri" w:cs="Traditional Arabic"/>
                <w:lang w:val="es-ES_tradnl" w:eastAsia="en-US"/>
              </w:rPr>
              <w:t>de mayo de</w:t>
            </w:r>
            <w:r w:rsidR="00677FD0" w:rsidRPr="00B84E40">
              <w:rPr>
                <w:rFonts w:ascii="Calibri" w:eastAsia="SimSun" w:hAnsi="Calibri" w:cs="Arial"/>
                <w:lang w:val="es-ES_tradnl" w:eastAsia="en-US"/>
              </w:rPr>
              <w:t xml:space="preserve"> 2013</w:t>
            </w:r>
          </w:p>
        </w:tc>
      </w:tr>
      <w:tr w:rsidR="00677FD0" w:rsidRPr="00B84E40" w:rsidTr="00AE664D">
        <w:trPr>
          <w:jc w:val="center"/>
        </w:trPr>
        <w:tc>
          <w:tcPr>
            <w:tcW w:w="1401" w:type="dxa"/>
          </w:tcPr>
          <w:p w:rsidR="00677FD0" w:rsidRPr="00B84E40" w:rsidRDefault="00677FD0" w:rsidP="00677FD0">
            <w:pPr>
              <w:spacing w:after="0" w:line="240" w:lineRule="auto"/>
              <w:rPr>
                <w:rFonts w:ascii="Calibri" w:eastAsia="SimSun" w:hAnsi="Calibri" w:cs="Traditional Arabic"/>
                <w:lang w:val="es-ES_tradnl" w:eastAsia="en-US"/>
              </w:rPr>
            </w:pPr>
          </w:p>
        </w:tc>
        <w:tc>
          <w:tcPr>
            <w:tcW w:w="3952" w:type="dxa"/>
            <w:gridSpan w:val="2"/>
          </w:tcPr>
          <w:p w:rsidR="00677FD0" w:rsidRPr="00B84E40" w:rsidRDefault="00677FD0" w:rsidP="00677FD0">
            <w:pPr>
              <w:spacing w:after="0" w:line="240" w:lineRule="auto"/>
              <w:rPr>
                <w:rFonts w:ascii="Calibri" w:eastAsia="SimSun" w:hAnsi="Calibri" w:cs="Traditional Arabic"/>
                <w:lang w:val="es-ES_tradnl" w:eastAsia="en-US"/>
              </w:rPr>
            </w:pPr>
          </w:p>
        </w:tc>
        <w:tc>
          <w:tcPr>
            <w:tcW w:w="4536" w:type="dxa"/>
          </w:tcPr>
          <w:p w:rsidR="00677FD0" w:rsidRPr="00B84E40" w:rsidRDefault="00677FD0" w:rsidP="00677FD0">
            <w:pPr>
              <w:spacing w:after="0" w:line="240" w:lineRule="auto"/>
              <w:rPr>
                <w:rFonts w:ascii="Calibri" w:eastAsia="SimSun" w:hAnsi="Calibri" w:cs="Traditional Arabic"/>
                <w:lang w:val="es-ES_tradnl" w:eastAsia="en-US"/>
              </w:rPr>
            </w:pPr>
          </w:p>
        </w:tc>
      </w:tr>
      <w:tr w:rsidR="00677FD0" w:rsidRPr="00A040D1" w:rsidTr="00AE664D">
        <w:trPr>
          <w:jc w:val="center"/>
        </w:trPr>
        <w:tc>
          <w:tcPr>
            <w:tcW w:w="1401"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 xml:space="preserve"> </w:t>
            </w:r>
          </w:p>
        </w:tc>
        <w:tc>
          <w:tcPr>
            <w:tcW w:w="3668"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284"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4536" w:type="dxa"/>
            <w:vMerge w:val="restart"/>
          </w:tcPr>
          <w:p w:rsidR="00677FD0" w:rsidRPr="00B84E40" w:rsidRDefault="00D5444D" w:rsidP="00B84E40">
            <w:pPr>
              <w:numPr>
                <w:ilvl w:val="0"/>
                <w:numId w:val="1"/>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 xml:space="preserve">A las </w:t>
            </w:r>
            <w:r w:rsidR="00677FD0" w:rsidRPr="00B84E40">
              <w:rPr>
                <w:rFonts w:ascii="Calibri" w:eastAsia="SimSun" w:hAnsi="Calibri" w:cs="Traditional Arabic"/>
                <w:lang w:val="es-ES_tradnl" w:eastAsia="en-US"/>
              </w:rPr>
              <w:t>Administra</w:t>
            </w:r>
            <w:r w:rsidRPr="00B84E40">
              <w:rPr>
                <w:rFonts w:ascii="Calibri" w:eastAsia="SimSun" w:hAnsi="Calibri" w:cs="Traditional Arabic"/>
                <w:lang w:val="es-ES_tradnl" w:eastAsia="en-US"/>
              </w:rPr>
              <w:t xml:space="preserve">ciones de los Estados Miembros de la UIT </w:t>
            </w:r>
          </w:p>
          <w:p w:rsidR="00677FD0" w:rsidRPr="00B84E40" w:rsidRDefault="00D5444D" w:rsidP="00B84E40">
            <w:pPr>
              <w:numPr>
                <w:ilvl w:val="0"/>
                <w:numId w:val="1"/>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A los Miembros de Sector del UIT-D</w:t>
            </w:r>
            <w:r w:rsidR="00677FD0" w:rsidRPr="00B84E40">
              <w:rPr>
                <w:rFonts w:ascii="Calibri" w:eastAsia="SimSun" w:hAnsi="Calibri" w:cs="Traditional Arabic"/>
                <w:strike/>
                <w:lang w:val="es-ES_tradnl" w:eastAsia="en-US"/>
              </w:rPr>
              <w:t xml:space="preserve"> </w:t>
            </w:r>
          </w:p>
          <w:p w:rsidR="00677FD0" w:rsidRPr="00B84E40" w:rsidRDefault="00D5444D" w:rsidP="00B84E40">
            <w:pPr>
              <w:numPr>
                <w:ilvl w:val="0"/>
                <w:numId w:val="1"/>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 xml:space="preserve">A los Asociados de las Comisiones de Estudio del UIT-D </w:t>
            </w:r>
          </w:p>
          <w:p w:rsidR="00677FD0" w:rsidRPr="00B84E40" w:rsidRDefault="00D5444D" w:rsidP="00B84E40">
            <w:pPr>
              <w:numPr>
                <w:ilvl w:val="0"/>
                <w:numId w:val="1"/>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 xml:space="preserve">A las Instituciones Académicas del UIT-D </w:t>
            </w:r>
          </w:p>
          <w:p w:rsidR="00677FD0" w:rsidRPr="00B84E40" w:rsidRDefault="00D5444D" w:rsidP="00B84E40">
            <w:pPr>
              <w:numPr>
                <w:ilvl w:val="0"/>
                <w:numId w:val="1"/>
              </w:numPr>
              <w:tabs>
                <w:tab w:val="left" w:pos="794"/>
                <w:tab w:val="left" w:pos="1191"/>
                <w:tab w:val="left" w:pos="1588"/>
                <w:tab w:val="left" w:pos="1985"/>
              </w:tabs>
              <w:overflowPunct w:val="0"/>
              <w:autoSpaceDE w:val="0"/>
              <w:autoSpaceDN w:val="0"/>
              <w:adjustRightInd w:val="0"/>
              <w:spacing w:after="0" w:line="240" w:lineRule="auto"/>
              <w:ind w:left="357" w:hanging="357"/>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A los Presidentes, Vicepresidentes, Relatore</w:t>
            </w:r>
            <w:r w:rsidR="00755B3D" w:rsidRPr="00B84E40">
              <w:rPr>
                <w:rFonts w:ascii="Calibri" w:eastAsia="SimSun" w:hAnsi="Calibri" w:cs="Traditional Arabic"/>
                <w:lang w:val="es-ES_tradnl" w:eastAsia="en-US"/>
              </w:rPr>
              <w:t>s</w:t>
            </w:r>
            <w:r w:rsidRPr="00B84E40">
              <w:rPr>
                <w:rFonts w:ascii="Calibri" w:eastAsia="SimSun" w:hAnsi="Calibri" w:cs="Traditional Arabic"/>
                <w:lang w:val="es-ES_tradnl" w:eastAsia="en-US"/>
              </w:rPr>
              <w:t xml:space="preserve"> y </w:t>
            </w:r>
            <w:proofErr w:type="spellStart"/>
            <w:r w:rsidRPr="00B84E40">
              <w:rPr>
                <w:rFonts w:ascii="Calibri" w:eastAsia="SimSun" w:hAnsi="Calibri" w:cs="Traditional Arabic"/>
                <w:lang w:val="es-ES_tradnl" w:eastAsia="en-US"/>
              </w:rPr>
              <w:t>Vicerrelatores</w:t>
            </w:r>
            <w:proofErr w:type="spellEnd"/>
            <w:r w:rsidRPr="00B84E40">
              <w:rPr>
                <w:rFonts w:ascii="Calibri" w:eastAsia="SimSun" w:hAnsi="Calibri" w:cs="Traditional Arabic"/>
                <w:lang w:val="es-ES_tradnl" w:eastAsia="en-US"/>
              </w:rPr>
              <w:t xml:space="preserve"> de las Comisiones de Estudio 1 y 2 del UIT-D </w:t>
            </w:r>
          </w:p>
        </w:tc>
      </w:tr>
      <w:tr w:rsidR="00677FD0" w:rsidRPr="00A040D1" w:rsidTr="00AE664D">
        <w:trPr>
          <w:jc w:val="center"/>
        </w:trPr>
        <w:tc>
          <w:tcPr>
            <w:tcW w:w="1401"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3668"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284"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4536" w:type="dxa"/>
            <w:vMerge/>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ascii="Calibri" w:eastAsia="SimSun" w:hAnsi="Calibri" w:cs="Traditional Arabic"/>
                <w:lang w:val="es-ES_tradnl" w:eastAsia="en-US"/>
              </w:rPr>
            </w:pPr>
          </w:p>
        </w:tc>
      </w:tr>
      <w:tr w:rsidR="00677FD0" w:rsidRPr="00A040D1" w:rsidTr="00AE664D">
        <w:trPr>
          <w:jc w:val="center"/>
        </w:trPr>
        <w:tc>
          <w:tcPr>
            <w:tcW w:w="1401"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3668"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284"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4536" w:type="dxa"/>
            <w:vMerge/>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ascii="Calibri" w:eastAsia="SimSun" w:hAnsi="Calibri" w:cs="Traditional Arabic"/>
                <w:lang w:val="es-ES_tradnl" w:eastAsia="en-US"/>
              </w:rPr>
            </w:pPr>
          </w:p>
        </w:tc>
      </w:tr>
      <w:tr w:rsidR="00677FD0" w:rsidRPr="00A040D1" w:rsidTr="00CC74AF">
        <w:trPr>
          <w:trHeight w:val="1256"/>
          <w:jc w:val="center"/>
        </w:trPr>
        <w:tc>
          <w:tcPr>
            <w:tcW w:w="1401"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3668"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284" w:type="dxa"/>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ascii="Calibri" w:eastAsia="SimSun" w:hAnsi="Calibri" w:cs="Traditional Arabic"/>
                <w:lang w:val="es-ES_tradnl" w:eastAsia="en-US"/>
              </w:rPr>
            </w:pPr>
          </w:p>
        </w:tc>
        <w:tc>
          <w:tcPr>
            <w:tcW w:w="4536" w:type="dxa"/>
            <w:vMerge/>
          </w:tcPr>
          <w:p w:rsidR="00677FD0" w:rsidRPr="00B84E40" w:rsidRDefault="00677FD0" w:rsidP="00677FD0">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ascii="Calibri" w:eastAsia="SimSun" w:hAnsi="Calibri" w:cs="Traditional Arabic"/>
                <w:lang w:val="es-ES_tradnl" w:eastAsia="en-US"/>
              </w:rPr>
            </w:pPr>
          </w:p>
        </w:tc>
      </w:tr>
      <w:tr w:rsidR="00677FD0" w:rsidRPr="00A040D1" w:rsidTr="00AE664D">
        <w:trPr>
          <w:jc w:val="center"/>
        </w:trPr>
        <w:tc>
          <w:tcPr>
            <w:tcW w:w="9889" w:type="dxa"/>
            <w:gridSpan w:val="4"/>
          </w:tcPr>
          <w:p w:rsidR="00677FD0" w:rsidRPr="00B84E40" w:rsidRDefault="00677FD0" w:rsidP="00677FD0">
            <w:pPr>
              <w:spacing w:after="0" w:line="240" w:lineRule="auto"/>
              <w:rPr>
                <w:rFonts w:ascii="Calibri" w:eastAsia="SimSun" w:hAnsi="Calibri" w:cs="Traditional Arabic"/>
                <w:lang w:val="es-ES_tradnl" w:eastAsia="en-US"/>
              </w:rPr>
            </w:pPr>
          </w:p>
        </w:tc>
      </w:tr>
      <w:tr w:rsidR="00677FD0" w:rsidRPr="00A040D1" w:rsidTr="00AE664D">
        <w:trPr>
          <w:jc w:val="center"/>
        </w:trPr>
        <w:tc>
          <w:tcPr>
            <w:tcW w:w="1401" w:type="dxa"/>
          </w:tcPr>
          <w:p w:rsidR="00677FD0" w:rsidRPr="00B84E40" w:rsidRDefault="00F83976" w:rsidP="00F83976">
            <w:pPr>
              <w:spacing w:before="120" w:after="120" w:line="240" w:lineRule="auto"/>
              <w:rPr>
                <w:rFonts w:ascii="Calibri" w:eastAsia="SimSun" w:hAnsi="Calibri" w:cs="Traditional Arabic"/>
                <w:b/>
                <w:bCs/>
                <w:lang w:val="es-ES_tradnl" w:eastAsia="en-US"/>
              </w:rPr>
            </w:pPr>
            <w:r w:rsidRPr="00B84E40">
              <w:rPr>
                <w:rFonts w:ascii="Calibri" w:eastAsia="SimSun" w:hAnsi="Calibri" w:cs="Traditional Arabic"/>
                <w:b/>
                <w:bCs/>
                <w:lang w:val="es-ES_tradnl" w:eastAsia="en-US"/>
              </w:rPr>
              <w:t>Asunto</w:t>
            </w:r>
            <w:r w:rsidR="00677FD0" w:rsidRPr="00B84E40">
              <w:rPr>
                <w:rFonts w:ascii="Calibri" w:eastAsia="SimSun" w:hAnsi="Calibri" w:cs="Traditional Arabic"/>
                <w:b/>
                <w:bCs/>
                <w:lang w:val="es-ES_tradnl" w:eastAsia="en-US"/>
              </w:rPr>
              <w:t>:</w:t>
            </w:r>
          </w:p>
        </w:tc>
        <w:tc>
          <w:tcPr>
            <w:tcW w:w="8488" w:type="dxa"/>
            <w:gridSpan w:val="3"/>
            <w:vAlign w:val="center"/>
          </w:tcPr>
          <w:p w:rsidR="00677FD0" w:rsidRPr="00B84E40" w:rsidRDefault="00677FD0" w:rsidP="00F8397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Traditional Arabic"/>
                <w:b/>
                <w:bCs/>
                <w:lang w:val="es-ES_tradnl" w:eastAsia="en-US"/>
              </w:rPr>
            </w:pPr>
            <w:r w:rsidRPr="00B84E40">
              <w:rPr>
                <w:rFonts w:ascii="Calibri" w:eastAsia="SimSun" w:hAnsi="Calibri" w:cs="Traditional Arabic"/>
                <w:b/>
                <w:bCs/>
                <w:lang w:val="es-ES_tradnl" w:eastAsia="en-US"/>
              </w:rPr>
              <w:t>N</w:t>
            </w:r>
            <w:r w:rsidR="00F83976" w:rsidRPr="00B84E40">
              <w:rPr>
                <w:rFonts w:ascii="Calibri" w:eastAsia="SimSun" w:hAnsi="Calibri" w:cs="Traditional Arabic"/>
                <w:b/>
                <w:bCs/>
                <w:lang w:val="es-ES_tradnl" w:eastAsia="en-US"/>
              </w:rPr>
              <w:t xml:space="preserve">ueva biblioteca de estudios de casos de las Comisiones de Estudio del UIT-D </w:t>
            </w:r>
          </w:p>
        </w:tc>
      </w:tr>
      <w:tr w:rsidR="00084DE4" w:rsidRPr="00A040D1" w:rsidTr="0056038A">
        <w:trPr>
          <w:jc w:val="center"/>
        </w:trPr>
        <w:tc>
          <w:tcPr>
            <w:tcW w:w="9889" w:type="dxa"/>
            <w:gridSpan w:val="4"/>
          </w:tcPr>
          <w:p w:rsidR="00084DE4" w:rsidRPr="00B84E40" w:rsidRDefault="00084DE4" w:rsidP="00CC74AF">
            <w:pPr>
              <w:spacing w:before="360" w:after="120" w:line="240" w:lineRule="auto"/>
              <w:rPr>
                <w:rFonts w:ascii="Calibri" w:eastAsia="SimHei" w:hAnsi="Calibri" w:cs="Simplified Arabic"/>
                <w:lang w:val="es-ES_tradnl" w:eastAsia="en-US"/>
              </w:rPr>
            </w:pPr>
            <w:r w:rsidRPr="00B84E40">
              <w:rPr>
                <w:rFonts w:ascii="Calibri" w:eastAsia="SimHei" w:hAnsi="Calibri" w:cs="Simplified Arabic"/>
                <w:lang w:val="es-ES_tradnl" w:eastAsia="en-US"/>
              </w:rPr>
              <w:t xml:space="preserve">Estimada señora/Estimado señor: </w:t>
            </w:r>
          </w:p>
          <w:p w:rsidR="00084DE4" w:rsidRPr="00B84E40" w:rsidRDefault="00084DE4" w:rsidP="00084DE4">
            <w:pPr>
              <w:spacing w:before="120" w:after="120" w:line="240" w:lineRule="auto"/>
              <w:rPr>
                <w:rFonts w:ascii="Calibri" w:eastAsia="SimHei" w:hAnsi="Calibri" w:cs="Simplified Arabic"/>
                <w:bCs/>
                <w:lang w:val="es-ES_tradnl"/>
              </w:rPr>
            </w:pPr>
            <w:r w:rsidRPr="00B84E40">
              <w:rPr>
                <w:rFonts w:ascii="Calibri" w:eastAsia="SimHei" w:hAnsi="Calibri" w:cs="Simplified Arabic"/>
                <w:bCs/>
                <w:lang w:val="es-ES_tradnl"/>
              </w:rPr>
              <w:t>Desde que se crearon las Comisiones de Estudio del UIT-D, los miembros han presentado estudios de casos con objeto de acumular conocimientos y experiencia para compartirlos luego con otros miembros. Esos estudios se han publicado como contribuciones a las reuniones, intentándose en ocasiones crear bibliotecas de estudios de casos, como la correspondiente a las comunicaciones rurales, establecida durante el periodo de estudios 2006-2010 para recopilar casos únicamente sobre ese tema.</w:t>
            </w:r>
          </w:p>
          <w:p w:rsidR="00084DE4" w:rsidRPr="00B84E40" w:rsidRDefault="00084DE4" w:rsidP="00084DE4">
            <w:pPr>
              <w:spacing w:before="120" w:after="120" w:line="240" w:lineRule="auto"/>
              <w:rPr>
                <w:rFonts w:ascii="Calibri" w:eastAsia="SimSun" w:hAnsi="Calibri" w:cs="Traditional Arabic"/>
                <w:szCs w:val="30"/>
                <w:lang w:val="es-ES_tradnl"/>
              </w:rPr>
            </w:pPr>
            <w:r w:rsidRPr="00B84E40">
              <w:rPr>
                <w:rFonts w:ascii="Calibri" w:eastAsia="SimSun" w:hAnsi="Calibri" w:cs="Traditional Arabic"/>
                <w:szCs w:val="30"/>
                <w:lang w:val="es-ES_tradnl"/>
              </w:rPr>
              <w:t xml:space="preserve">Tengo ahora el placer de anunciar la creación de una </w:t>
            </w:r>
            <w:r w:rsidRPr="00B84E40">
              <w:rPr>
                <w:rFonts w:ascii="Calibri" w:eastAsia="SimSun" w:hAnsi="Calibri" w:cs="Traditional Arabic"/>
                <w:b/>
                <w:bCs/>
                <w:szCs w:val="30"/>
                <w:lang w:val="es-ES_tradnl"/>
              </w:rPr>
              <w:t>nueva biblioteca de estudios de casos de las Comisiones de Estudio del UIT-D</w:t>
            </w:r>
            <w:r w:rsidRPr="00B84E40">
              <w:rPr>
                <w:rFonts w:ascii="Calibri" w:eastAsia="SimSun" w:hAnsi="Calibri" w:cs="Traditional Arabic"/>
                <w:szCs w:val="30"/>
                <w:lang w:val="es-ES_tradnl"/>
              </w:rPr>
              <w:t xml:space="preserve"> que permitirá a los miembros presentar, almacenar y consultar estudios de casos sobre temas en estudio en las Cuestiones de las Comisiones de Estudio del UIT-D. Compartir y aprender de las experiencias de los demás es un elemento fundamental del mandato de las Comisiones de Estudio del UIT-D y, mediante esta nueva herramienta, la extraordinaria riqueza de información que suponen los estudios de casos estará a disposición de todos los miembros. Se han puesto en marcha una serie de funciones mejoradas de búsqueda y filtrado para facilitar el acceso a dicha información. </w:t>
            </w:r>
          </w:p>
          <w:p w:rsidR="00084DE4" w:rsidRPr="00B84E40" w:rsidRDefault="00084DE4" w:rsidP="00084DE4">
            <w:pPr>
              <w:spacing w:before="120" w:after="120" w:line="240" w:lineRule="auto"/>
              <w:rPr>
                <w:rFonts w:ascii="Calibri" w:eastAsia="SimHei" w:hAnsi="Calibri" w:cs="Simplified Arabic"/>
                <w:bCs/>
                <w:lang w:val="es-ES_tradnl"/>
              </w:rPr>
            </w:pPr>
            <w:r w:rsidRPr="00B84E40">
              <w:rPr>
                <w:rFonts w:ascii="Calibri" w:eastAsia="SimHei" w:hAnsi="Calibri" w:cs="Simplified Arabic"/>
                <w:bCs/>
                <w:lang w:val="es-ES_tradnl"/>
              </w:rPr>
              <w:t xml:space="preserve">Puede consultarse la página web de la </w:t>
            </w:r>
            <w:r w:rsidRPr="00B84E40">
              <w:rPr>
                <w:rFonts w:ascii="Calibri" w:eastAsia="SimHei" w:hAnsi="Calibri" w:cs="Simplified Arabic"/>
                <w:b/>
                <w:bCs/>
                <w:lang w:val="es-ES_tradnl"/>
              </w:rPr>
              <w:t>biblioteca de estudios de casos de las Comisiones de Estudio del UIT-D</w:t>
            </w:r>
            <w:r w:rsidRPr="00B84E40">
              <w:rPr>
                <w:rFonts w:ascii="Calibri" w:eastAsia="SimHei" w:hAnsi="Calibri" w:cs="Simplified Arabic"/>
                <w:bCs/>
                <w:lang w:val="es-ES_tradnl"/>
              </w:rPr>
              <w:t xml:space="preserve"> en: </w:t>
            </w:r>
            <w:hyperlink r:id="rId9" w:history="1">
              <w:r w:rsidRPr="00B84E40">
                <w:rPr>
                  <w:rFonts w:ascii="Calibri" w:eastAsia="SimHei" w:hAnsi="Calibri" w:cs="Simplified Arabic"/>
                  <w:bCs/>
                  <w:color w:val="0000FF"/>
                  <w:u w:val="single"/>
                  <w:lang w:val="es-ES_tradnl"/>
                </w:rPr>
                <w:t>http://www.itu.int/en/ITU-D/Study-Groups/2010-2014/pages/case-study-library.aspx</w:t>
              </w:r>
            </w:hyperlink>
            <w:r w:rsidRPr="00B84E40">
              <w:rPr>
                <w:rFonts w:ascii="Calibri" w:eastAsia="SimHei" w:hAnsi="Calibri" w:cs="Simplified Arabic"/>
                <w:bCs/>
                <w:lang w:val="es-ES_tradnl"/>
              </w:rPr>
              <w:t xml:space="preserve">  (será necesaria una cuenta TIES para presentar y visualizar un estudio de caso).</w:t>
            </w:r>
          </w:p>
          <w:p w:rsidR="00084DE4" w:rsidRDefault="00084DE4" w:rsidP="00084DE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Traditional Arabic"/>
                <w:szCs w:val="30"/>
                <w:lang w:val="es-ES_tradnl"/>
              </w:rPr>
            </w:pPr>
            <w:r w:rsidRPr="00B84E40">
              <w:rPr>
                <w:rFonts w:ascii="Calibri" w:eastAsia="SimSun" w:hAnsi="Calibri" w:cs="Traditional Arabic"/>
                <w:szCs w:val="30"/>
                <w:lang w:val="es-ES_tradnl"/>
              </w:rPr>
              <w:t>Para crear la biblioteca, se ha utilizado el formato de los estudios de casos aprobados en la reunión de la Comisión de Estudio 2 de septiembre de 2012.</w:t>
            </w:r>
          </w:p>
          <w:p w:rsidR="00084DE4" w:rsidRPr="00B84E40" w:rsidRDefault="00084DE4" w:rsidP="00084DE4">
            <w:pPr>
              <w:spacing w:before="120" w:after="120" w:line="240" w:lineRule="auto"/>
              <w:rPr>
                <w:lang w:val="es-ES_tradnl"/>
              </w:rPr>
            </w:pPr>
            <w:r w:rsidRPr="00B84E40">
              <w:rPr>
                <w:rFonts w:ascii="Calibri" w:eastAsia="SimSun" w:hAnsi="Calibri" w:cs="Traditional Arabic"/>
                <w:szCs w:val="30"/>
                <w:lang w:val="es-ES_tradnl"/>
              </w:rPr>
              <w:t>A medida que pase el tiempo, espero que se puedan añadir a la nueva biblioteca los estudios de casos presentados en la antigua biblioteca con objeto de no relegar al olvido la información presentada por nuestros miembros. Por otra parte, está previsto modificarlo para que se adapte a cualesquiera nueva Cuestión en estudio que decida la Conferencia Mundial de Desarrollo de las Telecomunicaciones el próximo año.</w:t>
            </w:r>
          </w:p>
          <w:p w:rsidR="00084DE4" w:rsidRPr="00B84E40" w:rsidRDefault="00084DE4" w:rsidP="00084DE4">
            <w:pPr>
              <w:spacing w:before="120" w:after="120" w:line="240" w:lineRule="auto"/>
              <w:rPr>
                <w:rFonts w:ascii="Calibri" w:eastAsia="SimHei" w:hAnsi="Calibri" w:cs="Simplified Arabic"/>
                <w:bCs/>
                <w:lang w:val="es-ES_tradnl"/>
              </w:rPr>
            </w:pPr>
            <w:r w:rsidRPr="00B84E40">
              <w:rPr>
                <w:rFonts w:ascii="Calibri" w:eastAsia="SimHei" w:hAnsi="Calibri" w:cs="Simplified Arabic"/>
                <w:bCs/>
                <w:lang w:val="es-ES_tradnl"/>
              </w:rPr>
              <w:lastRenderedPageBreak/>
              <w:t xml:space="preserve">Si desea más información sobre esta nueva herramienta valiosa, y sobre la manera de presentar sus estudios de casos, no dude en ponerse en contacto con mis colaboradores en la Secretaría de las Comisiones de Estudio, en la siguiente dirección: </w:t>
            </w:r>
            <w:hyperlink r:id="rId10" w:history="1">
              <w:r w:rsidRPr="00B84E40">
                <w:rPr>
                  <w:rFonts w:ascii="Calibri" w:eastAsia="SimHei" w:hAnsi="Calibri" w:cs="Simplified Arabic"/>
                  <w:bCs/>
                  <w:color w:val="0000FF"/>
                  <w:u w:val="single"/>
                  <w:lang w:val="es-ES_tradnl"/>
                </w:rPr>
                <w:t>devsg@itu.int</w:t>
              </w:r>
            </w:hyperlink>
            <w:r w:rsidRPr="00B84E40">
              <w:rPr>
                <w:rFonts w:ascii="Calibri" w:eastAsia="SimHei" w:hAnsi="Calibri" w:cs="Simplified Arabic"/>
                <w:bCs/>
                <w:lang w:val="es-ES_tradnl"/>
              </w:rPr>
              <w:t xml:space="preserve">. </w:t>
            </w:r>
          </w:p>
          <w:p w:rsidR="00084DE4" w:rsidRPr="00B84E40" w:rsidRDefault="00084DE4" w:rsidP="00084DE4">
            <w:pPr>
              <w:spacing w:before="120" w:after="120" w:line="240" w:lineRule="auto"/>
              <w:rPr>
                <w:rFonts w:ascii="Calibri" w:eastAsia="SimSun" w:hAnsi="Calibri" w:cs="Times New Roman"/>
                <w:noProof/>
                <w:lang w:val="es-ES_tradnl"/>
              </w:rPr>
            </w:pPr>
            <w:r w:rsidRPr="00B84E40">
              <w:rPr>
                <w:rFonts w:ascii="Calibri" w:eastAsia="SimSun" w:hAnsi="Calibri" w:cs="Times New Roman"/>
                <w:noProof/>
                <w:lang w:val="es-ES_tradnl"/>
              </w:rPr>
              <w:t xml:space="preserve">Lo saluda atentamente, </w:t>
            </w:r>
          </w:p>
          <w:p w:rsidR="00084DE4" w:rsidRPr="00B84E40" w:rsidRDefault="00084DE4" w:rsidP="00084DE4">
            <w:pPr>
              <w:spacing w:before="360" w:after="0" w:line="240" w:lineRule="auto"/>
              <w:rPr>
                <w:rFonts w:ascii="Calibri" w:eastAsia="SimHei" w:hAnsi="Calibri" w:cs="Simplified Arabic"/>
                <w:bCs/>
                <w:szCs w:val="19"/>
                <w:lang w:val="es-ES_tradnl"/>
              </w:rPr>
            </w:pPr>
            <w:r w:rsidRPr="00B84E40">
              <w:rPr>
                <w:rFonts w:ascii="Calibri" w:eastAsia="SimHei" w:hAnsi="Calibri" w:cs="Simplified Arabic"/>
                <w:bCs/>
                <w:szCs w:val="19"/>
                <w:lang w:val="es-ES_tradnl"/>
              </w:rPr>
              <w:t>[Original firmado]</w:t>
            </w:r>
          </w:p>
          <w:p w:rsidR="00084DE4" w:rsidRPr="00B84E40" w:rsidRDefault="00084DE4" w:rsidP="00084DE4">
            <w:pPr>
              <w:spacing w:before="360" w:after="0" w:line="240" w:lineRule="auto"/>
              <w:rPr>
                <w:rFonts w:ascii="Calibri" w:eastAsia="SimHei" w:hAnsi="Calibri" w:cs="Simplified Arabic"/>
                <w:bCs/>
                <w:lang w:val="es-ES_tradnl" w:eastAsia="en-US"/>
              </w:rPr>
            </w:pPr>
            <w:r w:rsidRPr="00B84E40">
              <w:rPr>
                <w:rFonts w:ascii="Calibri" w:eastAsia="SimHei" w:hAnsi="Calibri" w:cs="Simplified Arabic"/>
                <w:bCs/>
                <w:lang w:val="es-ES_tradnl" w:eastAsia="en-US"/>
              </w:rPr>
              <w:t>Brahima Sanou</w:t>
            </w:r>
          </w:p>
          <w:p w:rsidR="00084DE4" w:rsidRDefault="00084DE4" w:rsidP="0010057D">
            <w:pPr>
              <w:tabs>
                <w:tab w:val="left" w:pos="794"/>
                <w:tab w:val="left" w:pos="1191"/>
                <w:tab w:val="left" w:pos="1588"/>
                <w:tab w:val="left" w:pos="1985"/>
              </w:tabs>
              <w:overflowPunct w:val="0"/>
              <w:autoSpaceDE w:val="0"/>
              <w:autoSpaceDN w:val="0"/>
              <w:adjustRightInd w:val="0"/>
              <w:spacing w:after="120" w:line="240" w:lineRule="auto"/>
              <w:textAlignment w:val="baseline"/>
              <w:rPr>
                <w:rFonts w:ascii="Calibri" w:eastAsia="SimSun" w:hAnsi="Calibri" w:cs="Traditional Arabic"/>
                <w:lang w:val="es-ES_tradnl" w:eastAsia="en-US"/>
              </w:rPr>
            </w:pPr>
            <w:r w:rsidRPr="00B84E40">
              <w:rPr>
                <w:rFonts w:ascii="Calibri" w:eastAsia="SimSun" w:hAnsi="Calibri" w:cs="Traditional Arabic"/>
                <w:lang w:val="es-ES_tradnl" w:eastAsia="en-US"/>
              </w:rPr>
              <w:t>Direc</w:t>
            </w:r>
            <w:bookmarkStart w:id="0" w:name="_GoBack"/>
            <w:bookmarkEnd w:id="0"/>
            <w:r w:rsidRPr="00B84E40">
              <w:rPr>
                <w:rFonts w:ascii="Calibri" w:eastAsia="SimSun" w:hAnsi="Calibri" w:cs="Traditional Arabic"/>
                <w:lang w:val="es-ES_tradnl" w:eastAsia="en-US"/>
              </w:rPr>
              <w:t>tor</w:t>
            </w:r>
          </w:p>
          <w:p w:rsidR="00084DE4" w:rsidRPr="00084DE4" w:rsidRDefault="00084DE4" w:rsidP="00E1121E">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SimSun" w:hAnsi="Calibri" w:cs="Traditional Arabic"/>
                <w:lang w:val="es-ES_tradnl" w:eastAsia="en-US"/>
              </w:rPr>
            </w:pPr>
          </w:p>
        </w:tc>
      </w:tr>
    </w:tbl>
    <w:p w:rsidR="00B84E40" w:rsidRDefault="00B84E40" w:rsidP="00084DE4">
      <w:pPr>
        <w:spacing w:before="120" w:after="120" w:line="240" w:lineRule="auto"/>
        <w:rPr>
          <w:rFonts w:ascii="Calibri" w:eastAsia="SimSun" w:hAnsi="Calibri" w:cs="Traditional Arabic"/>
          <w:szCs w:val="30"/>
          <w:lang w:val="es-ES_tradnl"/>
        </w:rPr>
      </w:pPr>
    </w:p>
    <w:sectPr w:rsidR="00B84E40" w:rsidSect="00563963">
      <w:headerReference w:type="even" r:id="rId11"/>
      <w:headerReference w:type="default" r:id="rId12"/>
      <w:headerReference w:type="first" r:id="rId13"/>
      <w:footerReference w:type="first" r:id="rId1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47" w:rsidRDefault="005F3947" w:rsidP="00B62DE2">
      <w:pPr>
        <w:spacing w:after="0" w:line="240" w:lineRule="auto"/>
      </w:pPr>
      <w:r>
        <w:separator/>
      </w:r>
    </w:p>
  </w:endnote>
  <w:endnote w:type="continuationSeparator" w:id="0">
    <w:p w:rsidR="005F3947" w:rsidRDefault="005F3947" w:rsidP="00B6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40" w:rsidRPr="00F42C8C" w:rsidRDefault="00B84E40" w:rsidP="00B84E40">
    <w:pPr>
      <w:pStyle w:val="FirstFooter"/>
      <w:spacing w:line="240" w:lineRule="auto"/>
      <w:ind w:left="-397" w:right="-397"/>
      <w:jc w:val="center"/>
      <w:rPr>
        <w:sz w:val="18"/>
        <w:szCs w:val="18"/>
      </w:rPr>
    </w:pPr>
    <w:r w:rsidRPr="00F42C8C">
      <w:rPr>
        <w:sz w:val="18"/>
        <w:szCs w:val="18"/>
      </w:rPr>
      <w:t xml:space="preserve">Unión Internacional de Telecomunicaciones • Place des </w:t>
    </w:r>
    <w:proofErr w:type="spellStart"/>
    <w:r w:rsidRPr="00F42C8C">
      <w:rPr>
        <w:sz w:val="18"/>
        <w:szCs w:val="18"/>
      </w:rPr>
      <w:t>Nations</w:t>
    </w:r>
    <w:proofErr w:type="spellEnd"/>
    <w:r w:rsidRPr="00F42C8C">
      <w:rPr>
        <w:sz w:val="18"/>
        <w:szCs w:val="18"/>
      </w:rPr>
      <w:t xml:space="preserve">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sz w:val="18"/>
          <w:szCs w:val="18"/>
        </w:rPr>
        <w:t>itumail@itu.int</w:t>
      </w:r>
    </w:hyperlink>
    <w:r w:rsidRPr="00F42C8C">
      <w:rPr>
        <w:sz w:val="18"/>
        <w:szCs w:val="18"/>
      </w:rPr>
      <w:t xml:space="preserve"> • </w:t>
    </w:r>
    <w:hyperlink r:id="rId2" w:history="1">
      <w:r w:rsidRPr="00F42C8C">
        <w:rPr>
          <w:rStyle w:val="Hyperlink"/>
          <w:sz w:val="18"/>
          <w:szCs w:val="18"/>
        </w:rPr>
        <w:t>www.itu.int</w:t>
      </w:r>
    </w:hyperlink>
    <w:r>
      <w:rPr>
        <w:sz w:val="18"/>
        <w:szCs w:val="18"/>
      </w:rPr>
      <w:t xml:space="preserve"> </w:t>
    </w:r>
  </w:p>
  <w:p w:rsidR="00230F23" w:rsidRDefault="00230F23" w:rsidP="00230F23">
    <w:pPr>
      <w:pStyle w:val="BDTFooter"/>
      <w:rPr>
        <w:lang w:val="es-ES_tradnl"/>
      </w:rPr>
    </w:pPr>
  </w:p>
  <w:p w:rsidR="00B84E40" w:rsidRPr="00B84E40" w:rsidRDefault="00B84E40">
    <w:pPr>
      <w:pStyle w:val="Footer"/>
      <w:rPr>
        <w:sz w:val="16"/>
        <w:lang w:val="es-ES_tradnl"/>
      </w:rPr>
    </w:pPr>
    <w:r w:rsidRPr="00B84E40">
      <w:rPr>
        <w:sz w:val="16"/>
        <w:szCs w:val="16"/>
      </w:rPr>
      <w:fldChar w:fldCharType="begin"/>
    </w:r>
    <w:r w:rsidRPr="00B84E40">
      <w:rPr>
        <w:sz w:val="16"/>
        <w:szCs w:val="16"/>
        <w:lang w:val="es-ES_tradnl"/>
      </w:rPr>
      <w:instrText xml:space="preserve"> FILENAME \p  \* MERGEFORMAT </w:instrText>
    </w:r>
    <w:r w:rsidRPr="00B84E40">
      <w:rPr>
        <w:sz w:val="16"/>
        <w:szCs w:val="16"/>
      </w:rPr>
      <w:fldChar w:fldCharType="separate"/>
    </w:r>
    <w:r w:rsidR="00AA2093">
      <w:rPr>
        <w:noProof/>
        <w:sz w:val="16"/>
        <w:szCs w:val="16"/>
        <w:lang w:val="es-ES_tradnl"/>
      </w:rPr>
      <w:t>P:\ESP\ITU-D\SG-D\CSTG\020S.docx</w:t>
    </w:r>
    <w:r w:rsidRPr="00B84E40">
      <w:rPr>
        <w:noProof/>
        <w:sz w:val="16"/>
        <w:szCs w:val="16"/>
      </w:rPr>
      <w:fldChar w:fldCharType="end"/>
    </w:r>
    <w:r>
      <w:rPr>
        <w:sz w:val="16"/>
        <w:lang w:val="es-ES_tradnl"/>
      </w:rPr>
      <w:t xml:space="preserve"> (344797)</w:t>
    </w:r>
    <w:r w:rsidRPr="00B84E40">
      <w:rPr>
        <w:sz w:val="16"/>
        <w:lang w:val="es-ES_tradnl"/>
      </w:rPr>
      <w:tab/>
    </w:r>
    <w:r>
      <w:rPr>
        <w:sz w:val="16"/>
      </w:rPr>
      <w:fldChar w:fldCharType="begin"/>
    </w:r>
    <w:r>
      <w:rPr>
        <w:sz w:val="16"/>
      </w:rPr>
      <w:instrText xml:space="preserve"> SAVEDATE \@ DD.MM.YY </w:instrText>
    </w:r>
    <w:r>
      <w:rPr>
        <w:sz w:val="16"/>
      </w:rPr>
      <w:fldChar w:fldCharType="separate"/>
    </w:r>
    <w:r w:rsidR="0010057D">
      <w:rPr>
        <w:noProof/>
        <w:sz w:val="16"/>
      </w:rPr>
      <w:t>24.05.13</w:t>
    </w:r>
    <w:r>
      <w:rPr>
        <w:sz w:val="16"/>
      </w:rPr>
      <w:fldChar w:fldCharType="end"/>
    </w:r>
    <w:r w:rsidRPr="00B84E40">
      <w:rPr>
        <w:sz w:val="16"/>
        <w:lang w:val="es-ES_tradnl"/>
      </w:rPr>
      <w:tab/>
    </w:r>
    <w:r>
      <w:rPr>
        <w:sz w:val="16"/>
      </w:rPr>
      <w:fldChar w:fldCharType="begin"/>
    </w:r>
    <w:r>
      <w:rPr>
        <w:sz w:val="16"/>
      </w:rPr>
      <w:instrText xml:space="preserve"> PRINTDATE \@ DD.MM.YY </w:instrText>
    </w:r>
    <w:r>
      <w:rPr>
        <w:sz w:val="16"/>
      </w:rPr>
      <w:fldChar w:fldCharType="separate"/>
    </w:r>
    <w:r w:rsidR="00AA2093">
      <w:rPr>
        <w:noProof/>
        <w:sz w:val="16"/>
      </w:rPr>
      <w:t>24.05.13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47" w:rsidRDefault="005F3947" w:rsidP="00B62DE2">
      <w:pPr>
        <w:spacing w:after="0" w:line="240" w:lineRule="auto"/>
      </w:pPr>
      <w:r>
        <w:separator/>
      </w:r>
    </w:p>
  </w:footnote>
  <w:footnote w:type="continuationSeparator" w:id="0">
    <w:p w:rsidR="005F3947" w:rsidRDefault="005F3947" w:rsidP="00B62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5F3947">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5F3947"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10057D">
      <w:rPr>
        <w:noProof/>
      </w:rPr>
      <w:t>2</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4D" w:rsidRDefault="0010057D" w:rsidP="0053718D">
    <w:pPr>
      <w:tabs>
        <w:tab w:val="left" w:pos="794"/>
        <w:tab w:val="left" w:pos="1191"/>
        <w:tab w:val="left" w:pos="1588"/>
        <w:tab w:val="left" w:pos="1985"/>
      </w:tabs>
      <w:overflowPunct w:val="0"/>
      <w:autoSpaceDE w:val="0"/>
      <w:autoSpaceDN w:val="0"/>
      <w:adjustRightInd w:val="0"/>
      <w:spacing w:after="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6EF9"/>
    <w:multiLevelType w:val="hybridMultilevel"/>
    <w:tmpl w:val="44AAA920"/>
    <w:lvl w:ilvl="0" w:tplc="B494062A">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D0"/>
    <w:rsid w:val="00084DE4"/>
    <w:rsid w:val="0010057D"/>
    <w:rsid w:val="00154788"/>
    <w:rsid w:val="00230F23"/>
    <w:rsid w:val="0056564E"/>
    <w:rsid w:val="005F3947"/>
    <w:rsid w:val="006608BF"/>
    <w:rsid w:val="00677FD0"/>
    <w:rsid w:val="00755B3D"/>
    <w:rsid w:val="00786B9F"/>
    <w:rsid w:val="00955D0C"/>
    <w:rsid w:val="00984951"/>
    <w:rsid w:val="009D6056"/>
    <w:rsid w:val="00A040D1"/>
    <w:rsid w:val="00A401E2"/>
    <w:rsid w:val="00A453E2"/>
    <w:rsid w:val="00A96F9E"/>
    <w:rsid w:val="00AA2093"/>
    <w:rsid w:val="00B51C01"/>
    <w:rsid w:val="00B62DE2"/>
    <w:rsid w:val="00B84E40"/>
    <w:rsid w:val="00C8486D"/>
    <w:rsid w:val="00CA1F6E"/>
    <w:rsid w:val="00CC74AF"/>
    <w:rsid w:val="00D52C05"/>
    <w:rsid w:val="00D5444D"/>
    <w:rsid w:val="00DF3182"/>
    <w:rsid w:val="00E1121E"/>
    <w:rsid w:val="00ED1612"/>
    <w:rsid w:val="00EF177B"/>
    <w:rsid w:val="00F83976"/>
    <w:rsid w:val="00FE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677FD0"/>
    <w:rPr>
      <w:rFonts w:cs="Times New Roman"/>
    </w:rPr>
  </w:style>
  <w:style w:type="paragraph" w:customStyle="1" w:styleId="BDTFooter">
    <w:name w:val="BDT_Footer"/>
    <w:uiPriority w:val="99"/>
    <w:rsid w:val="00677FD0"/>
    <w:pPr>
      <w:tabs>
        <w:tab w:val="right" w:pos="9072"/>
      </w:tabs>
      <w:spacing w:after="0" w:line="240" w:lineRule="auto"/>
    </w:pPr>
    <w:rPr>
      <w:rFonts w:ascii="Calibri" w:eastAsia="SimHei" w:hAnsi="Calibri" w:cs="Traditional Arabic"/>
      <w:sz w:val="18"/>
      <w:szCs w:val="30"/>
      <w:lang w:eastAsia="en-US"/>
    </w:rPr>
  </w:style>
  <w:style w:type="character" w:styleId="Hyperlink">
    <w:name w:val="Hyperlink"/>
    <w:basedOn w:val="DefaultParagraphFont"/>
    <w:uiPriority w:val="99"/>
    <w:semiHidden/>
    <w:rsid w:val="00677FD0"/>
    <w:rPr>
      <w:rFonts w:cs="Times New Roman"/>
      <w:color w:val="0000FF"/>
      <w:u w:val="single"/>
    </w:rPr>
  </w:style>
  <w:style w:type="character" w:customStyle="1" w:styleId="BDTName">
    <w:name w:val="BDT_Name"/>
    <w:basedOn w:val="DefaultParagraphFont"/>
    <w:uiPriority w:val="99"/>
    <w:rsid w:val="00D5444D"/>
    <w:rPr>
      <w:rFonts w:cs="Times New Roman"/>
      <w:b/>
      <w:color w:val="808080"/>
      <w:sz w:val="28"/>
      <w:lang w:val="es-ES"/>
    </w:rPr>
  </w:style>
  <w:style w:type="paragraph" w:styleId="Footer">
    <w:name w:val="footer"/>
    <w:basedOn w:val="Normal"/>
    <w:link w:val="FooterChar"/>
    <w:unhideWhenUsed/>
    <w:rsid w:val="00B6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DE2"/>
  </w:style>
  <w:style w:type="paragraph" w:customStyle="1" w:styleId="FirstFooter">
    <w:name w:val="FirstFooter"/>
    <w:basedOn w:val="Normal"/>
    <w:rsid w:val="00B84E40"/>
    <w:pPr>
      <w:spacing w:before="40" w:after="0" w:line="280" w:lineRule="exact"/>
    </w:pPr>
    <w:rPr>
      <w:rFonts w:ascii="Calibri" w:eastAsia="Times New Roman" w:hAnsi="Calibri" w:cs="Calibri"/>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677FD0"/>
    <w:rPr>
      <w:rFonts w:cs="Times New Roman"/>
    </w:rPr>
  </w:style>
  <w:style w:type="paragraph" w:customStyle="1" w:styleId="BDTFooter">
    <w:name w:val="BDT_Footer"/>
    <w:uiPriority w:val="99"/>
    <w:rsid w:val="00677FD0"/>
    <w:pPr>
      <w:tabs>
        <w:tab w:val="right" w:pos="9072"/>
      </w:tabs>
      <w:spacing w:after="0" w:line="240" w:lineRule="auto"/>
    </w:pPr>
    <w:rPr>
      <w:rFonts w:ascii="Calibri" w:eastAsia="SimHei" w:hAnsi="Calibri" w:cs="Traditional Arabic"/>
      <w:sz w:val="18"/>
      <w:szCs w:val="30"/>
      <w:lang w:eastAsia="en-US"/>
    </w:rPr>
  </w:style>
  <w:style w:type="character" w:styleId="Hyperlink">
    <w:name w:val="Hyperlink"/>
    <w:basedOn w:val="DefaultParagraphFont"/>
    <w:uiPriority w:val="99"/>
    <w:semiHidden/>
    <w:rsid w:val="00677FD0"/>
    <w:rPr>
      <w:rFonts w:cs="Times New Roman"/>
      <w:color w:val="0000FF"/>
      <w:u w:val="single"/>
    </w:rPr>
  </w:style>
  <w:style w:type="character" w:customStyle="1" w:styleId="BDTName">
    <w:name w:val="BDT_Name"/>
    <w:basedOn w:val="DefaultParagraphFont"/>
    <w:uiPriority w:val="99"/>
    <w:rsid w:val="00D5444D"/>
    <w:rPr>
      <w:rFonts w:cs="Times New Roman"/>
      <w:b/>
      <w:color w:val="808080"/>
      <w:sz w:val="28"/>
      <w:lang w:val="es-ES"/>
    </w:rPr>
  </w:style>
  <w:style w:type="paragraph" w:styleId="Footer">
    <w:name w:val="footer"/>
    <w:basedOn w:val="Normal"/>
    <w:link w:val="FooterChar"/>
    <w:unhideWhenUsed/>
    <w:rsid w:val="00B6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DE2"/>
  </w:style>
  <w:style w:type="paragraph" w:customStyle="1" w:styleId="FirstFooter">
    <w:name w:val="FirstFooter"/>
    <w:basedOn w:val="Normal"/>
    <w:rsid w:val="00B84E40"/>
    <w:pPr>
      <w:spacing w:before="40" w:after="0" w:line="280" w:lineRule="exact"/>
    </w:pPr>
    <w:rPr>
      <w:rFonts w:ascii="Calibri" w:eastAsia="Times New Roman" w:hAnsi="Calibri" w:cs="Calibri"/>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vsg@itu.int" TargetMode="External"/><Relationship Id="rId4" Type="http://schemas.openxmlformats.org/officeDocument/2006/relationships/settings" Target="settings.xml"/><Relationship Id="rId9" Type="http://schemas.openxmlformats.org/officeDocument/2006/relationships/hyperlink" Target="http://www.itu.int/en/ITU-D/Study-Groups/2010-2014/pages/case-study-librar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Stoudmann C.</cp:lastModifiedBy>
  <cp:revision>10</cp:revision>
  <cp:lastPrinted>2013-05-24T09:11:00Z</cp:lastPrinted>
  <dcterms:created xsi:type="dcterms:W3CDTF">2013-05-23T14:54:00Z</dcterms:created>
  <dcterms:modified xsi:type="dcterms:W3CDTF">2013-05-24T12:41:00Z</dcterms:modified>
</cp:coreProperties>
</file>