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401"/>
        <w:gridCol w:w="3668"/>
        <w:gridCol w:w="284"/>
        <w:gridCol w:w="4536"/>
      </w:tblGrid>
      <w:tr w:rsidR="0046067E" w:rsidTr="005F60C6">
        <w:trPr>
          <w:jc w:val="center"/>
        </w:trPr>
        <w:tc>
          <w:tcPr>
            <w:tcW w:w="9889" w:type="dxa"/>
            <w:gridSpan w:val="4"/>
            <w:tcMar>
              <w:top w:w="142" w:type="dxa"/>
              <w:bottom w:w="142" w:type="dxa"/>
            </w:tcMar>
          </w:tcPr>
          <w:p w:rsidR="0046067E" w:rsidRDefault="0046067E" w:rsidP="005F60C6">
            <w:pPr>
              <w:pStyle w:val="BDTLogo"/>
              <w:rPr>
                <w:noProof/>
                <w:lang w:eastAsia="fr-CH"/>
              </w:rPr>
            </w:pPr>
            <w:r>
              <w:rPr>
                <w:noProof/>
                <w:lang w:val="en-US" w:eastAsia="zh-CN"/>
              </w:rPr>
              <w:drawing>
                <wp:inline distT="0" distB="0" distL="0" distR="0" wp14:anchorId="63AFD1A0" wp14:editId="6B09D38B">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46067E" w:rsidTr="005F60C6">
        <w:trPr>
          <w:jc w:val="center"/>
        </w:trPr>
        <w:tc>
          <w:tcPr>
            <w:tcW w:w="9889" w:type="dxa"/>
            <w:gridSpan w:val="4"/>
          </w:tcPr>
          <w:p w:rsidR="0046067E" w:rsidRDefault="0046067E" w:rsidP="005F60C6">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46067E" w:rsidTr="005F60C6">
        <w:trPr>
          <w:jc w:val="center"/>
        </w:trPr>
        <w:tc>
          <w:tcPr>
            <w:tcW w:w="9889" w:type="dxa"/>
            <w:gridSpan w:val="4"/>
          </w:tcPr>
          <w:p w:rsidR="0046067E" w:rsidRDefault="0046067E" w:rsidP="005F60C6">
            <w:pPr>
              <w:pStyle w:val="BDTSeparator"/>
            </w:pPr>
          </w:p>
        </w:tc>
      </w:tr>
      <w:tr w:rsidR="0046067E" w:rsidTr="005F60C6">
        <w:trPr>
          <w:jc w:val="center"/>
        </w:trPr>
        <w:tc>
          <w:tcPr>
            <w:tcW w:w="1401" w:type="dxa"/>
          </w:tcPr>
          <w:p w:rsidR="0046067E" w:rsidRPr="00817170" w:rsidRDefault="0046067E" w:rsidP="005F60C6">
            <w:pPr>
              <w:pStyle w:val="BDTRef"/>
              <w:rPr>
                <w:rFonts w:ascii="Verdana" w:hAnsi="Verdana"/>
                <w:sz w:val="19"/>
                <w:szCs w:val="19"/>
              </w:rPr>
            </w:pPr>
            <w:r w:rsidRPr="00817170">
              <w:rPr>
                <w:rFonts w:ascii="Verdana" w:hAnsi="Verdana"/>
                <w:sz w:val="19"/>
                <w:szCs w:val="19"/>
              </w:rPr>
              <w:t>Ref.</w:t>
            </w:r>
          </w:p>
        </w:tc>
        <w:tc>
          <w:tcPr>
            <w:tcW w:w="3952" w:type="dxa"/>
            <w:gridSpan w:val="2"/>
          </w:tcPr>
          <w:p w:rsidR="0046067E" w:rsidRPr="00817170" w:rsidRDefault="0046067E" w:rsidP="00AA67FE">
            <w:pPr>
              <w:pStyle w:val="BDTRef-Details"/>
              <w:rPr>
                <w:rFonts w:ascii="Verdana" w:hAnsi="Verdana"/>
                <w:sz w:val="19"/>
                <w:szCs w:val="19"/>
              </w:rPr>
            </w:pPr>
            <w:r w:rsidRPr="00817170">
              <w:rPr>
                <w:rFonts w:ascii="Verdana" w:hAnsi="Verdana"/>
                <w:sz w:val="19"/>
                <w:szCs w:val="19"/>
                <w:lang w:val="pt-BR"/>
              </w:rPr>
              <w:t>Circular BDT/IP/CSTG-</w:t>
            </w:r>
            <w:r w:rsidR="005F60C6">
              <w:rPr>
                <w:rFonts w:ascii="Verdana" w:hAnsi="Verdana"/>
                <w:sz w:val="19"/>
                <w:szCs w:val="19"/>
                <w:lang w:val="pt-BR"/>
              </w:rPr>
              <w:t>1</w:t>
            </w:r>
            <w:r w:rsidR="00AA67FE">
              <w:rPr>
                <w:rFonts w:ascii="Verdana" w:hAnsi="Verdana"/>
                <w:sz w:val="19"/>
                <w:szCs w:val="19"/>
                <w:lang w:val="pt-BR"/>
              </w:rPr>
              <w:t>4</w:t>
            </w:r>
          </w:p>
        </w:tc>
        <w:tc>
          <w:tcPr>
            <w:tcW w:w="4536" w:type="dxa"/>
          </w:tcPr>
          <w:p w:rsidR="0046067E" w:rsidRPr="00817170" w:rsidRDefault="0046067E" w:rsidP="00423B7E">
            <w:pPr>
              <w:pStyle w:val="BDTDate"/>
              <w:rPr>
                <w:rFonts w:ascii="Verdana" w:hAnsi="Verdana"/>
                <w:sz w:val="19"/>
                <w:szCs w:val="19"/>
                <w:lang w:val="en-GB"/>
              </w:rPr>
            </w:pPr>
            <w:r w:rsidRPr="00817170">
              <w:rPr>
                <w:rFonts w:ascii="Verdana" w:hAnsi="Verdana"/>
                <w:sz w:val="19"/>
                <w:szCs w:val="19"/>
                <w:lang w:val="en-GB"/>
              </w:rPr>
              <w:t>Geneva</w:t>
            </w:r>
            <w:r w:rsidRPr="00AE6279">
              <w:rPr>
                <w:rFonts w:ascii="Verdana" w:hAnsi="Verdana" w:cs="Traditional Arabic"/>
                <w:sz w:val="19"/>
                <w:szCs w:val="19"/>
              </w:rPr>
              <w:t xml:space="preserve">, </w:t>
            </w:r>
            <w:r w:rsidR="00257CCB">
              <w:rPr>
                <w:rFonts w:ascii="Verdana" w:hAnsi="Verdana" w:cs="Traditional Arabic"/>
                <w:sz w:val="19"/>
                <w:szCs w:val="19"/>
              </w:rPr>
              <w:t>1</w:t>
            </w:r>
            <w:r w:rsidR="00423B7E">
              <w:rPr>
                <w:rFonts w:ascii="Verdana" w:hAnsi="Verdana" w:cs="Traditional Arabic"/>
                <w:sz w:val="19"/>
                <w:szCs w:val="19"/>
              </w:rPr>
              <w:t>2</w:t>
            </w:r>
            <w:r w:rsidR="00ED05C9" w:rsidRPr="00671F3B">
              <w:rPr>
                <w:rFonts w:ascii="Verdana" w:hAnsi="Verdana" w:cs="Traditional Arabic"/>
                <w:sz w:val="19"/>
                <w:szCs w:val="19"/>
              </w:rPr>
              <w:t xml:space="preserve"> October</w:t>
            </w:r>
            <w:r w:rsidRPr="00671F3B">
              <w:rPr>
                <w:rFonts w:ascii="Verdana" w:hAnsi="Verdana"/>
                <w:sz w:val="19"/>
                <w:szCs w:val="19"/>
                <w:lang w:val="en-GB"/>
              </w:rPr>
              <w:t xml:space="preserve"> 2012</w:t>
            </w:r>
          </w:p>
        </w:tc>
      </w:tr>
      <w:tr w:rsidR="0046067E" w:rsidTr="005F60C6">
        <w:trPr>
          <w:jc w:val="center"/>
        </w:trPr>
        <w:tc>
          <w:tcPr>
            <w:tcW w:w="1401" w:type="dxa"/>
          </w:tcPr>
          <w:p w:rsidR="0046067E" w:rsidRPr="00817170" w:rsidRDefault="0046067E" w:rsidP="005F60C6">
            <w:pPr>
              <w:pStyle w:val="BDTSeparator"/>
              <w:rPr>
                <w:rFonts w:ascii="Verdana" w:hAnsi="Verdana"/>
                <w:sz w:val="19"/>
                <w:szCs w:val="19"/>
              </w:rPr>
            </w:pPr>
          </w:p>
        </w:tc>
        <w:tc>
          <w:tcPr>
            <w:tcW w:w="3952" w:type="dxa"/>
            <w:gridSpan w:val="2"/>
          </w:tcPr>
          <w:p w:rsidR="0046067E" w:rsidRPr="00817170" w:rsidRDefault="0046067E" w:rsidP="005F60C6">
            <w:pPr>
              <w:pStyle w:val="BDTSeparator"/>
              <w:rPr>
                <w:rFonts w:ascii="Verdana" w:hAnsi="Verdana"/>
                <w:sz w:val="19"/>
                <w:szCs w:val="19"/>
              </w:rPr>
            </w:pPr>
          </w:p>
        </w:tc>
        <w:tc>
          <w:tcPr>
            <w:tcW w:w="4536" w:type="dxa"/>
          </w:tcPr>
          <w:p w:rsidR="0046067E" w:rsidRPr="00817170" w:rsidRDefault="0046067E" w:rsidP="005F60C6">
            <w:pPr>
              <w:pStyle w:val="BDTSeparator"/>
              <w:rPr>
                <w:rFonts w:ascii="Verdana" w:hAnsi="Verdana"/>
                <w:sz w:val="19"/>
                <w:szCs w:val="19"/>
              </w:rPr>
            </w:pPr>
          </w:p>
        </w:tc>
      </w:tr>
      <w:tr w:rsidR="0046067E" w:rsidTr="005F60C6">
        <w:trPr>
          <w:jc w:val="center"/>
        </w:trPr>
        <w:tc>
          <w:tcPr>
            <w:tcW w:w="1401" w:type="dxa"/>
          </w:tcPr>
          <w:p w:rsidR="0046067E" w:rsidRPr="00817170" w:rsidRDefault="0046067E" w:rsidP="005F60C6">
            <w:pPr>
              <w:pStyle w:val="BDTContact"/>
              <w:rPr>
                <w:rFonts w:ascii="Verdana" w:hAnsi="Verdana"/>
                <w:sz w:val="19"/>
                <w:szCs w:val="19"/>
              </w:rPr>
            </w:pPr>
            <w:r>
              <w:rPr>
                <w:rFonts w:ascii="Verdana" w:hAnsi="Verdana"/>
                <w:sz w:val="19"/>
                <w:szCs w:val="19"/>
              </w:rPr>
              <w:t xml:space="preserve"> </w:t>
            </w:r>
          </w:p>
        </w:tc>
        <w:tc>
          <w:tcPr>
            <w:tcW w:w="3668" w:type="dxa"/>
          </w:tcPr>
          <w:p w:rsidR="0046067E" w:rsidRPr="00817170" w:rsidRDefault="0046067E" w:rsidP="005F60C6">
            <w:pPr>
              <w:pStyle w:val="BDTContact-Details"/>
              <w:rPr>
                <w:rFonts w:ascii="Verdana" w:hAnsi="Verdana"/>
                <w:sz w:val="19"/>
                <w:szCs w:val="19"/>
              </w:rPr>
            </w:pPr>
          </w:p>
        </w:tc>
        <w:tc>
          <w:tcPr>
            <w:tcW w:w="284" w:type="dxa"/>
          </w:tcPr>
          <w:p w:rsidR="0046067E" w:rsidRPr="00817170" w:rsidRDefault="0046067E" w:rsidP="005F60C6">
            <w:pPr>
              <w:pStyle w:val="BDTContact-Details"/>
              <w:rPr>
                <w:rFonts w:ascii="Verdana" w:hAnsi="Verdana"/>
                <w:sz w:val="19"/>
                <w:szCs w:val="19"/>
              </w:rPr>
            </w:pPr>
          </w:p>
        </w:tc>
        <w:tc>
          <w:tcPr>
            <w:tcW w:w="4536" w:type="dxa"/>
            <w:vMerge w:val="restart"/>
          </w:tcPr>
          <w:p w:rsidR="0046067E" w:rsidRPr="00817170" w:rsidRDefault="0046067E" w:rsidP="005F60C6">
            <w:pPr>
              <w:pStyle w:val="BDTContact-Details"/>
              <w:rPr>
                <w:rFonts w:ascii="Verdana" w:hAnsi="Verdana"/>
                <w:sz w:val="19"/>
                <w:szCs w:val="19"/>
                <w:lang w:val="en-US"/>
              </w:rPr>
            </w:pPr>
            <w:r w:rsidRPr="00817170">
              <w:rPr>
                <w:rFonts w:ascii="Verdana" w:hAnsi="Verdana"/>
                <w:sz w:val="19"/>
                <w:szCs w:val="19"/>
                <w:lang w:val="en-US"/>
              </w:rPr>
              <w:t xml:space="preserve">To: </w:t>
            </w:r>
          </w:p>
          <w:p w:rsidR="0046067E" w:rsidRPr="00270E7D" w:rsidRDefault="0046067E" w:rsidP="005F60C6">
            <w:pPr>
              <w:pStyle w:val="BDTContact-Details"/>
              <w:numPr>
                <w:ilvl w:val="0"/>
                <w:numId w:val="17"/>
              </w:numPr>
              <w:spacing w:before="0" w:after="0"/>
              <w:ind w:left="357" w:hanging="357"/>
              <w:rPr>
                <w:rFonts w:ascii="Verdana" w:hAnsi="Verdana"/>
                <w:sz w:val="19"/>
                <w:szCs w:val="19"/>
                <w:lang w:val="en-US"/>
              </w:rPr>
            </w:pPr>
            <w:r w:rsidRPr="00817170">
              <w:rPr>
                <w:rFonts w:ascii="Verdana" w:hAnsi="Verdana"/>
                <w:sz w:val="19"/>
                <w:szCs w:val="19"/>
                <w:lang w:val="en-US"/>
              </w:rPr>
              <w:t xml:space="preserve">Administrations of </w:t>
            </w:r>
            <w:r w:rsidRPr="00270E7D">
              <w:rPr>
                <w:rFonts w:ascii="Verdana" w:hAnsi="Verdana"/>
                <w:sz w:val="19"/>
                <w:szCs w:val="19"/>
                <w:lang w:val="en-US"/>
              </w:rPr>
              <w:t>ITU Member States</w:t>
            </w:r>
          </w:p>
          <w:p w:rsidR="0046067E" w:rsidRPr="00270E7D" w:rsidRDefault="0046067E" w:rsidP="005F60C6">
            <w:pPr>
              <w:pStyle w:val="BDTDistributionEmdash"/>
              <w:numPr>
                <w:ilvl w:val="0"/>
                <w:numId w:val="17"/>
              </w:numPr>
              <w:spacing w:before="0" w:after="0"/>
              <w:ind w:left="357" w:hanging="357"/>
              <w:rPr>
                <w:rFonts w:ascii="Verdana" w:hAnsi="Verdana"/>
                <w:sz w:val="19"/>
                <w:szCs w:val="19"/>
              </w:rPr>
            </w:pPr>
            <w:r w:rsidRPr="00270E7D">
              <w:rPr>
                <w:rFonts w:ascii="Verdana" w:hAnsi="Verdana"/>
                <w:sz w:val="19"/>
                <w:szCs w:val="19"/>
              </w:rPr>
              <w:t>Observer (Resolution 99)</w:t>
            </w:r>
          </w:p>
          <w:p w:rsidR="005F60C6" w:rsidRPr="00270E7D" w:rsidRDefault="0046067E" w:rsidP="00706BB4">
            <w:pPr>
              <w:pStyle w:val="BDTContact-Details"/>
              <w:numPr>
                <w:ilvl w:val="0"/>
                <w:numId w:val="17"/>
              </w:numPr>
              <w:spacing w:before="0" w:after="0"/>
              <w:ind w:left="357" w:hanging="357"/>
              <w:rPr>
                <w:rFonts w:ascii="Verdana" w:hAnsi="Verdana"/>
                <w:sz w:val="19"/>
                <w:szCs w:val="19"/>
                <w:lang w:val="en-US"/>
              </w:rPr>
            </w:pPr>
            <w:r w:rsidRPr="00270E7D">
              <w:rPr>
                <w:rFonts w:ascii="Verdana" w:hAnsi="Verdana"/>
                <w:sz w:val="19"/>
                <w:szCs w:val="19"/>
                <w:lang w:val="en-US"/>
              </w:rPr>
              <w:t>ITU-D</w:t>
            </w:r>
            <w:r w:rsidR="00706BB4" w:rsidRPr="00270E7D">
              <w:rPr>
                <w:rFonts w:ascii="Verdana" w:hAnsi="Verdana"/>
                <w:sz w:val="19"/>
                <w:szCs w:val="19"/>
                <w:lang w:val="en-US"/>
              </w:rPr>
              <w:t>, ITU-R, ITU-T</w:t>
            </w:r>
            <w:r w:rsidRPr="00270E7D">
              <w:rPr>
                <w:rFonts w:ascii="Verdana" w:hAnsi="Verdana"/>
                <w:sz w:val="19"/>
                <w:szCs w:val="19"/>
                <w:lang w:val="en-US"/>
              </w:rPr>
              <w:t xml:space="preserve"> Sector Members</w:t>
            </w:r>
            <w:r w:rsidR="001473AA">
              <w:rPr>
                <w:rFonts w:ascii="Verdana" w:hAnsi="Verdana"/>
                <w:sz w:val="19"/>
                <w:szCs w:val="19"/>
                <w:lang w:val="en-US"/>
              </w:rPr>
              <w:t xml:space="preserve">, </w:t>
            </w:r>
            <w:r w:rsidR="001473AA" w:rsidRPr="001A1803">
              <w:rPr>
                <w:rFonts w:ascii="Verdana" w:hAnsi="Verdana"/>
                <w:sz w:val="19"/>
                <w:szCs w:val="19"/>
                <w:lang w:val="en-US"/>
              </w:rPr>
              <w:t>Associates, Academia</w:t>
            </w:r>
            <w:r w:rsidR="005F60C6" w:rsidRPr="00270E7D">
              <w:rPr>
                <w:rFonts w:ascii="Verdana" w:hAnsi="Verdana"/>
                <w:sz w:val="19"/>
                <w:szCs w:val="19"/>
                <w:lang w:val="en-US"/>
              </w:rPr>
              <w:t xml:space="preserve"> </w:t>
            </w:r>
          </w:p>
          <w:p w:rsidR="0046067E" w:rsidRPr="005F60C6" w:rsidRDefault="0046067E" w:rsidP="005F60C6">
            <w:pPr>
              <w:pStyle w:val="BDTindentendash"/>
              <w:numPr>
                <w:ilvl w:val="0"/>
                <w:numId w:val="17"/>
              </w:numPr>
              <w:spacing w:before="0" w:after="0"/>
              <w:ind w:left="357" w:hanging="357"/>
              <w:rPr>
                <w:rFonts w:ascii="Verdana" w:hAnsi="Verdana"/>
                <w:sz w:val="19"/>
                <w:szCs w:val="19"/>
                <w:lang w:val="en-US"/>
              </w:rPr>
            </w:pPr>
            <w:r w:rsidRPr="00270E7D">
              <w:rPr>
                <w:rFonts w:ascii="Verdana" w:hAnsi="Verdana"/>
                <w:sz w:val="19"/>
                <w:szCs w:val="19"/>
              </w:rPr>
              <w:t>Chairmen, Vice-Chairmen, Rapporteurs and Vice-Rapporteurs for ITU</w:t>
            </w:r>
            <w:r w:rsidRPr="005F60C6">
              <w:rPr>
                <w:rFonts w:ascii="Verdana" w:hAnsi="Verdana"/>
                <w:sz w:val="19"/>
                <w:szCs w:val="19"/>
              </w:rPr>
              <w:t>-D Study Groups 1 and 2</w:t>
            </w:r>
          </w:p>
          <w:p w:rsidR="0046067E" w:rsidRPr="00817170" w:rsidRDefault="0046067E" w:rsidP="005F60C6">
            <w:pPr>
              <w:pStyle w:val="BDTContact-Details"/>
              <w:numPr>
                <w:ilvl w:val="0"/>
                <w:numId w:val="17"/>
              </w:numPr>
              <w:spacing w:before="0" w:after="0"/>
              <w:ind w:left="357" w:hanging="357"/>
              <w:rPr>
                <w:rFonts w:ascii="Verdana" w:hAnsi="Verdana"/>
                <w:sz w:val="19"/>
                <w:szCs w:val="19"/>
                <w:lang w:val="en-US"/>
              </w:rPr>
            </w:pPr>
            <w:r w:rsidRPr="00817170">
              <w:rPr>
                <w:rFonts w:ascii="Verdana" w:hAnsi="Verdana"/>
                <w:sz w:val="19"/>
                <w:szCs w:val="19"/>
              </w:rPr>
              <w:t>Observers (Regional and International Organizations)</w:t>
            </w:r>
          </w:p>
        </w:tc>
      </w:tr>
      <w:tr w:rsidR="0046067E" w:rsidTr="005F60C6">
        <w:trPr>
          <w:jc w:val="center"/>
        </w:trPr>
        <w:tc>
          <w:tcPr>
            <w:tcW w:w="1401" w:type="dxa"/>
          </w:tcPr>
          <w:p w:rsidR="0046067E" w:rsidRPr="00817170" w:rsidRDefault="0046067E" w:rsidP="005F60C6">
            <w:pPr>
              <w:pStyle w:val="BDTContact"/>
              <w:rPr>
                <w:rFonts w:ascii="Verdana" w:hAnsi="Verdana"/>
                <w:sz w:val="19"/>
                <w:szCs w:val="19"/>
              </w:rPr>
            </w:pPr>
          </w:p>
        </w:tc>
        <w:tc>
          <w:tcPr>
            <w:tcW w:w="3668" w:type="dxa"/>
          </w:tcPr>
          <w:p w:rsidR="0046067E" w:rsidRPr="00817170" w:rsidRDefault="0046067E" w:rsidP="005F60C6">
            <w:pPr>
              <w:pStyle w:val="BDTContact-Details"/>
              <w:rPr>
                <w:rFonts w:ascii="Verdana" w:hAnsi="Verdana"/>
                <w:sz w:val="19"/>
                <w:szCs w:val="19"/>
              </w:rPr>
            </w:pPr>
          </w:p>
        </w:tc>
        <w:tc>
          <w:tcPr>
            <w:tcW w:w="284" w:type="dxa"/>
          </w:tcPr>
          <w:p w:rsidR="0046067E" w:rsidRPr="00817170" w:rsidRDefault="0046067E" w:rsidP="005F60C6">
            <w:pPr>
              <w:pStyle w:val="BDTContact-Details"/>
              <w:rPr>
                <w:rFonts w:ascii="Verdana" w:hAnsi="Verdana"/>
                <w:sz w:val="19"/>
                <w:szCs w:val="19"/>
              </w:rPr>
            </w:pPr>
          </w:p>
        </w:tc>
        <w:tc>
          <w:tcPr>
            <w:tcW w:w="4536" w:type="dxa"/>
            <w:vMerge/>
          </w:tcPr>
          <w:p w:rsidR="0046067E" w:rsidRPr="00817170" w:rsidRDefault="0046067E" w:rsidP="005F60C6">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46067E" w:rsidTr="005F60C6">
        <w:trPr>
          <w:jc w:val="center"/>
        </w:trPr>
        <w:tc>
          <w:tcPr>
            <w:tcW w:w="1401" w:type="dxa"/>
          </w:tcPr>
          <w:p w:rsidR="0046067E" w:rsidRPr="00817170" w:rsidRDefault="0046067E" w:rsidP="005F60C6">
            <w:pPr>
              <w:pStyle w:val="BDTContact"/>
              <w:rPr>
                <w:rFonts w:ascii="Verdana" w:hAnsi="Verdana"/>
                <w:sz w:val="19"/>
                <w:szCs w:val="19"/>
              </w:rPr>
            </w:pPr>
          </w:p>
        </w:tc>
        <w:tc>
          <w:tcPr>
            <w:tcW w:w="3668" w:type="dxa"/>
          </w:tcPr>
          <w:p w:rsidR="0046067E" w:rsidRPr="00817170" w:rsidRDefault="0046067E" w:rsidP="005F60C6">
            <w:pPr>
              <w:pStyle w:val="BDTContact-Details"/>
              <w:rPr>
                <w:rFonts w:ascii="Verdana" w:hAnsi="Verdana"/>
                <w:sz w:val="19"/>
                <w:szCs w:val="19"/>
              </w:rPr>
            </w:pPr>
          </w:p>
        </w:tc>
        <w:tc>
          <w:tcPr>
            <w:tcW w:w="284" w:type="dxa"/>
          </w:tcPr>
          <w:p w:rsidR="0046067E" w:rsidRPr="00817170" w:rsidRDefault="0046067E" w:rsidP="005F60C6">
            <w:pPr>
              <w:pStyle w:val="BDTContact-Details"/>
              <w:rPr>
                <w:rFonts w:ascii="Verdana" w:hAnsi="Verdana"/>
                <w:sz w:val="19"/>
                <w:szCs w:val="19"/>
              </w:rPr>
            </w:pPr>
          </w:p>
        </w:tc>
        <w:tc>
          <w:tcPr>
            <w:tcW w:w="4536" w:type="dxa"/>
            <w:vMerge/>
          </w:tcPr>
          <w:p w:rsidR="0046067E" w:rsidRPr="00817170" w:rsidRDefault="0046067E" w:rsidP="005F60C6">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46067E" w:rsidTr="005F60C6">
        <w:trPr>
          <w:jc w:val="center"/>
        </w:trPr>
        <w:tc>
          <w:tcPr>
            <w:tcW w:w="1401" w:type="dxa"/>
          </w:tcPr>
          <w:p w:rsidR="0046067E" w:rsidRPr="00817170" w:rsidRDefault="0046067E" w:rsidP="005F60C6">
            <w:pPr>
              <w:pStyle w:val="BDTContact"/>
              <w:rPr>
                <w:rFonts w:ascii="Verdana" w:hAnsi="Verdana"/>
                <w:sz w:val="19"/>
                <w:szCs w:val="19"/>
              </w:rPr>
            </w:pPr>
          </w:p>
        </w:tc>
        <w:tc>
          <w:tcPr>
            <w:tcW w:w="3668" w:type="dxa"/>
          </w:tcPr>
          <w:p w:rsidR="0046067E" w:rsidRPr="00817170" w:rsidRDefault="0046067E" w:rsidP="005F60C6">
            <w:pPr>
              <w:pStyle w:val="BDTContact-Details"/>
              <w:rPr>
                <w:rFonts w:ascii="Verdana" w:hAnsi="Verdana"/>
                <w:sz w:val="19"/>
                <w:szCs w:val="19"/>
              </w:rPr>
            </w:pPr>
          </w:p>
        </w:tc>
        <w:tc>
          <w:tcPr>
            <w:tcW w:w="284" w:type="dxa"/>
          </w:tcPr>
          <w:p w:rsidR="0046067E" w:rsidRPr="00817170" w:rsidRDefault="0046067E" w:rsidP="005F60C6">
            <w:pPr>
              <w:pStyle w:val="BDTContact-Details"/>
              <w:rPr>
                <w:rFonts w:ascii="Verdana" w:hAnsi="Verdana"/>
                <w:sz w:val="19"/>
                <w:szCs w:val="19"/>
              </w:rPr>
            </w:pPr>
          </w:p>
        </w:tc>
        <w:tc>
          <w:tcPr>
            <w:tcW w:w="4536" w:type="dxa"/>
            <w:vMerge/>
          </w:tcPr>
          <w:p w:rsidR="0046067E" w:rsidRPr="00817170" w:rsidRDefault="0046067E" w:rsidP="005F60C6">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46067E" w:rsidTr="005F60C6">
        <w:trPr>
          <w:jc w:val="center"/>
        </w:trPr>
        <w:tc>
          <w:tcPr>
            <w:tcW w:w="9889" w:type="dxa"/>
            <w:gridSpan w:val="4"/>
          </w:tcPr>
          <w:p w:rsidR="0046067E" w:rsidRPr="00817170" w:rsidRDefault="0046067E" w:rsidP="005F60C6">
            <w:pPr>
              <w:pStyle w:val="BDTSeparator"/>
              <w:rPr>
                <w:rFonts w:ascii="Verdana" w:hAnsi="Verdana"/>
                <w:sz w:val="19"/>
                <w:szCs w:val="19"/>
              </w:rPr>
            </w:pPr>
          </w:p>
        </w:tc>
      </w:tr>
      <w:tr w:rsidR="0046067E" w:rsidTr="005F60C6">
        <w:trPr>
          <w:jc w:val="center"/>
        </w:trPr>
        <w:tc>
          <w:tcPr>
            <w:tcW w:w="1401" w:type="dxa"/>
          </w:tcPr>
          <w:p w:rsidR="0046067E" w:rsidRPr="00817170" w:rsidRDefault="0046067E" w:rsidP="005F60C6">
            <w:pPr>
              <w:pStyle w:val="BDTSubject"/>
              <w:rPr>
                <w:rFonts w:ascii="Verdana" w:hAnsi="Verdana"/>
                <w:sz w:val="19"/>
                <w:szCs w:val="19"/>
              </w:rPr>
            </w:pPr>
            <w:r w:rsidRPr="00817170">
              <w:rPr>
                <w:rFonts w:ascii="Verdana" w:hAnsi="Verdana"/>
                <w:sz w:val="19"/>
                <w:szCs w:val="19"/>
              </w:rPr>
              <w:t>Subject:</w:t>
            </w:r>
          </w:p>
        </w:tc>
        <w:tc>
          <w:tcPr>
            <w:tcW w:w="8488" w:type="dxa"/>
            <w:gridSpan w:val="3"/>
            <w:vAlign w:val="center"/>
          </w:tcPr>
          <w:p w:rsidR="0046067E" w:rsidRPr="00817170" w:rsidRDefault="005F60C6" w:rsidP="005F60C6">
            <w:pPr>
              <w:pStyle w:val="BDTSubjectdetail"/>
              <w:spacing w:after="120"/>
              <w:rPr>
                <w:rFonts w:ascii="Verdana" w:hAnsi="Verdana"/>
                <w:sz w:val="19"/>
                <w:szCs w:val="19"/>
              </w:rPr>
            </w:pPr>
            <w:r>
              <w:rPr>
                <w:rFonts w:ascii="Verdana" w:hAnsi="Verdana"/>
                <w:sz w:val="19"/>
                <w:szCs w:val="19"/>
                <w:lang w:val="en-US"/>
              </w:rPr>
              <w:t>Invitation to participate in the work of the Corresponde</w:t>
            </w:r>
            <w:r w:rsidRPr="005F60C6">
              <w:rPr>
                <w:rFonts w:ascii="Verdana" w:hAnsi="Verdana"/>
                <w:sz w:val="19"/>
                <w:szCs w:val="19"/>
                <w:lang w:val="en-US"/>
              </w:rPr>
              <w:t xml:space="preserve">nce Group on the Elaboration of a </w:t>
            </w:r>
            <w:r w:rsidR="004C0804">
              <w:rPr>
                <w:rFonts w:ascii="Verdana" w:hAnsi="Verdana"/>
                <w:sz w:val="19"/>
                <w:szCs w:val="19"/>
                <w:lang w:val="en-US"/>
              </w:rPr>
              <w:t>Working Definition of the Term “ICT”</w:t>
            </w:r>
          </w:p>
        </w:tc>
      </w:tr>
      <w:tr w:rsidR="0046067E" w:rsidTr="005F60C6">
        <w:trPr>
          <w:jc w:val="center"/>
        </w:trPr>
        <w:tc>
          <w:tcPr>
            <w:tcW w:w="9889" w:type="dxa"/>
            <w:gridSpan w:val="4"/>
          </w:tcPr>
          <w:p w:rsidR="0046067E" w:rsidRPr="00AC784D" w:rsidRDefault="0046067E" w:rsidP="005F60C6">
            <w:pPr>
              <w:pStyle w:val="CEONormal"/>
              <w:spacing w:before="240"/>
              <w:rPr>
                <w:szCs w:val="19"/>
              </w:rPr>
            </w:pPr>
            <w:r w:rsidRPr="00706BB4">
              <w:rPr>
                <w:szCs w:val="19"/>
              </w:rPr>
              <w:t>Dear Sir/</w:t>
            </w:r>
            <w:r w:rsidRPr="00AC784D">
              <w:rPr>
                <w:szCs w:val="19"/>
              </w:rPr>
              <w:t>Madam,</w:t>
            </w:r>
          </w:p>
          <w:p w:rsidR="00086EAC" w:rsidRPr="00AC784D" w:rsidRDefault="00AC784D" w:rsidP="00492BDE">
            <w:pPr>
              <w:rPr>
                <w:rFonts w:ascii="Verdana" w:hAnsi="Verdana"/>
                <w:sz w:val="19"/>
                <w:szCs w:val="19"/>
              </w:rPr>
            </w:pPr>
            <w:r w:rsidRPr="00AC784D">
              <w:rPr>
                <w:rFonts w:ascii="Verdana" w:hAnsi="Verdana"/>
                <w:sz w:val="19"/>
                <w:szCs w:val="19"/>
              </w:rPr>
              <w:t xml:space="preserve">In keeping with the decision of ITU Council 2011 and the recommendations of the </w:t>
            </w:r>
            <w:r>
              <w:rPr>
                <w:rFonts w:ascii="Verdana" w:eastAsia="SimHei" w:hAnsi="Verdana" w:cs="Simplified Arabic"/>
                <w:sz w:val="19"/>
                <w:szCs w:val="19"/>
                <w:lang w:val="en-GB"/>
              </w:rPr>
              <w:t>2012 m</w:t>
            </w:r>
            <w:r w:rsidRPr="00AC784D">
              <w:rPr>
                <w:rFonts w:ascii="Verdana" w:eastAsia="SimHei" w:hAnsi="Verdana" w:cs="Simplified Arabic"/>
                <w:sz w:val="19"/>
                <w:szCs w:val="19"/>
                <w:lang w:val="en-GB"/>
              </w:rPr>
              <w:t>eeting of the Telecommunication Development Advisory Group (TDAG)</w:t>
            </w:r>
            <w:r>
              <w:rPr>
                <w:rFonts w:ascii="Verdana" w:eastAsia="SimHei" w:hAnsi="Verdana" w:cs="Simplified Arabic"/>
                <w:sz w:val="19"/>
                <w:szCs w:val="19"/>
                <w:lang w:val="en-GB"/>
              </w:rPr>
              <w:t xml:space="preserve">, </w:t>
            </w:r>
            <w:r w:rsidRPr="00AC784D">
              <w:rPr>
                <w:rFonts w:ascii="Verdana" w:hAnsi="Verdana"/>
                <w:bCs/>
                <w:sz w:val="19"/>
                <w:szCs w:val="19"/>
              </w:rPr>
              <w:t xml:space="preserve">a Correspondence </w:t>
            </w:r>
            <w:r w:rsidRPr="00AC784D">
              <w:rPr>
                <w:rFonts w:ascii="Verdana" w:eastAsia="Times New Roman" w:hAnsi="Verdana"/>
                <w:bCs/>
                <w:sz w:val="19"/>
                <w:szCs w:val="19"/>
                <w:lang w:eastAsia="zh-Hans"/>
              </w:rPr>
              <w:t>Group for the e</w:t>
            </w:r>
            <w:r w:rsidRPr="00AC784D">
              <w:rPr>
                <w:rFonts w:ascii="Verdana" w:hAnsi="Verdana"/>
                <w:bCs/>
                <w:color w:val="000000"/>
                <w:sz w:val="19"/>
                <w:szCs w:val="19"/>
              </w:rPr>
              <w:t xml:space="preserve">laboration of a working definition of the term “ICT” was </w:t>
            </w:r>
            <w:r>
              <w:rPr>
                <w:rFonts w:ascii="Verdana" w:hAnsi="Verdana"/>
                <w:bCs/>
                <w:color w:val="000000"/>
                <w:sz w:val="19"/>
                <w:szCs w:val="19"/>
              </w:rPr>
              <w:t>establish</w:t>
            </w:r>
            <w:r w:rsidR="00492BDE">
              <w:rPr>
                <w:rFonts w:ascii="Verdana" w:hAnsi="Verdana"/>
                <w:bCs/>
                <w:color w:val="000000"/>
                <w:sz w:val="19"/>
                <w:szCs w:val="19"/>
              </w:rPr>
              <w:t>ed</w:t>
            </w:r>
            <w:r>
              <w:rPr>
                <w:rFonts w:ascii="Verdana" w:hAnsi="Verdana"/>
                <w:bCs/>
                <w:color w:val="000000"/>
                <w:sz w:val="19"/>
                <w:szCs w:val="19"/>
              </w:rPr>
              <w:t xml:space="preserve"> under </w:t>
            </w:r>
            <w:r w:rsidR="00086EAC" w:rsidRPr="00AC784D">
              <w:rPr>
                <w:rFonts w:ascii="Verdana" w:hAnsi="Verdana"/>
                <w:sz w:val="19"/>
                <w:szCs w:val="19"/>
              </w:rPr>
              <w:t>ITU-D Study Group 1</w:t>
            </w:r>
            <w:r>
              <w:rPr>
                <w:rFonts w:ascii="Verdana" w:hAnsi="Verdana"/>
                <w:sz w:val="19"/>
                <w:szCs w:val="19"/>
              </w:rPr>
              <w:t xml:space="preserve">. </w:t>
            </w:r>
            <w:r w:rsidR="00086EAC" w:rsidRPr="00AC784D">
              <w:rPr>
                <w:rFonts w:ascii="Verdana" w:hAnsi="Verdana"/>
                <w:sz w:val="19"/>
                <w:szCs w:val="19"/>
              </w:rPr>
              <w:t xml:space="preserve"> In this regard I am pleased to invite you to participate a</w:t>
            </w:r>
            <w:r w:rsidR="00706BB4" w:rsidRPr="00AC784D">
              <w:rPr>
                <w:rFonts w:ascii="Verdana" w:hAnsi="Verdana"/>
                <w:sz w:val="19"/>
                <w:szCs w:val="19"/>
              </w:rPr>
              <w:t>nd contribute to the work of this</w:t>
            </w:r>
            <w:r w:rsidR="00086EAC" w:rsidRPr="00AC784D">
              <w:rPr>
                <w:rFonts w:ascii="Verdana" w:hAnsi="Verdana"/>
                <w:sz w:val="19"/>
                <w:szCs w:val="19"/>
              </w:rPr>
              <w:t xml:space="preserve"> Group.</w:t>
            </w:r>
          </w:p>
          <w:p w:rsidR="00AC784D" w:rsidRPr="00706BB4" w:rsidRDefault="00AC784D" w:rsidP="00AF4596">
            <w:pPr>
              <w:pStyle w:val="CEONormal"/>
              <w:rPr>
                <w:szCs w:val="19"/>
              </w:rPr>
            </w:pPr>
            <w:r w:rsidRPr="00706BB4">
              <w:rPr>
                <w:szCs w:val="19"/>
                <w:lang w:val="en-US"/>
              </w:rPr>
              <w:t xml:space="preserve">Participation in </w:t>
            </w:r>
            <w:r w:rsidRPr="001A1803">
              <w:rPr>
                <w:szCs w:val="19"/>
                <w:lang w:val="en-US"/>
              </w:rPr>
              <w:t xml:space="preserve">the Group is </w:t>
            </w:r>
            <w:r w:rsidRPr="001A1803">
              <w:rPr>
                <w:szCs w:val="19"/>
              </w:rPr>
              <w:t xml:space="preserve">open to </w:t>
            </w:r>
            <w:r>
              <w:rPr>
                <w:szCs w:val="19"/>
              </w:rPr>
              <w:t>the whole ITU membership</w:t>
            </w:r>
            <w:r w:rsidRPr="00706BB4">
              <w:rPr>
                <w:szCs w:val="19"/>
              </w:rPr>
              <w:t xml:space="preserve">. The Group </w:t>
            </w:r>
            <w:r>
              <w:rPr>
                <w:szCs w:val="19"/>
              </w:rPr>
              <w:t>should</w:t>
            </w:r>
            <w:r w:rsidRPr="00706BB4">
              <w:rPr>
                <w:szCs w:val="19"/>
              </w:rPr>
              <w:t xml:space="preserve"> submit </w:t>
            </w:r>
            <w:r w:rsidR="00AF4596">
              <w:rPr>
                <w:szCs w:val="19"/>
              </w:rPr>
              <w:t>its</w:t>
            </w:r>
            <w:r w:rsidRPr="00706BB4">
              <w:rPr>
                <w:szCs w:val="19"/>
              </w:rPr>
              <w:t xml:space="preserve"> report to the </w:t>
            </w:r>
            <w:r w:rsidR="00AF4596">
              <w:rPr>
                <w:szCs w:val="19"/>
              </w:rPr>
              <w:t xml:space="preserve">next </w:t>
            </w:r>
            <w:r w:rsidRPr="00706BB4">
              <w:rPr>
                <w:szCs w:val="19"/>
              </w:rPr>
              <w:t xml:space="preserve">ITU-D Study Group 1 and 2 meetings in September 2013 </w:t>
            </w:r>
            <w:r>
              <w:rPr>
                <w:szCs w:val="19"/>
              </w:rPr>
              <w:t xml:space="preserve">and </w:t>
            </w:r>
            <w:r w:rsidRPr="00706BB4">
              <w:rPr>
                <w:szCs w:val="19"/>
              </w:rPr>
              <w:t xml:space="preserve">to </w:t>
            </w:r>
            <w:r w:rsidR="00AF4596">
              <w:rPr>
                <w:szCs w:val="19"/>
              </w:rPr>
              <w:t xml:space="preserve">the </w:t>
            </w:r>
            <w:r>
              <w:rPr>
                <w:szCs w:val="19"/>
              </w:rPr>
              <w:t>TDAG meeting i</w:t>
            </w:r>
            <w:r w:rsidRPr="00706BB4">
              <w:rPr>
                <w:szCs w:val="19"/>
              </w:rPr>
              <w:t>n December 2013.</w:t>
            </w:r>
            <w:r>
              <w:rPr>
                <w:szCs w:val="19"/>
              </w:rPr>
              <w:t xml:space="preserve"> Finally, the Group will present its report </w:t>
            </w:r>
            <w:r w:rsidRPr="00706BB4">
              <w:rPr>
                <w:szCs w:val="19"/>
              </w:rPr>
              <w:t xml:space="preserve">to </w:t>
            </w:r>
            <w:r>
              <w:rPr>
                <w:szCs w:val="19"/>
              </w:rPr>
              <w:t xml:space="preserve">ITU </w:t>
            </w:r>
            <w:r w:rsidRPr="00706BB4">
              <w:rPr>
                <w:szCs w:val="19"/>
              </w:rPr>
              <w:t>Council in 2014</w:t>
            </w:r>
            <w:r>
              <w:rPr>
                <w:szCs w:val="19"/>
              </w:rPr>
              <w:t>.</w:t>
            </w:r>
          </w:p>
          <w:p w:rsidR="00AC784D" w:rsidRPr="00706BB4" w:rsidRDefault="00AC784D" w:rsidP="00AC784D">
            <w:pPr>
              <w:pStyle w:val="CEONormal"/>
              <w:rPr>
                <w:szCs w:val="19"/>
                <w:lang w:val="en-US"/>
              </w:rPr>
            </w:pPr>
            <w:r w:rsidRPr="00706BB4">
              <w:rPr>
                <w:bCs/>
                <w:szCs w:val="19"/>
              </w:rPr>
              <w:t xml:space="preserve">Members who are interested in participating in the </w:t>
            </w:r>
            <w:r>
              <w:rPr>
                <w:rFonts w:eastAsia="Times New Roman"/>
                <w:bCs/>
                <w:szCs w:val="19"/>
                <w:lang w:eastAsia="zh-Hans"/>
              </w:rPr>
              <w:t>Group</w:t>
            </w:r>
            <w:r w:rsidRPr="00706BB4">
              <w:rPr>
                <w:rFonts w:eastAsia="Times New Roman"/>
                <w:bCs/>
                <w:szCs w:val="19"/>
                <w:lang w:eastAsia="zh-Hans"/>
              </w:rPr>
              <w:t xml:space="preserve">, are invited to contact the ITU-D Study Groups Secretariat, </w:t>
            </w:r>
            <w:r w:rsidRPr="00706BB4">
              <w:rPr>
                <w:szCs w:val="19"/>
                <w:lang w:val="en-US"/>
              </w:rPr>
              <w:t>Tel.: +41 22</w:t>
            </w:r>
            <w:r w:rsidR="00AF4596">
              <w:rPr>
                <w:szCs w:val="19"/>
                <w:lang w:val="en-US"/>
              </w:rPr>
              <w:t xml:space="preserve"> 7305999, Fax: +41 22 7305484, E</w:t>
            </w:r>
            <w:r w:rsidRPr="00706BB4">
              <w:rPr>
                <w:szCs w:val="19"/>
                <w:lang w:val="en-US"/>
              </w:rPr>
              <w:t xml:space="preserve">-mail address: </w:t>
            </w:r>
            <w:hyperlink r:id="rId10" w:history="1">
              <w:r w:rsidRPr="00706BB4">
                <w:rPr>
                  <w:rStyle w:val="Hyperlink"/>
                  <w:rFonts w:cs="Traditional Arabic"/>
                  <w:szCs w:val="19"/>
                  <w:lang w:val="en-US"/>
                </w:rPr>
                <w:t>devsg@itu.int</w:t>
              </w:r>
            </w:hyperlink>
            <w:r w:rsidRPr="00F00CB2">
              <w:rPr>
                <w:rStyle w:val="Hyperlink"/>
                <w:rFonts w:cs="Traditional Arabic"/>
                <w:color w:val="auto"/>
                <w:szCs w:val="19"/>
                <w:u w:val="none"/>
                <w:lang w:val="en-US"/>
              </w:rPr>
              <w:t>.</w:t>
            </w:r>
          </w:p>
          <w:p w:rsidR="00086EAC" w:rsidRPr="00706BB4" w:rsidRDefault="00AC784D" w:rsidP="00AC784D">
            <w:pPr>
              <w:pStyle w:val="CEOcontributionStart"/>
              <w:spacing w:before="120"/>
              <w:rPr>
                <w:lang w:val="en-US"/>
              </w:rPr>
            </w:pPr>
            <w:r>
              <w:rPr>
                <w:lang w:val="en-US"/>
              </w:rPr>
              <w:t xml:space="preserve">Terms of reference for the Group, timeline and background information </w:t>
            </w:r>
            <w:r w:rsidR="00086EAC" w:rsidRPr="00706BB4">
              <w:rPr>
                <w:lang w:val="en-US"/>
              </w:rPr>
              <w:t xml:space="preserve">to support its work can be found in </w:t>
            </w:r>
            <w:r w:rsidR="00086EAC" w:rsidRPr="00706BB4">
              <w:rPr>
                <w:b/>
                <w:bCs/>
                <w:lang w:val="en-US"/>
              </w:rPr>
              <w:t>Anne</w:t>
            </w:r>
            <w:r w:rsidR="00187C61" w:rsidRPr="00706BB4">
              <w:rPr>
                <w:b/>
                <w:bCs/>
                <w:lang w:val="en-US"/>
              </w:rPr>
              <w:t>xes 1 and 2</w:t>
            </w:r>
            <w:r w:rsidR="00187C61" w:rsidRPr="00706BB4">
              <w:rPr>
                <w:lang w:val="en-US"/>
              </w:rPr>
              <w:t>.</w:t>
            </w:r>
            <w:r w:rsidR="00187C61" w:rsidRPr="00706BB4">
              <w:rPr>
                <w:b/>
                <w:bCs/>
                <w:lang w:val="en-US"/>
              </w:rPr>
              <w:t xml:space="preserve"> </w:t>
            </w:r>
            <w:r>
              <w:rPr>
                <w:bCs/>
              </w:rPr>
              <w:t>A</w:t>
            </w:r>
            <w:r w:rsidR="00187C61" w:rsidRPr="00706BB4">
              <w:rPr>
                <w:bCs/>
              </w:rPr>
              <w:t xml:space="preserve"> </w:t>
            </w:r>
            <w:hyperlink r:id="rId11" w:history="1">
              <w:r w:rsidR="00187C61" w:rsidRPr="00706BB4">
                <w:rPr>
                  <w:rStyle w:val="Hyperlink"/>
                  <w:bCs/>
                </w:rPr>
                <w:t>dedicated website</w:t>
              </w:r>
            </w:hyperlink>
            <w:r w:rsidR="00187C61" w:rsidRPr="00706BB4">
              <w:rPr>
                <w:bCs/>
              </w:rPr>
              <w:t xml:space="preserve"> has </w:t>
            </w:r>
            <w:r>
              <w:rPr>
                <w:bCs/>
              </w:rPr>
              <w:t xml:space="preserve">been set up and </w:t>
            </w:r>
            <w:r w:rsidR="00187C61" w:rsidRPr="00706BB4">
              <w:rPr>
                <w:bCs/>
              </w:rPr>
              <w:t xml:space="preserve">e-mail reflector/mailing list </w:t>
            </w:r>
            <w:r w:rsidR="00706BB4">
              <w:rPr>
                <w:bCs/>
              </w:rPr>
              <w:t>(</w:t>
            </w:r>
            <w:hyperlink r:id="rId12" w:history="1">
              <w:r w:rsidR="00706BB4" w:rsidRPr="00706BB4">
                <w:rPr>
                  <w:rStyle w:val="Hyperlink"/>
                  <w:rFonts w:cs="Simplified Arabic"/>
                  <w:bCs/>
                  <w:lang w:val="en-US"/>
                </w:rPr>
                <w:t>cg-def-ict@itu.int</w:t>
              </w:r>
            </w:hyperlink>
            <w:r w:rsidR="00706BB4">
              <w:rPr>
                <w:bCs/>
              </w:rPr>
              <w:t xml:space="preserve">) </w:t>
            </w:r>
            <w:r>
              <w:rPr>
                <w:bCs/>
              </w:rPr>
              <w:t xml:space="preserve">has been created to support the work of the Correspondence </w:t>
            </w:r>
            <w:r w:rsidR="00187C61" w:rsidRPr="00706BB4">
              <w:rPr>
                <w:bCs/>
              </w:rPr>
              <w:t>Group.</w:t>
            </w:r>
            <w:r w:rsidR="00086EAC" w:rsidRPr="00706BB4">
              <w:rPr>
                <w:lang w:val="en-US"/>
              </w:rPr>
              <w:t xml:space="preserve"> </w:t>
            </w:r>
          </w:p>
          <w:p w:rsidR="0046067E" w:rsidRPr="00706BB4" w:rsidRDefault="0046067E" w:rsidP="00086EAC">
            <w:pPr>
              <w:spacing w:after="200" w:line="276" w:lineRule="auto"/>
              <w:rPr>
                <w:rFonts w:ascii="Verdana" w:hAnsi="Verdana"/>
                <w:sz w:val="19"/>
                <w:szCs w:val="19"/>
              </w:rPr>
            </w:pPr>
            <w:r w:rsidRPr="00706BB4">
              <w:rPr>
                <w:rFonts w:ascii="Verdana" w:hAnsi="Verdana"/>
                <w:sz w:val="19"/>
                <w:szCs w:val="19"/>
              </w:rPr>
              <w:br w:type="page"/>
              <w:t>I look forward to your active particip</w:t>
            </w:r>
            <w:r w:rsidR="00086EAC" w:rsidRPr="00706BB4">
              <w:rPr>
                <w:rFonts w:ascii="Verdana" w:hAnsi="Verdana"/>
                <w:sz w:val="19"/>
                <w:szCs w:val="19"/>
              </w:rPr>
              <w:t>ation in the</w:t>
            </w:r>
            <w:r w:rsidRPr="00706BB4">
              <w:rPr>
                <w:rFonts w:ascii="Verdana" w:hAnsi="Verdana"/>
                <w:sz w:val="19"/>
                <w:szCs w:val="19"/>
              </w:rPr>
              <w:t xml:space="preserve"> work </w:t>
            </w:r>
            <w:r w:rsidR="00086EAC" w:rsidRPr="00706BB4">
              <w:rPr>
                <w:rFonts w:ascii="Verdana" w:hAnsi="Verdana"/>
                <w:sz w:val="19"/>
                <w:szCs w:val="19"/>
              </w:rPr>
              <w:t>ahead for the elaboration of a working definition of the term “ICT”</w:t>
            </w:r>
            <w:r w:rsidRPr="00706BB4">
              <w:rPr>
                <w:rFonts w:ascii="Verdana" w:hAnsi="Verdana"/>
                <w:sz w:val="19"/>
                <w:szCs w:val="19"/>
              </w:rPr>
              <w:t>.</w:t>
            </w:r>
          </w:p>
          <w:p w:rsidR="0046067E" w:rsidRDefault="0046067E" w:rsidP="005F60C6">
            <w:pPr>
              <w:pStyle w:val="BDTClosing"/>
              <w:spacing w:before="240" w:after="120"/>
              <w:rPr>
                <w:rFonts w:ascii="Verdana" w:hAnsi="Verdana"/>
                <w:sz w:val="19"/>
                <w:szCs w:val="19"/>
              </w:rPr>
            </w:pPr>
            <w:r w:rsidRPr="00706BB4">
              <w:rPr>
                <w:rFonts w:ascii="Verdana" w:hAnsi="Verdana"/>
                <w:sz w:val="19"/>
                <w:szCs w:val="19"/>
              </w:rPr>
              <w:fldChar w:fldCharType="begin"/>
            </w:r>
            <w:r w:rsidRPr="00706BB4">
              <w:rPr>
                <w:rFonts w:ascii="Verdana" w:hAnsi="Verdana"/>
                <w:sz w:val="19"/>
                <w:szCs w:val="19"/>
              </w:rPr>
              <w:instrText xml:space="preserve"> MERGEFIELD FormuleDePolitesse_Closing </w:instrText>
            </w:r>
            <w:r w:rsidRPr="00706BB4">
              <w:rPr>
                <w:rFonts w:ascii="Verdana" w:hAnsi="Verdana"/>
                <w:sz w:val="19"/>
                <w:szCs w:val="19"/>
              </w:rPr>
              <w:fldChar w:fldCharType="separate"/>
            </w:r>
            <w:r w:rsidRPr="00706BB4">
              <w:rPr>
                <w:rFonts w:ascii="Verdana" w:hAnsi="Verdana"/>
                <w:sz w:val="19"/>
                <w:szCs w:val="19"/>
              </w:rPr>
              <w:t>Yours sincerely,</w:t>
            </w:r>
            <w:r w:rsidRPr="00706BB4">
              <w:rPr>
                <w:rFonts w:ascii="Verdana" w:hAnsi="Verdana"/>
                <w:sz w:val="19"/>
                <w:szCs w:val="19"/>
              </w:rPr>
              <w:fldChar w:fldCharType="end"/>
            </w:r>
          </w:p>
          <w:p w:rsidR="00671F3B" w:rsidRPr="00671F3B" w:rsidRDefault="008D5B7D" w:rsidP="008D5B7D">
            <w:pPr>
              <w:pStyle w:val="BDTVisa"/>
              <w:spacing w:after="360"/>
              <w:ind w:left="992" w:hanging="992"/>
              <w:rPr>
                <w:lang w:val="en-US" w:eastAsia="zh-CN"/>
              </w:rPr>
            </w:pPr>
            <w:r>
              <w:rPr>
                <w:lang w:val="en-US" w:eastAsia="zh-CN"/>
              </w:rPr>
              <w:t>[Original signed]</w:t>
            </w:r>
          </w:p>
          <w:p w:rsidR="0046067E" w:rsidRPr="00706BB4" w:rsidRDefault="0046067E" w:rsidP="005F60C6">
            <w:pPr>
              <w:pStyle w:val="BDTSignatureName"/>
              <w:spacing w:before="120"/>
              <w:rPr>
                <w:rFonts w:ascii="Verdana" w:hAnsi="Verdana"/>
                <w:sz w:val="19"/>
              </w:rPr>
            </w:pPr>
            <w:r w:rsidRPr="00706BB4">
              <w:rPr>
                <w:rFonts w:ascii="Verdana" w:hAnsi="Verdana"/>
                <w:sz w:val="19"/>
              </w:rPr>
              <w:t>Brahima Sanou</w:t>
            </w:r>
          </w:p>
          <w:p w:rsidR="00437161" w:rsidRDefault="0046067E" w:rsidP="00671F3B">
            <w:pPr>
              <w:pStyle w:val="BDTSignatureTitle"/>
              <w:rPr>
                <w:rFonts w:ascii="Verdana" w:hAnsi="Verdana"/>
                <w:sz w:val="19"/>
                <w:szCs w:val="19"/>
                <w:lang w:val="en-US"/>
              </w:rPr>
            </w:pPr>
            <w:r w:rsidRPr="00706BB4">
              <w:rPr>
                <w:rFonts w:ascii="Verdana" w:hAnsi="Verdana"/>
                <w:sz w:val="19"/>
                <w:szCs w:val="19"/>
                <w:lang w:val="en-US"/>
              </w:rPr>
              <w:t>Director</w:t>
            </w:r>
          </w:p>
          <w:p w:rsidR="00C35B9B" w:rsidRPr="00C35B9B" w:rsidRDefault="00C35B9B" w:rsidP="00C35B9B">
            <w:pPr>
              <w:pStyle w:val="BDTVisa"/>
              <w:rPr>
                <w:lang w:val="en-US"/>
              </w:rPr>
            </w:pPr>
            <w:bookmarkStart w:id="0" w:name="_GoBack"/>
            <w:bookmarkEnd w:id="0"/>
          </w:p>
        </w:tc>
      </w:tr>
      <w:tr w:rsidR="00187C61" w:rsidTr="005F60C6">
        <w:trPr>
          <w:jc w:val="center"/>
        </w:trPr>
        <w:tc>
          <w:tcPr>
            <w:tcW w:w="9889" w:type="dxa"/>
            <w:gridSpan w:val="4"/>
          </w:tcPr>
          <w:p w:rsidR="00187C61" w:rsidRPr="00187C61" w:rsidRDefault="00187C61" w:rsidP="00F7148B">
            <w:pPr>
              <w:pStyle w:val="NormalWeb"/>
              <w:spacing w:before="120" w:after="120" w:line="240" w:lineRule="atLeast"/>
              <w:rPr>
                <w:b/>
                <w:bCs/>
                <w:lang w:val="en-GB"/>
              </w:rPr>
            </w:pPr>
          </w:p>
        </w:tc>
      </w:tr>
    </w:tbl>
    <w:p w:rsidR="001D5D6F" w:rsidRDefault="001D5D6F">
      <w:pPr>
        <w:sectPr w:rsidR="001D5D6F" w:rsidSect="00563963">
          <w:headerReference w:type="even" r:id="rId13"/>
          <w:headerReference w:type="default" r:id="rId14"/>
          <w:headerReference w:type="first" r:id="rId15"/>
          <w:footerReference w:type="first" r:id="rId16"/>
          <w:pgSz w:w="11907" w:h="16834" w:code="9"/>
          <w:pgMar w:top="1134" w:right="1134" w:bottom="1134" w:left="1134" w:header="567" w:footer="567" w:gutter="0"/>
          <w:paperSrc w:first="4" w:other="4"/>
          <w:cols w:space="720"/>
          <w:titlePg/>
        </w:sectPr>
      </w:pPr>
    </w:p>
    <w:tbl>
      <w:tblPr>
        <w:tblW w:w="9889" w:type="dxa"/>
        <w:jc w:val="center"/>
        <w:tblLayout w:type="fixed"/>
        <w:tblLook w:val="00A0" w:firstRow="1" w:lastRow="0" w:firstColumn="1" w:lastColumn="0" w:noHBand="0" w:noVBand="0"/>
      </w:tblPr>
      <w:tblGrid>
        <w:gridCol w:w="9889"/>
      </w:tblGrid>
      <w:tr w:rsidR="001D5D6F" w:rsidRPr="00187C61" w:rsidTr="0068297C">
        <w:trPr>
          <w:jc w:val="center"/>
        </w:trPr>
        <w:tc>
          <w:tcPr>
            <w:tcW w:w="9889" w:type="dxa"/>
          </w:tcPr>
          <w:p w:rsidR="001D5D6F" w:rsidRDefault="001D5D6F" w:rsidP="0068297C">
            <w:pPr>
              <w:pStyle w:val="CEONormal"/>
              <w:spacing w:before="240"/>
              <w:rPr>
                <w:b/>
                <w:bCs/>
                <w:lang w:val="en-US"/>
              </w:rPr>
            </w:pPr>
            <w:r w:rsidRPr="00DC1720">
              <w:rPr>
                <w:b/>
                <w:bCs/>
                <w:u w:val="single"/>
                <w:lang w:val="en-US"/>
              </w:rPr>
              <w:lastRenderedPageBreak/>
              <w:t>Annex 1</w:t>
            </w:r>
            <w:r w:rsidRPr="002D09B9">
              <w:rPr>
                <w:b/>
                <w:bCs/>
                <w:lang w:val="en-US"/>
              </w:rPr>
              <w:t xml:space="preserve"> </w:t>
            </w:r>
            <w:r w:rsidRPr="002D09B9">
              <w:rPr>
                <w:b/>
                <w:bCs/>
                <w:lang w:val="en-US"/>
              </w:rPr>
              <w:sym w:font="Symbol" w:char="F02D"/>
            </w:r>
            <w:r w:rsidRPr="002D09B9">
              <w:rPr>
                <w:b/>
                <w:bCs/>
                <w:lang w:val="en-US"/>
              </w:rPr>
              <w:t xml:space="preserve"> </w:t>
            </w:r>
            <w:r w:rsidRPr="00187C61">
              <w:rPr>
                <w:b/>
                <w:bCs/>
                <w:lang w:val="en-US"/>
              </w:rPr>
              <w:t>Background Information</w:t>
            </w:r>
            <w:r w:rsidRPr="00187C61">
              <w:rPr>
                <w:b/>
                <w:bCs/>
              </w:rPr>
              <w:t xml:space="preserve"> </w:t>
            </w:r>
            <w:r>
              <w:rPr>
                <w:b/>
                <w:bCs/>
              </w:rPr>
              <w:t>on the E</w:t>
            </w:r>
            <w:r w:rsidRPr="00187C61">
              <w:rPr>
                <w:b/>
                <w:bCs/>
              </w:rPr>
              <w:t xml:space="preserve">stablishment of the </w:t>
            </w:r>
            <w:r>
              <w:rPr>
                <w:b/>
                <w:bCs/>
              </w:rPr>
              <w:t xml:space="preserve">new </w:t>
            </w:r>
            <w:r w:rsidRPr="00187C61">
              <w:rPr>
                <w:b/>
                <w:bCs/>
                <w:lang w:val="en-US"/>
              </w:rPr>
              <w:t>Correspondence Group on the Elaboration of a Working Definition of the Term “ICT”</w:t>
            </w:r>
          </w:p>
          <w:p w:rsidR="001D5D6F" w:rsidRDefault="001D5D6F" w:rsidP="0068297C">
            <w:pPr>
              <w:pStyle w:val="CEONormal"/>
              <w:spacing w:before="240"/>
              <w:rPr>
                <w:rFonts w:eastAsia="Times New Roman"/>
                <w:i/>
                <w:iCs/>
                <w:szCs w:val="19"/>
                <w:lang w:eastAsia="zh-Hans"/>
              </w:rPr>
            </w:pPr>
            <w:r w:rsidRPr="00187C61">
              <w:rPr>
                <w:rFonts w:eastAsia="Times New Roman"/>
                <w:szCs w:val="19"/>
                <w:lang w:eastAsia="zh-Hans"/>
              </w:rPr>
              <w:t>The initial invitation to begin th</w:t>
            </w:r>
            <w:r>
              <w:rPr>
                <w:rFonts w:eastAsia="Times New Roman"/>
                <w:szCs w:val="19"/>
                <w:lang w:eastAsia="zh-Hans"/>
              </w:rPr>
              <w:t>e</w:t>
            </w:r>
            <w:r w:rsidRPr="00187C61">
              <w:rPr>
                <w:rFonts w:eastAsia="Times New Roman"/>
                <w:szCs w:val="19"/>
                <w:lang w:eastAsia="zh-Hans"/>
              </w:rPr>
              <w:t xml:space="preserve"> work </w:t>
            </w:r>
            <w:r>
              <w:rPr>
                <w:rFonts w:eastAsia="Times New Roman"/>
                <w:szCs w:val="19"/>
                <w:lang w:eastAsia="zh-Hans"/>
              </w:rPr>
              <w:t>on the elaboration of a w</w:t>
            </w:r>
            <w:r w:rsidRPr="00F00CB2">
              <w:rPr>
                <w:rFonts w:eastAsia="Times New Roman"/>
                <w:szCs w:val="19"/>
                <w:lang w:eastAsia="zh-Hans"/>
              </w:rPr>
              <w:t xml:space="preserve">orking </w:t>
            </w:r>
            <w:r>
              <w:rPr>
                <w:rFonts w:eastAsia="Times New Roman"/>
                <w:szCs w:val="19"/>
                <w:lang w:eastAsia="zh-Hans"/>
              </w:rPr>
              <w:t>d</w:t>
            </w:r>
            <w:r w:rsidRPr="00F00CB2">
              <w:rPr>
                <w:rFonts w:eastAsia="Times New Roman"/>
                <w:szCs w:val="19"/>
                <w:lang w:eastAsia="zh-Hans"/>
              </w:rPr>
              <w:t xml:space="preserve">efinition of the </w:t>
            </w:r>
            <w:r>
              <w:rPr>
                <w:rFonts w:eastAsia="Times New Roman"/>
                <w:szCs w:val="19"/>
                <w:lang w:eastAsia="zh-Hans"/>
              </w:rPr>
              <w:t>t</w:t>
            </w:r>
            <w:r w:rsidRPr="00F00CB2">
              <w:rPr>
                <w:rFonts w:eastAsia="Times New Roman"/>
                <w:szCs w:val="19"/>
                <w:lang w:eastAsia="zh-Hans"/>
              </w:rPr>
              <w:t>erm “ICT”</w:t>
            </w:r>
            <w:r>
              <w:rPr>
                <w:rFonts w:eastAsia="Times New Roman"/>
                <w:szCs w:val="19"/>
                <w:lang w:eastAsia="zh-Hans"/>
              </w:rPr>
              <w:t xml:space="preserve"> </w:t>
            </w:r>
            <w:r w:rsidRPr="00187C61">
              <w:rPr>
                <w:rFonts w:eastAsia="Times New Roman"/>
                <w:szCs w:val="19"/>
                <w:lang w:eastAsia="zh-Hans"/>
              </w:rPr>
              <w:t xml:space="preserve">comes from Plenipotentiary Resolution 140 (Rev. Guadalajara, 2010) which requests </w:t>
            </w:r>
            <w:r>
              <w:rPr>
                <w:rFonts w:eastAsia="Times New Roman"/>
                <w:szCs w:val="19"/>
                <w:lang w:eastAsia="zh-Hans"/>
              </w:rPr>
              <w:t xml:space="preserve">ITU </w:t>
            </w:r>
            <w:r w:rsidRPr="00187C61">
              <w:rPr>
                <w:rFonts w:eastAsia="Times New Roman"/>
                <w:szCs w:val="19"/>
                <w:lang w:eastAsia="zh-Hans"/>
              </w:rPr>
              <w:t xml:space="preserve">Council </w:t>
            </w:r>
            <w:r w:rsidRPr="00187C61">
              <w:rPr>
                <w:rFonts w:eastAsia="Times New Roman"/>
                <w:i/>
                <w:iCs/>
                <w:szCs w:val="19"/>
                <w:lang w:eastAsia="zh-Hans"/>
              </w:rPr>
              <w:t>“to elaborate through the Sector study groups and submit a working definition of the term "ICT" to the Council and working groups of the Council, for possible transmission to the next plenipotentiary conference;”</w:t>
            </w:r>
            <w:r w:rsidRPr="00187C61">
              <w:rPr>
                <w:rFonts w:eastAsia="Times New Roman"/>
                <w:bCs/>
                <w:szCs w:val="19"/>
                <w:lang w:eastAsia="zh-Hans"/>
              </w:rPr>
              <w:t xml:space="preserve">. </w:t>
            </w:r>
            <w:r w:rsidRPr="00187C61">
              <w:rPr>
                <w:rFonts w:eastAsia="Times New Roman"/>
                <w:szCs w:val="19"/>
                <w:lang w:eastAsia="zh-Hans"/>
              </w:rPr>
              <w:t xml:space="preserve">Council 2011 further instructed the Director of BDT </w:t>
            </w:r>
            <w:r w:rsidRPr="00187C61">
              <w:rPr>
                <w:rFonts w:eastAsia="Times New Roman"/>
                <w:i/>
                <w:iCs/>
                <w:szCs w:val="19"/>
                <w:lang w:eastAsia="zh-Hans"/>
              </w:rPr>
              <w:t xml:space="preserve">“to conduct consultations with the chairmen of ITU-D study groups and TDAG for the creation of a group for elaboration of a working definition of the term ‘ICT’ open for the participation of other Sector membership, and the Directors of BR and TSB to conduct consultations with the chairmen of ITU-R and ITU-T study groups, RAG and TSAG regarding the participation of representatives of their Sector study groups in that activity and report to the Council session 2012.” </w:t>
            </w:r>
          </w:p>
          <w:p w:rsidR="001D5D6F" w:rsidRPr="00F00CB2" w:rsidRDefault="001D5D6F" w:rsidP="0068297C">
            <w:pPr>
              <w:pStyle w:val="CEONormal"/>
              <w:spacing w:before="240"/>
              <w:rPr>
                <w:rFonts w:eastAsia="Times New Roman"/>
                <w:bCs/>
                <w:szCs w:val="19"/>
                <w:lang w:eastAsia="zh-Hans"/>
              </w:rPr>
            </w:pPr>
            <w:r w:rsidRPr="00187C61">
              <w:rPr>
                <w:bCs/>
                <w:szCs w:val="19"/>
              </w:rPr>
              <w:t>Reference to the establishment of th</w:t>
            </w:r>
            <w:r>
              <w:rPr>
                <w:bCs/>
                <w:szCs w:val="19"/>
              </w:rPr>
              <w:t>e</w:t>
            </w:r>
            <w:r w:rsidRPr="00187C61">
              <w:rPr>
                <w:bCs/>
                <w:szCs w:val="19"/>
              </w:rPr>
              <w:t xml:space="preserve"> Correspondence Group can also be found in the contribution </w:t>
            </w:r>
            <w:r>
              <w:rPr>
                <w:bCs/>
                <w:szCs w:val="19"/>
              </w:rPr>
              <w:t xml:space="preserve">to the September 2012 ITU-D Study Group 1 meeting </w:t>
            </w:r>
            <w:r w:rsidRPr="00187C61">
              <w:rPr>
                <w:bCs/>
                <w:szCs w:val="19"/>
              </w:rPr>
              <w:t xml:space="preserve">from the Russian Federation (document </w:t>
            </w:r>
            <w:hyperlink r:id="rId17" w:history="1">
              <w:r w:rsidRPr="00187C61">
                <w:rPr>
                  <w:rStyle w:val="Hyperlink"/>
                  <w:rFonts w:cstheme="minorBidi"/>
                  <w:szCs w:val="19"/>
                </w:rPr>
                <w:t>1/194</w:t>
              </w:r>
            </w:hyperlink>
            <w:r w:rsidRPr="00187C61">
              <w:rPr>
                <w:bCs/>
                <w:szCs w:val="19"/>
              </w:rPr>
              <w:t xml:space="preserve">). </w:t>
            </w:r>
          </w:p>
          <w:p w:rsidR="001D5D6F" w:rsidRDefault="001D5D6F" w:rsidP="0068297C">
            <w:pPr>
              <w:pStyle w:val="NormalWeb"/>
              <w:spacing w:line="240" w:lineRule="atLeast"/>
              <w:rPr>
                <w:rFonts w:ascii="Verdana" w:hAnsi="Verdana"/>
                <w:sz w:val="19"/>
                <w:szCs w:val="19"/>
                <w:lang w:eastAsia="zh-Hans"/>
              </w:rPr>
            </w:pPr>
            <w:r w:rsidRPr="00187C61">
              <w:rPr>
                <w:rFonts w:ascii="Verdana" w:hAnsi="Verdana"/>
                <w:sz w:val="19"/>
                <w:szCs w:val="19"/>
                <w:lang w:eastAsia="zh-Hans"/>
              </w:rPr>
              <w:t>The Group, which will communicate by correspondence, w</w:t>
            </w:r>
            <w:r w:rsidRPr="00187C61">
              <w:rPr>
                <w:rFonts w:ascii="Verdana" w:hAnsi="Verdana"/>
                <w:sz w:val="19"/>
                <w:szCs w:val="19"/>
              </w:rPr>
              <w:t>as</w:t>
            </w:r>
            <w:r w:rsidRPr="00187C61">
              <w:rPr>
                <w:rFonts w:ascii="Verdana" w:hAnsi="Verdana"/>
                <w:sz w:val="19"/>
                <w:szCs w:val="19"/>
                <w:lang w:eastAsia="zh-Hans"/>
              </w:rPr>
              <w:t xml:space="preserve"> established during the September 2012 meeting of </w:t>
            </w:r>
            <w:hyperlink r:id="rId18" w:history="1">
              <w:r w:rsidRPr="00187C61">
                <w:rPr>
                  <w:rStyle w:val="Hyperlink"/>
                  <w:rFonts w:ascii="Verdana" w:hAnsi="Verdana"/>
                  <w:sz w:val="19"/>
                  <w:szCs w:val="19"/>
                  <w:lang w:eastAsia="zh-Hans"/>
                </w:rPr>
                <w:t>ITU-D Study Group 1</w:t>
              </w:r>
            </w:hyperlink>
            <w:r w:rsidRPr="00187C61">
              <w:rPr>
                <w:rFonts w:ascii="Verdana" w:hAnsi="Verdana"/>
                <w:sz w:val="19"/>
                <w:szCs w:val="19"/>
                <w:lang w:eastAsia="zh-Hans"/>
              </w:rPr>
              <w:t>.</w:t>
            </w:r>
          </w:p>
          <w:p w:rsidR="001D5D6F" w:rsidRPr="00A97A3F" w:rsidRDefault="001D5D6F" w:rsidP="0068297C">
            <w:pPr>
              <w:pStyle w:val="NormalWeb"/>
              <w:spacing w:before="120" w:after="120" w:line="240" w:lineRule="atLeast"/>
              <w:rPr>
                <w:rFonts w:ascii="Verdana" w:hAnsi="Verdana"/>
                <w:sz w:val="19"/>
                <w:szCs w:val="19"/>
                <w:lang w:eastAsia="zh-Hans"/>
              </w:rPr>
            </w:pPr>
            <w:r w:rsidRPr="00A97A3F">
              <w:rPr>
                <w:rFonts w:ascii="Verdana" w:hAnsi="Verdana"/>
                <w:sz w:val="19"/>
                <w:szCs w:val="19"/>
                <w:lang w:eastAsia="zh-Hans"/>
              </w:rPr>
              <w:t xml:space="preserve">Further details can be found on the </w:t>
            </w:r>
            <w:hyperlink r:id="rId19" w:history="1">
              <w:r w:rsidRPr="00A97A3F">
                <w:rPr>
                  <w:rStyle w:val="Hyperlink"/>
                  <w:rFonts w:ascii="Verdana" w:hAnsi="Verdana"/>
                  <w:sz w:val="19"/>
                  <w:szCs w:val="19"/>
                  <w:lang w:eastAsia="zh-Hans"/>
                </w:rPr>
                <w:t>website</w:t>
              </w:r>
            </w:hyperlink>
            <w:r w:rsidRPr="00A97A3F">
              <w:rPr>
                <w:rFonts w:ascii="Verdana" w:hAnsi="Verdana"/>
                <w:sz w:val="19"/>
                <w:szCs w:val="19"/>
                <w:lang w:eastAsia="zh-Hans"/>
              </w:rPr>
              <w:t xml:space="preserve"> of the Group.</w:t>
            </w:r>
          </w:p>
          <w:p w:rsidR="001D5D6F" w:rsidRPr="00187C61" w:rsidRDefault="001D5D6F" w:rsidP="0068297C">
            <w:pPr>
              <w:pStyle w:val="NormalWeb"/>
              <w:spacing w:line="240" w:lineRule="atLeast"/>
              <w:rPr>
                <w:b/>
                <w:bCs/>
                <w:lang w:val="en-GB"/>
              </w:rPr>
            </w:pPr>
          </w:p>
        </w:tc>
      </w:tr>
    </w:tbl>
    <w:p w:rsidR="001D5D6F" w:rsidRDefault="001D5D6F">
      <w:pPr>
        <w:rPr>
          <w:lang w:val="en-GB"/>
        </w:rPr>
        <w:sectPr w:rsidR="001D5D6F" w:rsidSect="00563963">
          <w:pgSz w:w="11907" w:h="16834" w:code="9"/>
          <w:pgMar w:top="1134" w:right="1134" w:bottom="1134" w:left="1134" w:header="567" w:footer="567" w:gutter="0"/>
          <w:paperSrc w:first="4" w:other="4"/>
          <w:cols w:space="720"/>
          <w:titlePg/>
        </w:sectPr>
      </w:pPr>
    </w:p>
    <w:tbl>
      <w:tblPr>
        <w:tblW w:w="9889" w:type="dxa"/>
        <w:jc w:val="center"/>
        <w:tblLayout w:type="fixed"/>
        <w:tblLook w:val="00A0" w:firstRow="1" w:lastRow="0" w:firstColumn="1" w:lastColumn="0" w:noHBand="0" w:noVBand="0"/>
      </w:tblPr>
      <w:tblGrid>
        <w:gridCol w:w="9889"/>
      </w:tblGrid>
      <w:tr w:rsidR="0046067E" w:rsidTr="005F60C6">
        <w:trPr>
          <w:jc w:val="center"/>
        </w:trPr>
        <w:tc>
          <w:tcPr>
            <w:tcW w:w="9889" w:type="dxa"/>
          </w:tcPr>
          <w:p w:rsidR="005F60C6" w:rsidRPr="002D09B9" w:rsidRDefault="005F60C6" w:rsidP="005F60C6">
            <w:pPr>
              <w:pStyle w:val="CEOcontributionStart"/>
              <w:spacing w:before="120"/>
              <w:rPr>
                <w:b/>
                <w:bCs/>
                <w:lang w:val="en-US"/>
              </w:rPr>
            </w:pPr>
            <w:r w:rsidRPr="00DC1720">
              <w:rPr>
                <w:b/>
                <w:bCs/>
                <w:szCs w:val="28"/>
                <w:u w:val="single"/>
                <w:lang w:val="en-US"/>
              </w:rPr>
              <w:lastRenderedPageBreak/>
              <w:t>Ann</w:t>
            </w:r>
            <w:r w:rsidR="00187C61" w:rsidRPr="00DC1720">
              <w:rPr>
                <w:b/>
                <w:bCs/>
                <w:szCs w:val="28"/>
                <w:u w:val="single"/>
                <w:lang w:val="en-US"/>
              </w:rPr>
              <w:t>ex 2</w:t>
            </w:r>
            <w:r w:rsidRPr="002D09B9">
              <w:rPr>
                <w:b/>
                <w:bCs/>
                <w:lang w:val="en-US"/>
              </w:rPr>
              <w:t xml:space="preserve"> </w:t>
            </w:r>
            <w:r w:rsidRPr="002D09B9">
              <w:rPr>
                <w:b/>
                <w:bCs/>
                <w:lang w:val="en-US"/>
              </w:rPr>
              <w:sym w:font="Symbol" w:char="F02D"/>
            </w:r>
            <w:r w:rsidRPr="002D09B9">
              <w:rPr>
                <w:b/>
                <w:bCs/>
                <w:lang w:val="en-US"/>
              </w:rPr>
              <w:t xml:space="preserve"> </w:t>
            </w:r>
            <w:r w:rsidRPr="002D09B9">
              <w:rPr>
                <w:b/>
                <w:bCs/>
              </w:rPr>
              <w:t>Terms of Reference for the Correspondence Group</w:t>
            </w:r>
            <w:r w:rsidRPr="002D09B9">
              <w:rPr>
                <w:b/>
                <w:bCs/>
                <w:sz w:val="18"/>
                <w:szCs w:val="18"/>
              </w:rPr>
              <w:t xml:space="preserve"> on the Elaboration of a Working Definition of the Term “ICT”</w:t>
            </w:r>
          </w:p>
          <w:p w:rsidR="005F60C6" w:rsidRPr="002D09B9" w:rsidRDefault="005F60C6" w:rsidP="005F60C6">
            <w:pPr>
              <w:pStyle w:val="CEOcontributionStart"/>
              <w:spacing w:before="120"/>
              <w:rPr>
                <w:b/>
                <w:bCs/>
                <w:lang w:val="en-US"/>
              </w:rPr>
            </w:pPr>
            <w:r w:rsidRPr="002D09B9">
              <w:rPr>
                <w:b/>
                <w:bCs/>
              </w:rPr>
              <w:t>Terms of reference for the Correspondence Group</w:t>
            </w:r>
            <w:r>
              <w:rPr>
                <w:b/>
                <w:bCs/>
              </w:rPr>
              <w:t>:</w:t>
            </w:r>
          </w:p>
          <w:p w:rsidR="005F60C6" w:rsidRPr="002D09B9" w:rsidRDefault="005F60C6" w:rsidP="00187C61">
            <w:pPr>
              <w:pStyle w:val="CEOcontributionStart"/>
              <w:numPr>
                <w:ilvl w:val="0"/>
                <w:numId w:val="20"/>
              </w:numPr>
              <w:spacing w:before="120"/>
              <w:rPr>
                <w:lang w:val="en-US"/>
              </w:rPr>
            </w:pPr>
            <w:r w:rsidRPr="002D09B9">
              <w:rPr>
                <w:rFonts w:hint="eastAsia"/>
                <w:lang w:val="en-US"/>
              </w:rPr>
              <w:t>Gather and analy</w:t>
            </w:r>
            <w:r w:rsidRPr="002D09B9">
              <w:rPr>
                <w:lang w:val="en-US"/>
              </w:rPr>
              <w:t>z</w:t>
            </w:r>
            <w:r w:rsidRPr="002D09B9">
              <w:rPr>
                <w:rFonts w:hint="eastAsia"/>
                <w:lang w:val="en-US"/>
              </w:rPr>
              <w:t xml:space="preserve">e background information that can be used in elaborating a working definition of </w:t>
            </w:r>
            <w:r w:rsidR="00187C61">
              <w:rPr>
                <w:lang w:val="en-US"/>
              </w:rPr>
              <w:t xml:space="preserve">“ICT” </w:t>
            </w:r>
            <w:r w:rsidRPr="002D09B9">
              <w:rPr>
                <w:rFonts w:hint="eastAsia"/>
                <w:lang w:val="en-US"/>
              </w:rPr>
              <w:t xml:space="preserve">including the existing L.1400 (02/2011) definitions (ICT Goods, ICT Networks, ICT Project, ICT Sector, and ICT Services). </w:t>
            </w:r>
          </w:p>
          <w:p w:rsidR="005F60C6" w:rsidRPr="002D09B9" w:rsidRDefault="005F60C6" w:rsidP="005F60C6">
            <w:pPr>
              <w:pStyle w:val="CEOcontributionStart"/>
              <w:numPr>
                <w:ilvl w:val="0"/>
                <w:numId w:val="20"/>
              </w:numPr>
              <w:spacing w:before="120"/>
              <w:rPr>
                <w:lang w:val="en-US"/>
              </w:rPr>
            </w:pPr>
            <w:r w:rsidRPr="002D09B9">
              <w:rPr>
                <w:rFonts w:hint="eastAsia"/>
                <w:lang w:val="en-US"/>
              </w:rPr>
              <w:t xml:space="preserve">Formulate proposed guidelines on a working definition of </w:t>
            </w:r>
            <w:r w:rsidR="00187C61">
              <w:rPr>
                <w:lang w:val="en-US"/>
              </w:rPr>
              <w:t>“ICT”.</w:t>
            </w:r>
          </w:p>
          <w:p w:rsidR="005F60C6" w:rsidRPr="002D09B9" w:rsidRDefault="005F60C6" w:rsidP="005F60C6">
            <w:pPr>
              <w:pStyle w:val="CEOcontributionStart"/>
              <w:numPr>
                <w:ilvl w:val="0"/>
                <w:numId w:val="20"/>
              </w:numPr>
              <w:spacing w:before="120"/>
              <w:rPr>
                <w:lang w:val="en-US"/>
              </w:rPr>
            </w:pPr>
            <w:r w:rsidRPr="002D09B9">
              <w:rPr>
                <w:rFonts w:hint="eastAsia"/>
                <w:lang w:val="en-US"/>
              </w:rPr>
              <w:t>Submit the proposed guidelines to ITU-D Study Groups 1 and 2</w:t>
            </w:r>
            <w:r w:rsidRPr="002D09B9">
              <w:rPr>
                <w:lang w:val="en-US"/>
              </w:rPr>
              <w:t>.</w:t>
            </w:r>
            <w:r w:rsidRPr="002D09B9">
              <w:rPr>
                <w:rFonts w:hint="eastAsia"/>
                <w:lang w:val="en-US"/>
              </w:rPr>
              <w:t xml:space="preserve"> </w:t>
            </w:r>
          </w:p>
          <w:p w:rsidR="005F60C6" w:rsidRPr="002D09B9" w:rsidRDefault="005F60C6" w:rsidP="005F60C6">
            <w:pPr>
              <w:pStyle w:val="CEOcontributionStart"/>
              <w:numPr>
                <w:ilvl w:val="0"/>
                <w:numId w:val="20"/>
              </w:numPr>
              <w:spacing w:before="120"/>
              <w:rPr>
                <w:lang w:val="en-US"/>
              </w:rPr>
            </w:pPr>
            <w:r w:rsidRPr="002D09B9">
              <w:rPr>
                <w:rFonts w:hint="eastAsia"/>
                <w:lang w:val="en-US"/>
              </w:rPr>
              <w:t xml:space="preserve">Report to the next TDAG meeting in 2013. </w:t>
            </w:r>
          </w:p>
          <w:p w:rsidR="005F60C6" w:rsidRPr="002D09B9" w:rsidRDefault="005F60C6" w:rsidP="005F60C6">
            <w:pPr>
              <w:pStyle w:val="CEOcontributionStart"/>
              <w:spacing w:before="120"/>
              <w:rPr>
                <w:b/>
                <w:bCs/>
                <w:lang w:val="en-US"/>
              </w:rPr>
            </w:pPr>
            <w:r w:rsidRPr="002D09B9">
              <w:rPr>
                <w:b/>
                <w:bCs/>
              </w:rPr>
              <w:t>Composition of the Correspondence Group</w:t>
            </w:r>
            <w:r>
              <w:rPr>
                <w:b/>
                <w:bCs/>
              </w:rPr>
              <w:t>:</w:t>
            </w:r>
          </w:p>
          <w:p w:rsidR="005F60C6" w:rsidRPr="002D09B9" w:rsidRDefault="005F60C6" w:rsidP="001A1803">
            <w:pPr>
              <w:pStyle w:val="CEOcontributionStart"/>
              <w:numPr>
                <w:ilvl w:val="0"/>
                <w:numId w:val="21"/>
              </w:numPr>
              <w:spacing w:before="120"/>
              <w:rPr>
                <w:lang w:val="en-US"/>
              </w:rPr>
            </w:pPr>
            <w:r w:rsidRPr="002D09B9">
              <w:rPr>
                <w:rFonts w:hint="eastAsia"/>
                <w:lang w:val="en-US"/>
              </w:rPr>
              <w:t xml:space="preserve">The Correspondence Group on the elaboration of a working definition of the term </w:t>
            </w:r>
            <w:r w:rsidR="00187C61">
              <w:rPr>
                <w:lang w:val="en-US"/>
              </w:rPr>
              <w:t xml:space="preserve">“ICT” </w:t>
            </w:r>
            <w:r w:rsidRPr="002D09B9">
              <w:rPr>
                <w:rFonts w:hint="eastAsia"/>
                <w:lang w:val="en-US"/>
              </w:rPr>
              <w:t xml:space="preserve">is open to all ITU Member States, and </w:t>
            </w:r>
            <w:r w:rsidR="001A1803" w:rsidRPr="002D09B9">
              <w:rPr>
                <w:rFonts w:hint="eastAsia"/>
                <w:lang w:val="en-US"/>
              </w:rPr>
              <w:t xml:space="preserve">of ITU-T, ITU-R </w:t>
            </w:r>
            <w:r w:rsidR="001A1803" w:rsidRPr="001A1803">
              <w:rPr>
                <w:rFonts w:hint="eastAsia"/>
                <w:lang w:val="en-US"/>
              </w:rPr>
              <w:t xml:space="preserve">and ITU-D </w:t>
            </w:r>
            <w:r w:rsidRPr="001A1803">
              <w:rPr>
                <w:rFonts w:hint="eastAsia"/>
                <w:lang w:val="en-US"/>
              </w:rPr>
              <w:t>Sector Members</w:t>
            </w:r>
            <w:r w:rsidR="001A1803" w:rsidRPr="001A1803">
              <w:rPr>
                <w:lang w:val="en-US"/>
              </w:rPr>
              <w:t>, Associates</w:t>
            </w:r>
            <w:r w:rsidR="001A1803">
              <w:rPr>
                <w:lang w:val="en-US"/>
              </w:rPr>
              <w:t>, Academia</w:t>
            </w:r>
            <w:r w:rsidRPr="002D09B9">
              <w:rPr>
                <w:rFonts w:hint="eastAsia"/>
                <w:lang w:val="en-US"/>
              </w:rPr>
              <w:t xml:space="preserve">. </w:t>
            </w:r>
          </w:p>
          <w:p w:rsidR="005F60C6" w:rsidRPr="002D09B9" w:rsidRDefault="005F60C6" w:rsidP="005F60C6">
            <w:pPr>
              <w:pStyle w:val="CEOcontributionStart"/>
              <w:numPr>
                <w:ilvl w:val="0"/>
                <w:numId w:val="21"/>
              </w:numPr>
              <w:spacing w:before="120"/>
              <w:rPr>
                <w:lang w:val="en-US"/>
              </w:rPr>
            </w:pPr>
            <w:r w:rsidRPr="002D09B9">
              <w:rPr>
                <w:rFonts w:hint="eastAsia"/>
                <w:lang w:val="en-US"/>
              </w:rPr>
              <w:t xml:space="preserve">The Correspondence Group is chaired by ITU-D Study Group 1 Chairman Ms. Roxanne McElvane (United States of America). </w:t>
            </w:r>
          </w:p>
          <w:p w:rsidR="005F60C6" w:rsidRPr="002D09B9" w:rsidRDefault="005F60C6" w:rsidP="005F60C6">
            <w:pPr>
              <w:pStyle w:val="CEOcontributionStart"/>
              <w:numPr>
                <w:ilvl w:val="0"/>
                <w:numId w:val="21"/>
              </w:numPr>
              <w:spacing w:before="120"/>
              <w:rPr>
                <w:lang w:val="en-US"/>
              </w:rPr>
            </w:pPr>
            <w:r w:rsidRPr="002D09B9">
              <w:rPr>
                <w:rFonts w:hint="eastAsia"/>
                <w:lang w:val="en-US"/>
              </w:rPr>
              <w:t xml:space="preserve">The Correspondence Group will use the </w:t>
            </w:r>
            <w:r>
              <w:rPr>
                <w:lang w:val="en-US"/>
              </w:rPr>
              <w:t>mailing</w:t>
            </w:r>
            <w:r w:rsidRPr="002D09B9">
              <w:rPr>
                <w:rFonts w:hint="eastAsia"/>
                <w:lang w:val="en-US"/>
              </w:rPr>
              <w:t xml:space="preserve"> list </w:t>
            </w:r>
            <w:hyperlink r:id="rId20" w:history="1">
              <w:r w:rsidRPr="00F00CB2">
                <w:rPr>
                  <w:rStyle w:val="Hyperlink"/>
                  <w:lang w:val="en-US"/>
                </w:rPr>
                <w:t>cg-def-ict@itu.int</w:t>
              </w:r>
            </w:hyperlink>
            <w:r w:rsidRPr="00F00CB2">
              <w:rPr>
                <w:rFonts w:hint="eastAsia"/>
                <w:lang w:val="en-US"/>
              </w:rPr>
              <w:t>.</w:t>
            </w:r>
            <w:r w:rsidRPr="002D09B9">
              <w:rPr>
                <w:rFonts w:hint="eastAsia"/>
                <w:lang w:val="en-US"/>
              </w:rPr>
              <w:t xml:space="preserve"> </w:t>
            </w:r>
          </w:p>
          <w:p w:rsidR="005F60C6" w:rsidRPr="002D09B9" w:rsidRDefault="005F60C6" w:rsidP="005F60C6">
            <w:pPr>
              <w:pStyle w:val="CEOcontributionStart"/>
              <w:numPr>
                <w:ilvl w:val="0"/>
                <w:numId w:val="21"/>
              </w:numPr>
              <w:spacing w:before="120"/>
              <w:rPr>
                <w:lang w:val="en-US"/>
              </w:rPr>
            </w:pPr>
            <w:r w:rsidRPr="002D09B9">
              <w:rPr>
                <w:rFonts w:hint="eastAsia"/>
                <w:lang w:val="en-US"/>
              </w:rPr>
              <w:t>The Correspondence Group interactions may include e</w:t>
            </w:r>
            <w:r w:rsidR="00AF4596">
              <w:rPr>
                <w:lang w:val="en-US"/>
              </w:rPr>
              <w:t>-</w:t>
            </w:r>
            <w:r w:rsidRPr="002D09B9">
              <w:rPr>
                <w:rFonts w:hint="eastAsia"/>
                <w:lang w:val="en-US"/>
              </w:rPr>
              <w:t>mail exchange via the e</w:t>
            </w:r>
            <w:r w:rsidR="00AF4596">
              <w:rPr>
                <w:lang w:val="en-US"/>
              </w:rPr>
              <w:t>-</w:t>
            </w:r>
            <w:r w:rsidRPr="002D09B9">
              <w:rPr>
                <w:rFonts w:hint="eastAsia"/>
                <w:lang w:val="en-US"/>
              </w:rPr>
              <w:t xml:space="preserve">mail list or </w:t>
            </w:r>
            <w:r>
              <w:rPr>
                <w:lang w:val="en-US"/>
              </w:rPr>
              <w:t xml:space="preserve">through </w:t>
            </w:r>
            <w:r w:rsidRPr="002D09B9">
              <w:rPr>
                <w:rFonts w:hint="eastAsia"/>
                <w:lang w:val="en-US"/>
              </w:rPr>
              <w:t>electronic meetings.</w:t>
            </w:r>
          </w:p>
          <w:p w:rsidR="005F60C6" w:rsidRPr="002D09B9" w:rsidRDefault="005F60C6" w:rsidP="005F60C6">
            <w:pPr>
              <w:pStyle w:val="CEOcontributionStart"/>
              <w:numPr>
                <w:ilvl w:val="0"/>
                <w:numId w:val="21"/>
              </w:numPr>
              <w:spacing w:before="120"/>
              <w:rPr>
                <w:lang w:val="en-US"/>
              </w:rPr>
            </w:pPr>
            <w:r w:rsidRPr="002D09B9">
              <w:rPr>
                <w:rFonts w:hint="eastAsia"/>
                <w:lang w:val="en-US"/>
              </w:rPr>
              <w:t xml:space="preserve">The Correspondence Group convener </w:t>
            </w:r>
            <w:r w:rsidRPr="002D09B9">
              <w:rPr>
                <w:lang w:val="en-US"/>
              </w:rPr>
              <w:t>is</w:t>
            </w:r>
            <w:r w:rsidRPr="002D09B9">
              <w:rPr>
                <w:rFonts w:hint="eastAsia"/>
                <w:lang w:val="en-US"/>
              </w:rPr>
              <w:t xml:space="preserve"> ITU-D Study Group 1 Chairman Ms. Roxanne McElvane (United States of America) and the Correspondence Group co-convener </w:t>
            </w:r>
            <w:r w:rsidRPr="002D09B9">
              <w:rPr>
                <w:lang w:val="en-US"/>
              </w:rPr>
              <w:t>is</w:t>
            </w:r>
            <w:r w:rsidRPr="002D09B9">
              <w:rPr>
                <w:rFonts w:hint="eastAsia"/>
                <w:lang w:val="en-US"/>
              </w:rPr>
              <w:t xml:space="preserve"> Chairman of TDAG, Dr. Vladimir </w:t>
            </w:r>
            <w:proofErr w:type="spellStart"/>
            <w:r w:rsidRPr="002D09B9">
              <w:rPr>
                <w:rFonts w:hint="eastAsia"/>
                <w:lang w:val="en-US"/>
              </w:rPr>
              <w:t>Minkin</w:t>
            </w:r>
            <w:proofErr w:type="spellEnd"/>
            <w:r w:rsidRPr="002D09B9">
              <w:rPr>
                <w:rFonts w:hint="eastAsia"/>
                <w:lang w:val="en-US"/>
              </w:rPr>
              <w:t xml:space="preserve"> (Russian Federation). </w:t>
            </w:r>
          </w:p>
          <w:p w:rsidR="005F60C6" w:rsidRDefault="005F60C6" w:rsidP="005F60C6">
            <w:pPr>
              <w:pStyle w:val="CEOcontributionStart"/>
              <w:spacing w:before="120"/>
              <w:rPr>
                <w:b/>
                <w:bCs/>
              </w:rPr>
            </w:pPr>
            <w:r w:rsidRPr="002D09B9">
              <w:rPr>
                <w:b/>
                <w:bCs/>
              </w:rPr>
              <w:t>Reference Documents</w:t>
            </w:r>
            <w:r>
              <w:rPr>
                <w:b/>
                <w:bCs/>
              </w:rPr>
              <w:t>:</w:t>
            </w:r>
          </w:p>
          <w:tbl>
            <w:tblPr>
              <w:tblW w:w="4478"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959"/>
              <w:gridCol w:w="7695"/>
            </w:tblGrid>
            <w:tr w:rsidR="005F60C6" w:rsidRPr="005F60C6" w:rsidTr="00603E93">
              <w:trPr>
                <w:tblCellSpacing w:w="0" w:type="dxa"/>
              </w:trPr>
              <w:tc>
                <w:tcPr>
                  <w:tcW w:w="959" w:type="dxa"/>
                </w:tcPr>
                <w:p w:rsidR="005F60C6" w:rsidRPr="005F60C6" w:rsidRDefault="005F60C6" w:rsidP="005F60C6">
                  <w:pPr>
                    <w:spacing w:before="0" w:after="0" w:line="240" w:lineRule="atLeast"/>
                    <w:rPr>
                      <w:rFonts w:ascii="Verdana" w:hAnsi="Verdana"/>
                      <w:b/>
                      <w:bCs/>
                      <w:sz w:val="19"/>
                      <w:szCs w:val="19"/>
                      <w:lang w:val="en-GB"/>
                    </w:rPr>
                  </w:pPr>
                  <w:r w:rsidRPr="005F60C6">
                    <w:rPr>
                      <w:rFonts w:ascii="Verdana" w:hAnsi="Verdana"/>
                      <w:b/>
                      <w:sz w:val="19"/>
                      <w:szCs w:val="19"/>
                      <w:lang w:val="en-GB"/>
                    </w:rPr>
                    <w:t>No.</w:t>
                  </w:r>
                </w:p>
              </w:tc>
              <w:tc>
                <w:tcPr>
                  <w:tcW w:w="7695" w:type="dxa"/>
                </w:tcPr>
                <w:p w:rsidR="005F60C6" w:rsidRPr="005F60C6" w:rsidRDefault="005F60C6" w:rsidP="005F60C6">
                  <w:pPr>
                    <w:spacing w:before="0" w:after="0" w:line="240" w:lineRule="atLeast"/>
                    <w:rPr>
                      <w:rFonts w:ascii="Verdana" w:hAnsi="Verdana"/>
                      <w:b/>
                      <w:bCs/>
                      <w:sz w:val="19"/>
                      <w:szCs w:val="19"/>
                      <w:lang w:val="en-GB"/>
                    </w:rPr>
                  </w:pPr>
                  <w:r w:rsidRPr="005F60C6">
                    <w:rPr>
                      <w:rFonts w:ascii="Verdana" w:hAnsi="Verdana"/>
                      <w:b/>
                      <w:sz w:val="19"/>
                      <w:szCs w:val="19"/>
                      <w:lang w:val="en-GB"/>
                    </w:rPr>
                    <w:t>Reference Document</w:t>
                  </w:r>
                </w:p>
              </w:tc>
            </w:tr>
            <w:tr w:rsidR="005F60C6" w:rsidRPr="005F60C6" w:rsidTr="00603E93">
              <w:trPr>
                <w:tblCellSpacing w:w="0" w:type="dxa"/>
              </w:trPr>
              <w:tc>
                <w:tcPr>
                  <w:tcW w:w="959" w:type="dxa"/>
                  <w:hideMark/>
                </w:tcPr>
                <w:p w:rsidR="005F60C6" w:rsidRPr="005F60C6" w:rsidRDefault="005F60C6" w:rsidP="005F60C6">
                  <w:pPr>
                    <w:spacing w:before="0" w:after="0" w:line="240" w:lineRule="atLeast"/>
                    <w:rPr>
                      <w:rFonts w:ascii="Verdana" w:hAnsi="Verdana"/>
                      <w:b/>
                      <w:bCs/>
                      <w:sz w:val="19"/>
                      <w:szCs w:val="19"/>
                    </w:rPr>
                  </w:pPr>
                  <w:r w:rsidRPr="005F60C6">
                    <w:rPr>
                      <w:rFonts w:ascii="Verdana" w:hAnsi="Verdana"/>
                      <w:b/>
                      <w:bCs/>
                      <w:sz w:val="19"/>
                      <w:szCs w:val="19"/>
                      <w:lang w:val="en-GB"/>
                    </w:rPr>
                    <w:t>1.</w:t>
                  </w:r>
                </w:p>
              </w:tc>
              <w:tc>
                <w:tcPr>
                  <w:tcW w:w="7695" w:type="dxa"/>
                  <w:hideMark/>
                </w:tcPr>
                <w:p w:rsidR="005F60C6" w:rsidRPr="005F60C6" w:rsidRDefault="00F7148B" w:rsidP="005F60C6">
                  <w:pPr>
                    <w:spacing w:before="0" w:after="0" w:line="240" w:lineRule="atLeast"/>
                    <w:rPr>
                      <w:rFonts w:ascii="Verdana" w:hAnsi="Verdana"/>
                      <w:sz w:val="19"/>
                      <w:szCs w:val="19"/>
                    </w:rPr>
                  </w:pPr>
                  <w:hyperlink r:id="rId21" w:history="1">
                    <w:r w:rsidR="005F60C6" w:rsidRPr="005F60C6">
                      <w:rPr>
                        <w:rStyle w:val="Hyperlink"/>
                        <w:rFonts w:ascii="Verdana" w:hAnsi="Verdana"/>
                        <w:sz w:val="19"/>
                        <w:szCs w:val="19"/>
                      </w:rPr>
                      <w:t>Plenipotentiary Resolution 140 (Rev. Guadalajara, 2010) on “ITU's role in implementing the outcomes of the World Summit on the Information Society”</w:t>
                    </w:r>
                  </w:hyperlink>
                  <w:r w:rsidR="005F60C6" w:rsidRPr="005F60C6">
                    <w:rPr>
                      <w:rFonts w:ascii="Verdana" w:hAnsi="Verdana"/>
                      <w:sz w:val="19"/>
                      <w:szCs w:val="19"/>
                      <w:lang w:val="en-GB"/>
                    </w:rPr>
                    <w:t xml:space="preserve"> </w:t>
                  </w:r>
                </w:p>
              </w:tc>
            </w:tr>
            <w:tr w:rsidR="005F60C6" w:rsidRPr="005F60C6" w:rsidTr="00603E93">
              <w:trPr>
                <w:tblCellSpacing w:w="0" w:type="dxa"/>
              </w:trPr>
              <w:tc>
                <w:tcPr>
                  <w:tcW w:w="959" w:type="dxa"/>
                  <w:hideMark/>
                </w:tcPr>
                <w:p w:rsidR="005F60C6" w:rsidRPr="005F60C6" w:rsidRDefault="005F60C6" w:rsidP="005F60C6">
                  <w:pPr>
                    <w:spacing w:before="0" w:after="0" w:line="240" w:lineRule="atLeast"/>
                    <w:rPr>
                      <w:rFonts w:ascii="Verdana" w:hAnsi="Verdana"/>
                      <w:b/>
                      <w:bCs/>
                      <w:sz w:val="19"/>
                      <w:szCs w:val="19"/>
                    </w:rPr>
                  </w:pPr>
                  <w:r w:rsidRPr="005F60C6">
                    <w:rPr>
                      <w:rFonts w:ascii="Verdana" w:hAnsi="Verdana"/>
                      <w:b/>
                      <w:bCs/>
                      <w:sz w:val="19"/>
                      <w:szCs w:val="19"/>
                      <w:lang w:val="en-GB"/>
                    </w:rPr>
                    <w:t>2.</w:t>
                  </w:r>
                </w:p>
              </w:tc>
              <w:tc>
                <w:tcPr>
                  <w:tcW w:w="7695" w:type="dxa"/>
                  <w:hideMark/>
                </w:tcPr>
                <w:p w:rsidR="005F60C6" w:rsidRPr="005F60C6" w:rsidRDefault="00F7148B" w:rsidP="005F60C6">
                  <w:pPr>
                    <w:spacing w:before="0" w:after="0" w:line="240" w:lineRule="atLeast"/>
                    <w:rPr>
                      <w:rFonts w:ascii="Verdana" w:hAnsi="Verdana"/>
                      <w:sz w:val="19"/>
                      <w:szCs w:val="19"/>
                    </w:rPr>
                  </w:pPr>
                  <w:hyperlink r:id="rId22" w:history="1">
                    <w:r w:rsidR="005F60C6" w:rsidRPr="005F60C6">
                      <w:rPr>
                        <w:rStyle w:val="Hyperlink"/>
                        <w:rFonts w:ascii="Verdana" w:hAnsi="Verdana"/>
                        <w:sz w:val="19"/>
                        <w:szCs w:val="19"/>
                      </w:rPr>
                      <w:t>Excerpt from the Council 2011 summary related to the issue</w:t>
                    </w:r>
                  </w:hyperlink>
                </w:p>
              </w:tc>
            </w:tr>
            <w:tr w:rsidR="005F60C6" w:rsidRPr="005F60C6" w:rsidTr="00603E93">
              <w:trPr>
                <w:tblCellSpacing w:w="0" w:type="dxa"/>
              </w:trPr>
              <w:tc>
                <w:tcPr>
                  <w:tcW w:w="959" w:type="dxa"/>
                  <w:hideMark/>
                </w:tcPr>
                <w:p w:rsidR="005F60C6" w:rsidRPr="005F60C6" w:rsidRDefault="005F60C6" w:rsidP="005F60C6">
                  <w:pPr>
                    <w:spacing w:before="0" w:after="0" w:line="240" w:lineRule="atLeast"/>
                    <w:rPr>
                      <w:rFonts w:ascii="Verdana" w:hAnsi="Verdana"/>
                      <w:b/>
                      <w:bCs/>
                      <w:sz w:val="19"/>
                      <w:szCs w:val="19"/>
                    </w:rPr>
                  </w:pPr>
                  <w:r w:rsidRPr="005F60C6">
                    <w:rPr>
                      <w:rFonts w:ascii="Verdana" w:hAnsi="Verdana"/>
                      <w:b/>
                      <w:bCs/>
                      <w:sz w:val="19"/>
                      <w:szCs w:val="19"/>
                      <w:lang w:val="en-GB"/>
                    </w:rPr>
                    <w:t>3.</w:t>
                  </w:r>
                </w:p>
              </w:tc>
              <w:tc>
                <w:tcPr>
                  <w:tcW w:w="7695" w:type="dxa"/>
                  <w:hideMark/>
                </w:tcPr>
                <w:p w:rsidR="005F60C6" w:rsidRPr="005F60C6" w:rsidRDefault="00F7148B" w:rsidP="005F60C6">
                  <w:pPr>
                    <w:spacing w:before="0" w:after="0" w:line="240" w:lineRule="atLeast"/>
                    <w:rPr>
                      <w:rFonts w:ascii="Verdana" w:hAnsi="Verdana"/>
                      <w:sz w:val="19"/>
                      <w:szCs w:val="19"/>
                    </w:rPr>
                  </w:pPr>
                  <w:hyperlink r:id="rId23" w:history="1">
                    <w:r w:rsidR="005F60C6" w:rsidRPr="005F60C6">
                      <w:rPr>
                        <w:rStyle w:val="Hyperlink"/>
                        <w:rFonts w:ascii="Verdana" w:hAnsi="Verdana"/>
                        <w:sz w:val="19"/>
                        <w:szCs w:val="19"/>
                      </w:rPr>
                      <w:t>Excerpt from the TDAG 2012 meeting report</w:t>
                    </w:r>
                  </w:hyperlink>
                </w:p>
              </w:tc>
            </w:tr>
            <w:tr w:rsidR="005F60C6" w:rsidRPr="005F60C6" w:rsidTr="00603E93">
              <w:trPr>
                <w:tblCellSpacing w:w="0" w:type="dxa"/>
              </w:trPr>
              <w:tc>
                <w:tcPr>
                  <w:tcW w:w="959" w:type="dxa"/>
                  <w:hideMark/>
                </w:tcPr>
                <w:p w:rsidR="005F60C6" w:rsidRPr="005F60C6" w:rsidRDefault="005F60C6" w:rsidP="005F60C6">
                  <w:pPr>
                    <w:spacing w:before="0" w:after="0" w:line="240" w:lineRule="atLeast"/>
                    <w:rPr>
                      <w:rFonts w:ascii="Verdana" w:hAnsi="Verdana"/>
                      <w:b/>
                      <w:bCs/>
                      <w:sz w:val="19"/>
                      <w:szCs w:val="19"/>
                    </w:rPr>
                  </w:pPr>
                  <w:r w:rsidRPr="005F60C6">
                    <w:rPr>
                      <w:rFonts w:ascii="Verdana" w:hAnsi="Verdana"/>
                      <w:b/>
                      <w:bCs/>
                      <w:sz w:val="19"/>
                      <w:szCs w:val="19"/>
                      <w:lang w:val="en-GB"/>
                    </w:rPr>
                    <w:t>4.</w:t>
                  </w:r>
                  <w:r w:rsidRPr="005F60C6">
                    <w:rPr>
                      <w:rFonts w:ascii="Verdana" w:hAnsi="Verdana"/>
                      <w:b/>
                      <w:bCs/>
                      <w:sz w:val="19"/>
                      <w:szCs w:val="19"/>
                    </w:rPr>
                    <w:t xml:space="preserve"> </w:t>
                  </w:r>
                </w:p>
              </w:tc>
              <w:tc>
                <w:tcPr>
                  <w:tcW w:w="7695" w:type="dxa"/>
                  <w:hideMark/>
                </w:tcPr>
                <w:p w:rsidR="005F60C6" w:rsidRPr="005F60C6" w:rsidRDefault="005F60C6" w:rsidP="005F60C6">
                  <w:pPr>
                    <w:spacing w:before="0" w:after="0" w:line="240" w:lineRule="atLeast"/>
                    <w:rPr>
                      <w:rFonts w:ascii="Verdana" w:hAnsi="Verdana"/>
                      <w:sz w:val="19"/>
                      <w:szCs w:val="19"/>
                    </w:rPr>
                  </w:pPr>
                  <w:r w:rsidRPr="005F60C6">
                    <w:rPr>
                      <w:rFonts w:ascii="Verdana" w:hAnsi="Verdana"/>
                      <w:sz w:val="19"/>
                      <w:szCs w:val="19"/>
                      <w:lang w:val="en-GB"/>
                    </w:rPr>
                    <w:t xml:space="preserve">Contributions from the Russian Federation in 2011 and 2012 on the issue can be found in the following documents: </w:t>
                  </w:r>
                </w:p>
                <w:p w:rsidR="005F60C6" w:rsidRPr="005F60C6" w:rsidRDefault="00F7148B" w:rsidP="005F60C6">
                  <w:pPr>
                    <w:pStyle w:val="NormalWeb"/>
                    <w:numPr>
                      <w:ilvl w:val="0"/>
                      <w:numId w:val="24"/>
                    </w:numPr>
                    <w:spacing w:line="240" w:lineRule="atLeast"/>
                    <w:rPr>
                      <w:rFonts w:ascii="Verdana" w:hAnsi="Verdana"/>
                      <w:sz w:val="19"/>
                      <w:szCs w:val="19"/>
                    </w:rPr>
                  </w:pPr>
                  <w:hyperlink r:id="rId24" w:history="1">
                    <w:r w:rsidR="005F60C6" w:rsidRPr="005F60C6">
                      <w:rPr>
                        <w:rStyle w:val="Hyperlink"/>
                        <w:rFonts w:ascii="Verdana" w:hAnsi="Verdana"/>
                        <w:sz w:val="19"/>
                        <w:szCs w:val="19"/>
                      </w:rPr>
                      <w:t>TDAG12-17/26</w:t>
                    </w:r>
                  </w:hyperlink>
                  <w:r w:rsidR="005F60C6" w:rsidRPr="005F60C6">
                    <w:rPr>
                      <w:rFonts w:ascii="Verdana" w:hAnsi="Verdana"/>
                      <w:sz w:val="19"/>
                      <w:szCs w:val="19"/>
                    </w:rPr>
                    <w:t xml:space="preserve"> </w:t>
                  </w:r>
                </w:p>
                <w:p w:rsidR="005F60C6" w:rsidRPr="005F60C6" w:rsidRDefault="00F7148B" w:rsidP="005F60C6">
                  <w:pPr>
                    <w:pStyle w:val="NormalWeb"/>
                    <w:numPr>
                      <w:ilvl w:val="0"/>
                      <w:numId w:val="24"/>
                    </w:numPr>
                    <w:spacing w:line="240" w:lineRule="atLeast"/>
                    <w:rPr>
                      <w:rFonts w:ascii="Verdana" w:hAnsi="Verdana"/>
                      <w:sz w:val="19"/>
                      <w:szCs w:val="19"/>
                    </w:rPr>
                  </w:pPr>
                  <w:hyperlink r:id="rId25" w:history="1">
                    <w:r w:rsidR="005F60C6" w:rsidRPr="005F60C6">
                      <w:rPr>
                        <w:rStyle w:val="Hyperlink"/>
                        <w:rFonts w:ascii="Verdana" w:hAnsi="Verdana"/>
                        <w:sz w:val="19"/>
                        <w:szCs w:val="19"/>
                      </w:rPr>
                      <w:t>TDAG11-16/25</w:t>
                    </w:r>
                  </w:hyperlink>
                </w:p>
                <w:p w:rsidR="005F60C6" w:rsidRPr="005F60C6" w:rsidRDefault="00F7148B" w:rsidP="005F60C6">
                  <w:pPr>
                    <w:pStyle w:val="NormalWeb"/>
                    <w:numPr>
                      <w:ilvl w:val="0"/>
                      <w:numId w:val="24"/>
                    </w:numPr>
                    <w:spacing w:line="240" w:lineRule="atLeast"/>
                    <w:rPr>
                      <w:rFonts w:ascii="Verdana" w:hAnsi="Verdana"/>
                      <w:sz w:val="19"/>
                      <w:szCs w:val="19"/>
                    </w:rPr>
                  </w:pPr>
                  <w:hyperlink r:id="rId26" w:history="1">
                    <w:r w:rsidR="005F60C6" w:rsidRPr="005F60C6">
                      <w:rPr>
                        <w:rStyle w:val="Hyperlink"/>
                        <w:rFonts w:ascii="Verdana" w:hAnsi="Verdana"/>
                        <w:sz w:val="19"/>
                        <w:szCs w:val="19"/>
                      </w:rPr>
                      <w:t xml:space="preserve">C11/61(Rev.1) </w:t>
                    </w:r>
                  </w:hyperlink>
                </w:p>
              </w:tc>
            </w:tr>
            <w:tr w:rsidR="005F60C6" w:rsidRPr="005F60C6" w:rsidTr="00603E93">
              <w:trPr>
                <w:tblCellSpacing w:w="0" w:type="dxa"/>
              </w:trPr>
              <w:tc>
                <w:tcPr>
                  <w:tcW w:w="959" w:type="dxa"/>
                  <w:hideMark/>
                </w:tcPr>
                <w:p w:rsidR="005F60C6" w:rsidRPr="005F60C6" w:rsidRDefault="005F60C6" w:rsidP="005F60C6">
                  <w:pPr>
                    <w:spacing w:before="0" w:after="0" w:line="240" w:lineRule="atLeast"/>
                    <w:rPr>
                      <w:rFonts w:ascii="Verdana" w:hAnsi="Verdana"/>
                      <w:b/>
                      <w:bCs/>
                      <w:sz w:val="19"/>
                      <w:szCs w:val="19"/>
                    </w:rPr>
                  </w:pPr>
                  <w:r w:rsidRPr="005F60C6">
                    <w:rPr>
                      <w:rFonts w:ascii="Verdana" w:hAnsi="Verdana"/>
                      <w:b/>
                      <w:bCs/>
                      <w:sz w:val="19"/>
                      <w:szCs w:val="19"/>
                      <w:lang w:val="en-GB"/>
                    </w:rPr>
                    <w:t>5.</w:t>
                  </w:r>
                </w:p>
              </w:tc>
              <w:tc>
                <w:tcPr>
                  <w:tcW w:w="7695" w:type="dxa"/>
                  <w:hideMark/>
                </w:tcPr>
                <w:p w:rsidR="005F60C6" w:rsidRPr="005F60C6" w:rsidRDefault="00F7148B" w:rsidP="005F60C6">
                  <w:pPr>
                    <w:spacing w:before="0" w:after="0" w:line="240" w:lineRule="atLeast"/>
                    <w:rPr>
                      <w:rFonts w:ascii="Verdana" w:hAnsi="Verdana"/>
                      <w:sz w:val="19"/>
                      <w:szCs w:val="19"/>
                    </w:rPr>
                  </w:pPr>
                  <w:hyperlink r:id="rId27" w:history="1">
                    <w:r w:rsidR="005F60C6" w:rsidRPr="005F60C6">
                      <w:rPr>
                        <w:rStyle w:val="Hyperlink"/>
                        <w:rFonts w:ascii="Verdana" w:hAnsi="Verdana"/>
                        <w:sz w:val="19"/>
                        <w:szCs w:val="19"/>
                      </w:rPr>
                      <w:t>Existing L.1400 (02/2011) Definitions ((ICT Goods, ICT Networks, ICT Project, ICT Sector, ICT Services</w:t>
                    </w:r>
                  </w:hyperlink>
                </w:p>
              </w:tc>
            </w:tr>
            <w:tr w:rsidR="005F60C6" w:rsidRPr="005F60C6" w:rsidTr="00603E93">
              <w:trPr>
                <w:tblCellSpacing w:w="0" w:type="dxa"/>
              </w:trPr>
              <w:tc>
                <w:tcPr>
                  <w:tcW w:w="959" w:type="dxa"/>
                  <w:hideMark/>
                </w:tcPr>
                <w:p w:rsidR="005F60C6" w:rsidRPr="005F60C6" w:rsidRDefault="005F60C6" w:rsidP="005F60C6">
                  <w:pPr>
                    <w:spacing w:before="0" w:after="0" w:line="240" w:lineRule="atLeast"/>
                    <w:rPr>
                      <w:rFonts w:ascii="Verdana" w:hAnsi="Verdana"/>
                      <w:b/>
                      <w:bCs/>
                      <w:sz w:val="19"/>
                      <w:szCs w:val="19"/>
                    </w:rPr>
                  </w:pPr>
                  <w:r w:rsidRPr="005F60C6">
                    <w:rPr>
                      <w:rFonts w:ascii="Verdana" w:hAnsi="Verdana"/>
                      <w:b/>
                      <w:bCs/>
                      <w:sz w:val="19"/>
                      <w:szCs w:val="19"/>
                      <w:lang w:val="en-GB"/>
                    </w:rPr>
                    <w:t>6.</w:t>
                  </w:r>
                </w:p>
              </w:tc>
              <w:tc>
                <w:tcPr>
                  <w:tcW w:w="7695" w:type="dxa"/>
                  <w:hideMark/>
                </w:tcPr>
                <w:p w:rsidR="005F60C6" w:rsidRPr="005F60C6" w:rsidRDefault="00F7148B" w:rsidP="005F60C6">
                  <w:pPr>
                    <w:spacing w:before="0" w:after="0" w:line="240" w:lineRule="atLeast"/>
                    <w:rPr>
                      <w:rFonts w:ascii="Verdana" w:hAnsi="Verdana"/>
                      <w:sz w:val="19"/>
                      <w:szCs w:val="19"/>
                    </w:rPr>
                  </w:pPr>
                  <w:hyperlink r:id="rId28" w:history="1">
                    <w:proofErr w:type="spellStart"/>
                    <w:r w:rsidR="005F60C6" w:rsidRPr="005F60C6">
                      <w:rPr>
                        <w:rStyle w:val="Hyperlink"/>
                        <w:rFonts w:ascii="Verdana" w:hAnsi="Verdana"/>
                        <w:sz w:val="19"/>
                        <w:szCs w:val="19"/>
                      </w:rPr>
                      <w:t>Radiocommunication</w:t>
                    </w:r>
                    <w:proofErr w:type="spellEnd"/>
                    <w:r w:rsidR="005F60C6" w:rsidRPr="005F60C6">
                      <w:rPr>
                        <w:rStyle w:val="Hyperlink"/>
                        <w:rFonts w:ascii="Verdana" w:hAnsi="Verdana"/>
                        <w:sz w:val="19"/>
                        <w:szCs w:val="19"/>
                      </w:rPr>
                      <w:t xml:space="preserve"> Coordination Committee for Vocabulary (ITU-CCV)</w:t>
                    </w:r>
                  </w:hyperlink>
                </w:p>
              </w:tc>
            </w:tr>
            <w:tr w:rsidR="005F60C6" w:rsidRPr="005F60C6" w:rsidTr="00603E93">
              <w:trPr>
                <w:tblCellSpacing w:w="0" w:type="dxa"/>
              </w:trPr>
              <w:tc>
                <w:tcPr>
                  <w:tcW w:w="959" w:type="dxa"/>
                  <w:hideMark/>
                </w:tcPr>
                <w:p w:rsidR="005F60C6" w:rsidRPr="005F60C6" w:rsidRDefault="005F60C6" w:rsidP="005F60C6">
                  <w:pPr>
                    <w:spacing w:before="0" w:after="0" w:line="240" w:lineRule="atLeast"/>
                    <w:rPr>
                      <w:rFonts w:ascii="Verdana" w:hAnsi="Verdana"/>
                      <w:b/>
                      <w:bCs/>
                      <w:sz w:val="19"/>
                      <w:szCs w:val="19"/>
                    </w:rPr>
                  </w:pPr>
                  <w:r w:rsidRPr="005F60C6">
                    <w:rPr>
                      <w:rFonts w:ascii="Verdana" w:hAnsi="Verdana"/>
                      <w:b/>
                      <w:bCs/>
                      <w:sz w:val="19"/>
                      <w:szCs w:val="19"/>
                      <w:lang w:val="en-GB"/>
                    </w:rPr>
                    <w:t>7.</w:t>
                  </w:r>
                </w:p>
              </w:tc>
              <w:tc>
                <w:tcPr>
                  <w:tcW w:w="7695" w:type="dxa"/>
                  <w:shd w:val="clear" w:color="auto" w:fill="auto"/>
                </w:tcPr>
                <w:p w:rsidR="005F60C6" w:rsidRPr="005F60C6" w:rsidRDefault="00F7148B" w:rsidP="005F60C6">
                  <w:pPr>
                    <w:spacing w:before="0" w:after="0" w:line="240" w:lineRule="atLeast"/>
                    <w:rPr>
                      <w:rFonts w:ascii="Verdana" w:hAnsi="Verdana"/>
                      <w:sz w:val="19"/>
                      <w:szCs w:val="19"/>
                    </w:rPr>
                  </w:pPr>
                  <w:hyperlink r:id="rId29" w:history="1">
                    <w:r w:rsidR="005F60C6" w:rsidRPr="005F60C6">
                      <w:rPr>
                        <w:rStyle w:val="Hyperlink"/>
                        <w:rFonts w:ascii="Verdana" w:hAnsi="Verdana"/>
                        <w:sz w:val="19"/>
                        <w:szCs w:val="19"/>
                      </w:rPr>
                      <w:t>Standardization Committee for Vocabulary (SCV)</w:t>
                    </w:r>
                  </w:hyperlink>
                </w:p>
              </w:tc>
            </w:tr>
          </w:tbl>
          <w:p w:rsidR="005F60C6" w:rsidRPr="002D09B9" w:rsidRDefault="005F60C6" w:rsidP="005F60C6">
            <w:pPr>
              <w:pStyle w:val="CEOcontributionStart"/>
              <w:spacing w:before="120"/>
              <w:rPr>
                <w:b/>
                <w:bCs/>
              </w:rPr>
            </w:pPr>
            <w:r w:rsidRPr="002D09B9">
              <w:rPr>
                <w:b/>
                <w:bCs/>
              </w:rPr>
              <w:t>Timeline</w:t>
            </w:r>
            <w:r>
              <w:rPr>
                <w:b/>
                <w:bCs/>
              </w:rPr>
              <w:t>:</w:t>
            </w:r>
          </w:p>
          <w:p w:rsidR="005F60C6" w:rsidRPr="002D09B9" w:rsidRDefault="005F60C6" w:rsidP="005F60C6">
            <w:pPr>
              <w:pStyle w:val="CEOcontributionStart"/>
              <w:numPr>
                <w:ilvl w:val="0"/>
                <w:numId w:val="22"/>
              </w:numPr>
              <w:spacing w:before="120"/>
              <w:rPr>
                <w:lang w:val="en-US"/>
              </w:rPr>
            </w:pPr>
            <w:r w:rsidRPr="002D09B9">
              <w:rPr>
                <w:lang w:val="en-US"/>
              </w:rPr>
              <w:t>T</w:t>
            </w:r>
            <w:r w:rsidRPr="002D09B9">
              <w:rPr>
                <w:rFonts w:hint="eastAsia"/>
              </w:rPr>
              <w:t>he Correspondence Group was established during the September 2012 meeting of ITU-D Study Group 1. The Group will conclude its work in early 2013 to finalize and submit their report to the next ITU-D Study Group 1 and 2 meetings in September 2013 as well as</w:t>
            </w:r>
            <w:r>
              <w:rPr>
                <w:rFonts w:hint="eastAsia"/>
              </w:rPr>
              <w:t xml:space="preserve"> to TDAG-13 in December 2013</w:t>
            </w:r>
            <w:r>
              <w:t>.</w:t>
            </w:r>
          </w:p>
          <w:p w:rsidR="005F60C6" w:rsidRPr="002D09B9" w:rsidRDefault="005F60C6" w:rsidP="005F60C6">
            <w:pPr>
              <w:pStyle w:val="CEOcontributionStart"/>
              <w:numPr>
                <w:ilvl w:val="0"/>
                <w:numId w:val="22"/>
              </w:numPr>
              <w:spacing w:before="120"/>
              <w:rPr>
                <w:lang w:val="en-US"/>
              </w:rPr>
            </w:pPr>
            <w:r w:rsidRPr="002D09B9">
              <w:rPr>
                <w:rFonts w:hint="eastAsia"/>
              </w:rPr>
              <w:t xml:space="preserve">In order to report to Council in 2014 on the outcomes of this work to elaborate a working definition of the term ICT, the following timeline </w:t>
            </w:r>
            <w:r w:rsidRPr="002D09B9">
              <w:rPr>
                <w:lang w:val="en-US"/>
              </w:rPr>
              <w:t>was agreed</w:t>
            </w:r>
            <w:r w:rsidRPr="002D09B9">
              <w:t xml:space="preserve">: </w:t>
            </w:r>
          </w:p>
          <w:tbl>
            <w:tblPr>
              <w:tblW w:w="4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954"/>
              <w:gridCol w:w="5776"/>
            </w:tblGrid>
            <w:tr w:rsidR="005F60C6" w:rsidRPr="002D09B9" w:rsidTr="005F60C6">
              <w:trPr>
                <w:tblCellSpacing w:w="0" w:type="dxa"/>
              </w:trPr>
              <w:tc>
                <w:tcPr>
                  <w:tcW w:w="1954" w:type="dxa"/>
                  <w:vAlign w:val="center"/>
                  <w:hideMark/>
                </w:tcPr>
                <w:p w:rsidR="005F60C6" w:rsidRPr="002D09B9" w:rsidRDefault="005F60C6" w:rsidP="005F60C6">
                  <w:pPr>
                    <w:pStyle w:val="CEOcontributionStart"/>
                    <w:spacing w:before="0" w:after="0"/>
                    <w:rPr>
                      <w:lang w:val="en-US"/>
                    </w:rPr>
                  </w:pPr>
                  <w:r w:rsidRPr="002D09B9">
                    <w:rPr>
                      <w:b/>
                      <w:bCs/>
                    </w:rPr>
                    <w:lastRenderedPageBreak/>
                    <w:t>September 2012</w:t>
                  </w:r>
                </w:p>
              </w:tc>
              <w:tc>
                <w:tcPr>
                  <w:tcW w:w="5776" w:type="dxa"/>
                  <w:vAlign w:val="center"/>
                  <w:hideMark/>
                </w:tcPr>
                <w:p w:rsidR="005F60C6" w:rsidRPr="002D09B9" w:rsidRDefault="005F60C6" w:rsidP="005F60C6">
                  <w:pPr>
                    <w:pStyle w:val="CEOcontributionStart"/>
                    <w:spacing w:before="0" w:after="0"/>
                    <w:rPr>
                      <w:lang w:val="en-US"/>
                    </w:rPr>
                  </w:pPr>
                  <w:r w:rsidRPr="002D09B9">
                    <w:t xml:space="preserve">Correspondence Group is established </w:t>
                  </w:r>
                </w:p>
              </w:tc>
            </w:tr>
            <w:tr w:rsidR="005F60C6" w:rsidRPr="002D09B9" w:rsidTr="005F60C6">
              <w:trPr>
                <w:tblCellSpacing w:w="0" w:type="dxa"/>
              </w:trPr>
              <w:tc>
                <w:tcPr>
                  <w:tcW w:w="1954" w:type="dxa"/>
                  <w:vMerge w:val="restart"/>
                  <w:vAlign w:val="center"/>
                  <w:hideMark/>
                </w:tcPr>
                <w:p w:rsidR="005F60C6" w:rsidRPr="002D09B9" w:rsidRDefault="005F60C6" w:rsidP="005F60C6">
                  <w:pPr>
                    <w:pStyle w:val="CEOcontributionStart"/>
                    <w:spacing w:before="0" w:after="0"/>
                    <w:rPr>
                      <w:lang w:val="en-US"/>
                    </w:rPr>
                  </w:pPr>
                  <w:r w:rsidRPr="002D09B9">
                    <w:rPr>
                      <w:lang w:val="en-US"/>
                    </w:rPr>
                    <w:t> </w:t>
                  </w:r>
                </w:p>
              </w:tc>
              <w:tc>
                <w:tcPr>
                  <w:tcW w:w="5776" w:type="dxa"/>
                  <w:vAlign w:val="center"/>
                  <w:hideMark/>
                </w:tcPr>
                <w:p w:rsidR="005F60C6" w:rsidRPr="002D09B9" w:rsidRDefault="005F60C6" w:rsidP="005F60C6">
                  <w:pPr>
                    <w:pStyle w:val="CEOcontributionStart"/>
                    <w:spacing w:before="0" w:after="0"/>
                    <w:rPr>
                      <w:lang w:val="en-US"/>
                    </w:rPr>
                  </w:pPr>
                  <w:r w:rsidRPr="002D09B9">
                    <w:t>Consultation process is initiated with the membership.</w:t>
                  </w:r>
                </w:p>
              </w:tc>
            </w:tr>
            <w:tr w:rsidR="005F60C6" w:rsidRPr="002D09B9" w:rsidTr="005F60C6">
              <w:trPr>
                <w:tblCellSpacing w:w="0" w:type="dxa"/>
              </w:trPr>
              <w:tc>
                <w:tcPr>
                  <w:tcW w:w="1954" w:type="dxa"/>
                  <w:vMerge/>
                  <w:vAlign w:val="center"/>
                  <w:hideMark/>
                </w:tcPr>
                <w:p w:rsidR="005F60C6" w:rsidRPr="002D09B9" w:rsidRDefault="005F60C6" w:rsidP="005F60C6">
                  <w:pPr>
                    <w:pStyle w:val="CEOcontributionStart"/>
                    <w:spacing w:before="0" w:after="0"/>
                    <w:rPr>
                      <w:lang w:val="en-US"/>
                    </w:rPr>
                  </w:pPr>
                </w:p>
              </w:tc>
              <w:tc>
                <w:tcPr>
                  <w:tcW w:w="5776" w:type="dxa"/>
                  <w:vAlign w:val="center"/>
                  <w:hideMark/>
                </w:tcPr>
                <w:p w:rsidR="005F60C6" w:rsidRPr="002D09B9" w:rsidRDefault="005F60C6" w:rsidP="00490F6B">
                  <w:pPr>
                    <w:pStyle w:val="CEOcontributionStart"/>
                    <w:spacing w:before="0" w:after="0"/>
                    <w:rPr>
                      <w:lang w:val="en-US"/>
                    </w:rPr>
                  </w:pPr>
                  <w:r w:rsidRPr="002D09B9">
                    <w:t xml:space="preserve">The other Sectors are informed of the establishment of the Correspondence Group. A Liaison Statement from ITU-D Study Group 1 is sent to Chairmen of all ITU Study Groups, Chairmen of </w:t>
                  </w:r>
                  <w:proofErr w:type="spellStart"/>
                  <w:r w:rsidRPr="002D09B9">
                    <w:t>Radiocommunication</w:t>
                  </w:r>
                  <w:proofErr w:type="spellEnd"/>
                  <w:r w:rsidRPr="002D09B9">
                    <w:t xml:space="preserve"> Coordination Committee for Vocabulary (CCV) and </w:t>
                  </w:r>
                  <w:r w:rsidR="0052173B" w:rsidRPr="0052173B">
                    <w:t>Standardization Committee for Vocabulary (SCV)</w:t>
                  </w:r>
                  <w:r w:rsidRPr="002D09B9">
                    <w:t>, and Chairmen of TSAG, TDAG</w:t>
                  </w:r>
                  <w:r w:rsidR="00490F6B">
                    <w:t>,</w:t>
                  </w:r>
                  <w:r w:rsidRPr="002D09B9">
                    <w:t xml:space="preserve"> RAG.</w:t>
                  </w:r>
                </w:p>
              </w:tc>
            </w:tr>
            <w:tr w:rsidR="005F60C6" w:rsidRPr="002D09B9" w:rsidTr="005F60C6">
              <w:trPr>
                <w:tblCellSpacing w:w="0" w:type="dxa"/>
              </w:trPr>
              <w:tc>
                <w:tcPr>
                  <w:tcW w:w="1954" w:type="dxa"/>
                  <w:vMerge/>
                  <w:vAlign w:val="center"/>
                  <w:hideMark/>
                </w:tcPr>
                <w:p w:rsidR="005F60C6" w:rsidRPr="002D09B9" w:rsidRDefault="005F60C6" w:rsidP="005F60C6">
                  <w:pPr>
                    <w:pStyle w:val="CEOcontributionStart"/>
                    <w:spacing w:before="0" w:after="0"/>
                    <w:rPr>
                      <w:lang w:val="en-US"/>
                    </w:rPr>
                  </w:pPr>
                </w:p>
              </w:tc>
              <w:tc>
                <w:tcPr>
                  <w:tcW w:w="5776" w:type="dxa"/>
                  <w:vAlign w:val="center"/>
                  <w:hideMark/>
                </w:tcPr>
                <w:p w:rsidR="005F60C6" w:rsidRPr="002D09B9" w:rsidRDefault="005F60C6" w:rsidP="005F60C6">
                  <w:pPr>
                    <w:pStyle w:val="CEOcontributionStart"/>
                    <w:spacing w:before="0" w:after="0"/>
                    <w:rPr>
                      <w:lang w:val="en-US"/>
                    </w:rPr>
                  </w:pPr>
                  <w:r w:rsidRPr="002D09B9">
                    <w:t>The liaison will seek input from the membership on the topic matter and nominations of experts to play an active role in the Correspondence Group. The liaison will ask the Chairmen to sign up for the e-mail reflector and announce to their members the creation of the Correspondence Group.</w:t>
                  </w:r>
                </w:p>
              </w:tc>
            </w:tr>
            <w:tr w:rsidR="005F60C6" w:rsidRPr="002D09B9" w:rsidTr="005F60C6">
              <w:trPr>
                <w:tblCellSpacing w:w="0" w:type="dxa"/>
              </w:trPr>
              <w:tc>
                <w:tcPr>
                  <w:tcW w:w="1954" w:type="dxa"/>
                  <w:vMerge/>
                  <w:vAlign w:val="center"/>
                  <w:hideMark/>
                </w:tcPr>
                <w:p w:rsidR="005F60C6" w:rsidRPr="002D09B9" w:rsidRDefault="005F60C6" w:rsidP="005F60C6">
                  <w:pPr>
                    <w:pStyle w:val="CEOcontributionStart"/>
                    <w:spacing w:before="0" w:after="0"/>
                    <w:rPr>
                      <w:lang w:val="en-US"/>
                    </w:rPr>
                  </w:pPr>
                </w:p>
              </w:tc>
              <w:tc>
                <w:tcPr>
                  <w:tcW w:w="5776" w:type="dxa"/>
                  <w:vAlign w:val="center"/>
                  <w:hideMark/>
                </w:tcPr>
                <w:p w:rsidR="005F60C6" w:rsidRPr="002D09B9" w:rsidRDefault="005F60C6" w:rsidP="005F60C6">
                  <w:pPr>
                    <w:pStyle w:val="CEOcontributionStart"/>
                    <w:spacing w:before="0" w:after="0"/>
                    <w:rPr>
                      <w:lang w:val="en-US"/>
                    </w:rPr>
                  </w:pPr>
                  <w:r w:rsidRPr="002D09B9">
                    <w:t>A dedicated website will be provided with background material on the issue. This website will include reference to all ITU documents on the topic and contributions received from members. An online form through which contributions can be submitted will also be provided.</w:t>
                  </w:r>
                </w:p>
              </w:tc>
            </w:tr>
            <w:tr w:rsidR="005F60C6" w:rsidRPr="002D09B9" w:rsidTr="005F60C6">
              <w:trPr>
                <w:tblCellSpacing w:w="0" w:type="dxa"/>
              </w:trPr>
              <w:tc>
                <w:tcPr>
                  <w:tcW w:w="1954" w:type="dxa"/>
                  <w:vMerge/>
                  <w:vAlign w:val="center"/>
                  <w:hideMark/>
                </w:tcPr>
                <w:p w:rsidR="005F60C6" w:rsidRPr="002D09B9" w:rsidRDefault="005F60C6" w:rsidP="005F60C6">
                  <w:pPr>
                    <w:pStyle w:val="CEOcontributionStart"/>
                    <w:spacing w:before="0" w:after="0"/>
                    <w:rPr>
                      <w:lang w:val="en-US"/>
                    </w:rPr>
                  </w:pPr>
                </w:p>
              </w:tc>
              <w:tc>
                <w:tcPr>
                  <w:tcW w:w="5776" w:type="dxa"/>
                  <w:vAlign w:val="center"/>
                  <w:hideMark/>
                </w:tcPr>
                <w:p w:rsidR="005F60C6" w:rsidRPr="002D09B9" w:rsidRDefault="005F60C6" w:rsidP="005F60C6">
                  <w:pPr>
                    <w:pStyle w:val="CEOcontributionStart"/>
                    <w:spacing w:before="0" w:after="0"/>
                    <w:rPr>
                      <w:lang w:val="en-US"/>
                    </w:rPr>
                  </w:pPr>
                  <w:r w:rsidRPr="002D09B9">
                    <w:rPr>
                      <w:lang w:val="en-US"/>
                    </w:rPr>
                    <w:t xml:space="preserve">An e-mail reflector list is established for those who have indicated an interest in the topic. In addition, a specific area in the ITU-D Study Groups e-Forum (an online discussion forum) is set up to facilitate discussions. </w:t>
                  </w:r>
                </w:p>
              </w:tc>
            </w:tr>
            <w:tr w:rsidR="005F60C6" w:rsidRPr="002D09B9" w:rsidTr="005F60C6">
              <w:trPr>
                <w:tblCellSpacing w:w="0" w:type="dxa"/>
              </w:trPr>
              <w:tc>
                <w:tcPr>
                  <w:tcW w:w="1954" w:type="dxa"/>
                  <w:vAlign w:val="center"/>
                  <w:hideMark/>
                </w:tcPr>
                <w:p w:rsidR="005F60C6" w:rsidRPr="002D09B9" w:rsidRDefault="005F60C6" w:rsidP="005F60C6">
                  <w:pPr>
                    <w:pStyle w:val="CEOcontributionStart"/>
                    <w:spacing w:before="0" w:after="0"/>
                    <w:rPr>
                      <w:lang w:val="en-US"/>
                    </w:rPr>
                  </w:pPr>
                  <w:r w:rsidRPr="002D09B9">
                    <w:rPr>
                      <w:b/>
                      <w:bCs/>
                    </w:rPr>
                    <w:t>December 2012</w:t>
                  </w:r>
                </w:p>
              </w:tc>
              <w:tc>
                <w:tcPr>
                  <w:tcW w:w="5776" w:type="dxa"/>
                  <w:vAlign w:val="center"/>
                  <w:hideMark/>
                </w:tcPr>
                <w:p w:rsidR="005F60C6" w:rsidRPr="002D09B9" w:rsidRDefault="005F60C6" w:rsidP="005F60C6">
                  <w:pPr>
                    <w:pStyle w:val="CEOcontributionStart"/>
                    <w:spacing w:before="0" w:after="0"/>
                    <w:rPr>
                      <w:lang w:val="en-US"/>
                    </w:rPr>
                  </w:pPr>
                  <w:r w:rsidRPr="002D09B9">
                    <w:rPr>
                      <w:lang w:val="en-US"/>
                    </w:rPr>
                    <w:t xml:space="preserve">Initial input received from the membership is shared in a table on the dedicated website, organized by country in alphabetical order. </w:t>
                  </w:r>
                </w:p>
              </w:tc>
            </w:tr>
            <w:tr w:rsidR="005F60C6" w:rsidRPr="002D09B9" w:rsidTr="005F60C6">
              <w:trPr>
                <w:tblCellSpacing w:w="0" w:type="dxa"/>
              </w:trPr>
              <w:tc>
                <w:tcPr>
                  <w:tcW w:w="1954" w:type="dxa"/>
                  <w:vMerge w:val="restart"/>
                  <w:vAlign w:val="center"/>
                  <w:hideMark/>
                </w:tcPr>
                <w:p w:rsidR="005F60C6" w:rsidRPr="002D09B9" w:rsidRDefault="005F60C6" w:rsidP="005F60C6">
                  <w:pPr>
                    <w:pStyle w:val="CEOcontributionStart"/>
                    <w:spacing w:before="0" w:after="0"/>
                    <w:rPr>
                      <w:lang w:val="en-US"/>
                    </w:rPr>
                  </w:pPr>
                  <w:r w:rsidRPr="002D09B9">
                    <w:rPr>
                      <w:lang w:val="en-US"/>
                    </w:rPr>
                    <w:t> </w:t>
                  </w:r>
                </w:p>
                <w:p w:rsidR="005F60C6" w:rsidRPr="002D09B9" w:rsidRDefault="005F60C6" w:rsidP="005F60C6">
                  <w:pPr>
                    <w:pStyle w:val="CEOcontributionStart"/>
                    <w:spacing w:before="0" w:after="0"/>
                    <w:rPr>
                      <w:lang w:val="en-US"/>
                    </w:rPr>
                  </w:pPr>
                  <w:r w:rsidRPr="002D09B9">
                    <w:rPr>
                      <w:lang w:val="en-US"/>
                    </w:rPr>
                    <w:t> </w:t>
                  </w:r>
                </w:p>
              </w:tc>
              <w:tc>
                <w:tcPr>
                  <w:tcW w:w="5776" w:type="dxa"/>
                  <w:vAlign w:val="center"/>
                  <w:hideMark/>
                </w:tcPr>
                <w:p w:rsidR="005F60C6" w:rsidRPr="002D09B9" w:rsidRDefault="005F60C6" w:rsidP="005F60C6">
                  <w:pPr>
                    <w:pStyle w:val="CEOcontributionStart"/>
                    <w:spacing w:before="0" w:after="0"/>
                    <w:rPr>
                      <w:lang w:val="en-US"/>
                    </w:rPr>
                  </w:pPr>
                  <w:r w:rsidRPr="002D09B9">
                    <w:rPr>
                      <w:lang w:val="en-US"/>
                    </w:rPr>
                    <w:t>All contributions received to date are also made available on the website.</w:t>
                  </w:r>
                </w:p>
              </w:tc>
            </w:tr>
            <w:tr w:rsidR="005F60C6" w:rsidRPr="002D09B9" w:rsidTr="005F60C6">
              <w:trPr>
                <w:tblCellSpacing w:w="0" w:type="dxa"/>
              </w:trPr>
              <w:tc>
                <w:tcPr>
                  <w:tcW w:w="1954" w:type="dxa"/>
                  <w:vMerge/>
                  <w:vAlign w:val="center"/>
                  <w:hideMark/>
                </w:tcPr>
                <w:p w:rsidR="005F60C6" w:rsidRPr="002D09B9" w:rsidRDefault="005F60C6" w:rsidP="005F60C6">
                  <w:pPr>
                    <w:pStyle w:val="CEOcontributionStart"/>
                    <w:spacing w:before="0" w:after="0"/>
                    <w:rPr>
                      <w:lang w:val="en-US"/>
                    </w:rPr>
                  </w:pPr>
                </w:p>
              </w:tc>
              <w:tc>
                <w:tcPr>
                  <w:tcW w:w="5776" w:type="dxa"/>
                  <w:vAlign w:val="center"/>
                  <w:hideMark/>
                </w:tcPr>
                <w:p w:rsidR="005F60C6" w:rsidRPr="002D09B9" w:rsidRDefault="005F60C6" w:rsidP="005F60C6">
                  <w:pPr>
                    <w:pStyle w:val="CEOcontributionStart"/>
                    <w:spacing w:before="0" w:after="0"/>
                    <w:rPr>
                      <w:lang w:val="en-US"/>
                    </w:rPr>
                  </w:pPr>
                  <w:r w:rsidRPr="002D09B9">
                    <w:rPr>
                      <w:lang w:val="en-US"/>
                    </w:rPr>
                    <w:t xml:space="preserve">Liaison statement is prepared and sent to provide information on the work in progress. </w:t>
                  </w:r>
                </w:p>
              </w:tc>
            </w:tr>
            <w:tr w:rsidR="005F60C6" w:rsidRPr="002D09B9" w:rsidTr="005F60C6">
              <w:trPr>
                <w:tblCellSpacing w:w="0" w:type="dxa"/>
              </w:trPr>
              <w:tc>
                <w:tcPr>
                  <w:tcW w:w="1954" w:type="dxa"/>
                  <w:vAlign w:val="center"/>
                  <w:hideMark/>
                </w:tcPr>
                <w:p w:rsidR="005F60C6" w:rsidRPr="002D09B9" w:rsidRDefault="005F60C6" w:rsidP="005F60C6">
                  <w:pPr>
                    <w:pStyle w:val="CEOcontributionStart"/>
                    <w:spacing w:before="0" w:after="0"/>
                    <w:rPr>
                      <w:lang w:val="en-US"/>
                    </w:rPr>
                  </w:pPr>
                  <w:r w:rsidRPr="002D09B9">
                    <w:rPr>
                      <w:b/>
                      <w:bCs/>
                    </w:rPr>
                    <w:t>March 2013</w:t>
                  </w:r>
                </w:p>
              </w:tc>
              <w:tc>
                <w:tcPr>
                  <w:tcW w:w="5776" w:type="dxa"/>
                  <w:vAlign w:val="center"/>
                  <w:hideMark/>
                </w:tcPr>
                <w:p w:rsidR="005F60C6" w:rsidRPr="002D09B9" w:rsidRDefault="005F60C6" w:rsidP="005F60C6">
                  <w:pPr>
                    <w:pStyle w:val="CEOcontributionStart"/>
                    <w:spacing w:before="0" w:after="0"/>
                    <w:rPr>
                      <w:lang w:val="en-US"/>
                    </w:rPr>
                  </w:pPr>
                  <w:r w:rsidRPr="002D09B9">
                    <w:rPr>
                      <w:lang w:val="en-US"/>
                    </w:rPr>
                    <w:t>Draft report providing the results of the work of the Group is prepared and finalized.</w:t>
                  </w:r>
                </w:p>
              </w:tc>
            </w:tr>
            <w:tr w:rsidR="005F60C6" w:rsidRPr="002D09B9" w:rsidTr="005F60C6">
              <w:trPr>
                <w:tblCellSpacing w:w="0" w:type="dxa"/>
              </w:trPr>
              <w:tc>
                <w:tcPr>
                  <w:tcW w:w="1954" w:type="dxa"/>
                  <w:vAlign w:val="center"/>
                  <w:hideMark/>
                </w:tcPr>
                <w:p w:rsidR="005F60C6" w:rsidRPr="002D09B9" w:rsidRDefault="005F60C6" w:rsidP="005F60C6">
                  <w:pPr>
                    <w:pStyle w:val="CEOcontributionStart"/>
                    <w:spacing w:before="0" w:after="0"/>
                    <w:rPr>
                      <w:lang w:val="en-US"/>
                    </w:rPr>
                  </w:pPr>
                  <w:r w:rsidRPr="002D09B9">
                    <w:rPr>
                      <w:lang w:val="en-US"/>
                    </w:rPr>
                    <w:t> </w:t>
                  </w:r>
                </w:p>
              </w:tc>
              <w:tc>
                <w:tcPr>
                  <w:tcW w:w="5776" w:type="dxa"/>
                  <w:vAlign w:val="center"/>
                  <w:hideMark/>
                </w:tcPr>
                <w:p w:rsidR="005F60C6" w:rsidRPr="002D09B9" w:rsidRDefault="005F60C6" w:rsidP="005F60C6">
                  <w:pPr>
                    <w:pStyle w:val="CEOcontributionStart"/>
                    <w:spacing w:before="0" w:after="0"/>
                    <w:rPr>
                      <w:lang w:val="en-US"/>
                    </w:rPr>
                  </w:pPr>
                  <w:r w:rsidRPr="002D09B9">
                    <w:rPr>
                      <w:lang w:val="en-US"/>
                    </w:rPr>
                    <w:t xml:space="preserve">The Final Report is shared on the website and submitted to ITU-D Study Groups 1 and 2, to the relevant Groups in the other Sectors, and to TDAG. </w:t>
                  </w:r>
                </w:p>
              </w:tc>
            </w:tr>
            <w:tr w:rsidR="005F60C6" w:rsidRPr="002D09B9" w:rsidTr="005F60C6">
              <w:trPr>
                <w:tblCellSpacing w:w="0" w:type="dxa"/>
              </w:trPr>
              <w:tc>
                <w:tcPr>
                  <w:tcW w:w="1954" w:type="dxa"/>
                  <w:vAlign w:val="center"/>
                  <w:hideMark/>
                </w:tcPr>
                <w:p w:rsidR="005F60C6" w:rsidRPr="002D09B9" w:rsidRDefault="005F60C6" w:rsidP="005F60C6">
                  <w:pPr>
                    <w:pStyle w:val="CEOcontributionStart"/>
                    <w:spacing w:before="0" w:after="0"/>
                    <w:rPr>
                      <w:lang w:val="en-US"/>
                    </w:rPr>
                  </w:pPr>
                  <w:r w:rsidRPr="002D09B9">
                    <w:rPr>
                      <w:b/>
                      <w:bCs/>
                    </w:rPr>
                    <w:t>2014</w:t>
                  </w:r>
                </w:p>
              </w:tc>
              <w:tc>
                <w:tcPr>
                  <w:tcW w:w="5776" w:type="dxa"/>
                  <w:vAlign w:val="center"/>
                  <w:hideMark/>
                </w:tcPr>
                <w:p w:rsidR="005F60C6" w:rsidRPr="002D09B9" w:rsidRDefault="005F60C6" w:rsidP="005F60C6">
                  <w:pPr>
                    <w:pStyle w:val="CEOcontributionStart"/>
                    <w:spacing w:before="0" w:after="0"/>
                    <w:rPr>
                      <w:lang w:val="en-US"/>
                    </w:rPr>
                  </w:pPr>
                  <w:r w:rsidRPr="002D09B9">
                    <w:rPr>
                      <w:lang w:val="en-US"/>
                    </w:rPr>
                    <w:t>Final Report is presented to Council in 2014 and to the Plenipotentiary Conference in 2014.  </w:t>
                  </w:r>
                </w:p>
              </w:tc>
            </w:tr>
          </w:tbl>
          <w:p w:rsidR="005F60C6" w:rsidRPr="002D09B9" w:rsidRDefault="005F60C6" w:rsidP="005F60C6">
            <w:pPr>
              <w:pStyle w:val="CEOcontributionStart"/>
              <w:spacing w:before="120"/>
              <w:rPr>
                <w:b/>
                <w:bCs/>
              </w:rPr>
            </w:pPr>
            <w:r w:rsidRPr="002D09B9">
              <w:rPr>
                <w:b/>
                <w:bCs/>
              </w:rPr>
              <w:t>Secretariat</w:t>
            </w:r>
            <w:r>
              <w:rPr>
                <w:b/>
                <w:bCs/>
              </w:rPr>
              <w:t>:</w:t>
            </w:r>
          </w:p>
          <w:p w:rsidR="005F60C6" w:rsidRDefault="005F60C6" w:rsidP="004C0804">
            <w:pPr>
              <w:pStyle w:val="CEOcontributionStart"/>
              <w:spacing w:before="120"/>
            </w:pPr>
            <w:r w:rsidRPr="002D09B9">
              <w:rPr>
                <w:rFonts w:hint="eastAsia"/>
              </w:rPr>
              <w:t xml:space="preserve">Secretariat: </w:t>
            </w:r>
            <w:hyperlink r:id="rId30" w:history="1">
              <w:r w:rsidRPr="002D09B9">
                <w:rPr>
                  <w:rStyle w:val="Hyperlink"/>
                  <w:b/>
                  <w:bCs/>
                </w:rPr>
                <w:t>ITU-D Study Groups</w:t>
              </w:r>
            </w:hyperlink>
            <w:r w:rsidRPr="002D09B9">
              <w:rPr>
                <w:rFonts w:hint="eastAsia"/>
              </w:rPr>
              <w:t xml:space="preserve"> </w:t>
            </w:r>
            <w:r w:rsidRPr="002D09B9">
              <w:rPr>
                <w:rFonts w:hint="eastAsia"/>
              </w:rPr>
              <w:br/>
              <w:t xml:space="preserve">Contact: </w:t>
            </w:r>
            <w:hyperlink r:id="rId31" w:history="1">
              <w:r w:rsidRPr="001D285D">
                <w:rPr>
                  <w:rStyle w:val="Hyperlink"/>
                  <w:b/>
                  <w:bCs/>
                </w:rPr>
                <w:t>devsg@itu.int</w:t>
              </w:r>
            </w:hyperlink>
            <w:r w:rsidRPr="002D09B9">
              <w:rPr>
                <w:lang w:val="en-US"/>
              </w:rPr>
              <w:t xml:space="preserve"> </w:t>
            </w:r>
            <w:r w:rsidRPr="002D09B9">
              <w:rPr>
                <w:rFonts w:hint="eastAsia"/>
              </w:rPr>
              <w:t> </w:t>
            </w:r>
          </w:p>
          <w:p w:rsidR="005F60C6" w:rsidRDefault="004C0804" w:rsidP="004C0804">
            <w:pPr>
              <w:pStyle w:val="CEOcontributionStart"/>
              <w:spacing w:before="120"/>
              <w:rPr>
                <w:b/>
                <w:bCs/>
              </w:rPr>
            </w:pPr>
            <w:r>
              <w:rPr>
                <w:b/>
                <w:bCs/>
              </w:rPr>
              <w:t>Dedicated Website:</w:t>
            </w:r>
          </w:p>
          <w:p w:rsidR="004C0804" w:rsidRPr="002D09B9" w:rsidRDefault="00F7148B" w:rsidP="004C0804">
            <w:pPr>
              <w:pStyle w:val="CEOcontributionStart"/>
              <w:spacing w:before="120"/>
              <w:rPr>
                <w:b/>
                <w:bCs/>
              </w:rPr>
            </w:pPr>
            <w:hyperlink r:id="rId32" w:history="1">
              <w:r w:rsidR="004C0804" w:rsidRPr="00C9023A">
                <w:rPr>
                  <w:rStyle w:val="Hyperlink"/>
                  <w:rFonts w:cs="Simplified Arabic"/>
                  <w:b/>
                  <w:bCs/>
                </w:rPr>
                <w:t>http://www.itu.int/ITU-D/study_groups/SGP_2010-2014/groups/definition/index.html</w:t>
              </w:r>
            </w:hyperlink>
            <w:r w:rsidR="004C0804">
              <w:rPr>
                <w:b/>
                <w:bCs/>
              </w:rPr>
              <w:t xml:space="preserve"> </w:t>
            </w:r>
          </w:p>
          <w:p w:rsidR="0046067E" w:rsidRDefault="0046067E" w:rsidP="00A26532">
            <w:pPr>
              <w:pStyle w:val="CEONormal"/>
              <w:spacing w:before="240" w:after="0"/>
              <w:jc w:val="center"/>
              <w:rPr>
                <w:szCs w:val="19"/>
              </w:rPr>
            </w:pPr>
            <w:r>
              <w:t>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6067E" w:rsidTr="0046067E">
        <w:tc>
          <w:tcPr>
            <w:tcW w:w="9855" w:type="dxa"/>
          </w:tcPr>
          <w:p w:rsidR="0046067E" w:rsidRDefault="0046067E" w:rsidP="00610E0E">
            <w:pPr>
              <w:pStyle w:val="BDTHorizontalLine"/>
              <w:spacing w:before="0" w:after="0"/>
              <w:jc w:val="left"/>
              <w:rPr>
                <w:lang w:val="en-US"/>
              </w:rPr>
            </w:pPr>
          </w:p>
        </w:tc>
      </w:tr>
    </w:tbl>
    <w:p w:rsidR="00563963" w:rsidRPr="00B014A2" w:rsidRDefault="00563963" w:rsidP="00610E0E">
      <w:pPr>
        <w:pStyle w:val="BDTHorizontalLine"/>
        <w:spacing w:before="0" w:after="0"/>
        <w:jc w:val="left"/>
        <w:rPr>
          <w:lang w:val="en-US"/>
        </w:rPr>
      </w:pPr>
    </w:p>
    <w:sectPr w:rsidR="00563963" w:rsidRPr="00B014A2" w:rsidSect="00563963">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endnote>
  <w:endnote w:type="continuationSeparator" w:id="0">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w:t>
    </w:r>
    <w:proofErr w:type="spellStart"/>
    <w:r>
      <w:t>itu-d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footnote>
  <w:footnote w:type="continuationSeparator" w:id="0">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AC784D" w:rsidRDefault="00AC784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AC784D" w:rsidRDefault="00AC7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F7148B">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F7148B">
      <w:rPr>
        <w:noProof/>
      </w:rPr>
      <w:t>5</w:t>
    </w:r>
    <w:r>
      <w:rPr>
        <w:noProof/>
      </w:rPr>
      <w:fldChar w:fldCharType="end"/>
    </w:r>
    <w:r w:rsidRPr="00AA3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4D" w:rsidRDefault="00AC784D">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05F2F0F"/>
    <w:multiLevelType w:val="multilevel"/>
    <w:tmpl w:val="2EAE4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38334DB"/>
    <w:multiLevelType w:val="multilevel"/>
    <w:tmpl w:val="DA5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41471"/>
    <w:multiLevelType w:val="hybridMultilevel"/>
    <w:tmpl w:val="BFCED3B6"/>
    <w:lvl w:ilvl="0" w:tplc="A058F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2">
    <w:nsid w:val="1C797C5C"/>
    <w:multiLevelType w:val="multilevel"/>
    <w:tmpl w:val="368A9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0C55C7E"/>
    <w:multiLevelType w:val="multilevel"/>
    <w:tmpl w:val="387C6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32A28"/>
    <w:multiLevelType w:val="multilevel"/>
    <w:tmpl w:val="026AE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1BC1882"/>
    <w:multiLevelType w:val="hybridMultilevel"/>
    <w:tmpl w:val="451A7372"/>
    <w:lvl w:ilvl="0" w:tplc="7E063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29">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lvlOverride w:ilvl="0">
      <w:startOverride w:val="1"/>
    </w:lvlOverride>
  </w:num>
  <w:num w:numId="3">
    <w:abstractNumId w:val="18"/>
  </w:num>
  <w:num w:numId="4">
    <w:abstractNumId w:val="28"/>
  </w:num>
  <w:num w:numId="5">
    <w:abstractNumId w:val="17"/>
  </w:num>
  <w:num w:numId="6">
    <w:abstractNumId w:val="14"/>
  </w:num>
  <w:num w:numId="7">
    <w:abstractNumId w:val="5"/>
  </w:num>
  <w:num w:numId="8">
    <w:abstractNumId w:val="21"/>
  </w:num>
  <w:num w:numId="9">
    <w:abstractNumId w:val="20"/>
  </w:num>
  <w:num w:numId="10">
    <w:abstractNumId w:val="7"/>
  </w:num>
  <w:num w:numId="11">
    <w:abstractNumId w:val="26"/>
  </w:num>
  <w:num w:numId="12">
    <w:abstractNumId w:val="6"/>
  </w:num>
  <w:num w:numId="13">
    <w:abstractNumId w:val="11"/>
  </w:num>
  <w:num w:numId="14">
    <w:abstractNumId w:val="29"/>
  </w:num>
  <w:num w:numId="15">
    <w:abstractNumId w:val="23"/>
  </w:num>
  <w:num w:numId="16">
    <w:abstractNumId w:val="13"/>
  </w:num>
  <w:num w:numId="17">
    <w:abstractNumId w:val="22"/>
  </w:num>
  <w:num w:numId="18">
    <w:abstractNumId w:val="4"/>
  </w:num>
  <w:num w:numId="19">
    <w:abstractNumId w:val="15"/>
  </w:num>
  <w:num w:numId="20">
    <w:abstractNumId w:val="8"/>
  </w:num>
  <w:num w:numId="21">
    <w:abstractNumId w:val="19"/>
  </w:num>
  <w:num w:numId="22">
    <w:abstractNumId w:val="24"/>
  </w:num>
  <w:num w:numId="23">
    <w:abstractNumId w:val="12"/>
  </w:num>
  <w:num w:numId="24">
    <w:abstractNumId w:val="9"/>
  </w:num>
  <w:num w:numId="25">
    <w:abstractNumId w:val="25"/>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5867"/>
    <w:rsid w:val="0004041C"/>
    <w:rsid w:val="000471FE"/>
    <w:rsid w:val="000573DC"/>
    <w:rsid w:val="00086EAC"/>
    <w:rsid w:val="000B337B"/>
    <w:rsid w:val="001121FA"/>
    <w:rsid w:val="00141491"/>
    <w:rsid w:val="0014626C"/>
    <w:rsid w:val="001473AA"/>
    <w:rsid w:val="001528F7"/>
    <w:rsid w:val="00187C61"/>
    <w:rsid w:val="001A1803"/>
    <w:rsid w:val="001C1C51"/>
    <w:rsid w:val="001C1D17"/>
    <w:rsid w:val="001D5D6F"/>
    <w:rsid w:val="001F75EF"/>
    <w:rsid w:val="00225737"/>
    <w:rsid w:val="00230CA6"/>
    <w:rsid w:val="002556E3"/>
    <w:rsid w:val="00257CCB"/>
    <w:rsid w:val="002636E6"/>
    <w:rsid w:val="00270E7D"/>
    <w:rsid w:val="00286F43"/>
    <w:rsid w:val="002A4F0E"/>
    <w:rsid w:val="002A7366"/>
    <w:rsid w:val="002F137C"/>
    <w:rsid w:val="002F7FD3"/>
    <w:rsid w:val="00307787"/>
    <w:rsid w:val="00311FF0"/>
    <w:rsid w:val="0033597E"/>
    <w:rsid w:val="0033741F"/>
    <w:rsid w:val="003456DC"/>
    <w:rsid w:val="00350589"/>
    <w:rsid w:val="00351919"/>
    <w:rsid w:val="003754FF"/>
    <w:rsid w:val="00393BD8"/>
    <w:rsid w:val="003E14A3"/>
    <w:rsid w:val="003E3C07"/>
    <w:rsid w:val="003E4048"/>
    <w:rsid w:val="003E51C9"/>
    <w:rsid w:val="003F0808"/>
    <w:rsid w:val="00405169"/>
    <w:rsid w:val="004135B7"/>
    <w:rsid w:val="00423B7E"/>
    <w:rsid w:val="00426677"/>
    <w:rsid w:val="00437161"/>
    <w:rsid w:val="00453D41"/>
    <w:rsid w:val="0046067E"/>
    <w:rsid w:val="004907C1"/>
    <w:rsid w:val="00490F6B"/>
    <w:rsid w:val="00492BDE"/>
    <w:rsid w:val="004A4B4F"/>
    <w:rsid w:val="004B2C1F"/>
    <w:rsid w:val="004C0804"/>
    <w:rsid w:val="004D2D10"/>
    <w:rsid w:val="004D7446"/>
    <w:rsid w:val="005005F8"/>
    <w:rsid w:val="00511515"/>
    <w:rsid w:val="00517DFD"/>
    <w:rsid w:val="0052173B"/>
    <w:rsid w:val="00563963"/>
    <w:rsid w:val="00582542"/>
    <w:rsid w:val="00595133"/>
    <w:rsid w:val="005C7F76"/>
    <w:rsid w:val="005D708F"/>
    <w:rsid w:val="005F60C6"/>
    <w:rsid w:val="00603E93"/>
    <w:rsid w:val="006075C3"/>
    <w:rsid w:val="00610E0E"/>
    <w:rsid w:val="0063155A"/>
    <w:rsid w:val="00646CFD"/>
    <w:rsid w:val="00652E65"/>
    <w:rsid w:val="0065788F"/>
    <w:rsid w:val="00671F3B"/>
    <w:rsid w:val="00690DFD"/>
    <w:rsid w:val="00695890"/>
    <w:rsid w:val="006A7BF6"/>
    <w:rsid w:val="006E7F23"/>
    <w:rsid w:val="00704DCB"/>
    <w:rsid w:val="00705422"/>
    <w:rsid w:val="00706BB4"/>
    <w:rsid w:val="007557FC"/>
    <w:rsid w:val="007616EA"/>
    <w:rsid w:val="007662F4"/>
    <w:rsid w:val="007827F0"/>
    <w:rsid w:val="007B29D4"/>
    <w:rsid w:val="007C0186"/>
    <w:rsid w:val="007C1D8F"/>
    <w:rsid w:val="00805EB9"/>
    <w:rsid w:val="00817170"/>
    <w:rsid w:val="008203DE"/>
    <w:rsid w:val="0082352D"/>
    <w:rsid w:val="008253E2"/>
    <w:rsid w:val="008758EA"/>
    <w:rsid w:val="008961C5"/>
    <w:rsid w:val="008A3134"/>
    <w:rsid w:val="008B1B46"/>
    <w:rsid w:val="008B5D94"/>
    <w:rsid w:val="008B7DF4"/>
    <w:rsid w:val="008D273B"/>
    <w:rsid w:val="008D2B2D"/>
    <w:rsid w:val="008D4790"/>
    <w:rsid w:val="008D5B7D"/>
    <w:rsid w:val="008E768E"/>
    <w:rsid w:val="009004CE"/>
    <w:rsid w:val="00953646"/>
    <w:rsid w:val="009670EA"/>
    <w:rsid w:val="0097562D"/>
    <w:rsid w:val="00986D24"/>
    <w:rsid w:val="009D158F"/>
    <w:rsid w:val="009E22E9"/>
    <w:rsid w:val="009E2BCA"/>
    <w:rsid w:val="009F6E55"/>
    <w:rsid w:val="00A02840"/>
    <w:rsid w:val="00A2373A"/>
    <w:rsid w:val="00A26532"/>
    <w:rsid w:val="00A26A5F"/>
    <w:rsid w:val="00A50C8D"/>
    <w:rsid w:val="00A720B2"/>
    <w:rsid w:val="00A80A21"/>
    <w:rsid w:val="00A848BF"/>
    <w:rsid w:val="00A91DFE"/>
    <w:rsid w:val="00A97A3F"/>
    <w:rsid w:val="00AA387C"/>
    <w:rsid w:val="00AA3D4C"/>
    <w:rsid w:val="00AA67FE"/>
    <w:rsid w:val="00AC313F"/>
    <w:rsid w:val="00AC784D"/>
    <w:rsid w:val="00AD7175"/>
    <w:rsid w:val="00AE1F3A"/>
    <w:rsid w:val="00AE2978"/>
    <w:rsid w:val="00AE2C1B"/>
    <w:rsid w:val="00AE56C4"/>
    <w:rsid w:val="00AE6279"/>
    <w:rsid w:val="00AF4596"/>
    <w:rsid w:val="00B014A2"/>
    <w:rsid w:val="00B0250A"/>
    <w:rsid w:val="00B1054B"/>
    <w:rsid w:val="00B220ED"/>
    <w:rsid w:val="00B262A7"/>
    <w:rsid w:val="00B2786A"/>
    <w:rsid w:val="00B85663"/>
    <w:rsid w:val="00B96D0B"/>
    <w:rsid w:val="00BA06AF"/>
    <w:rsid w:val="00BC5741"/>
    <w:rsid w:val="00BE16D0"/>
    <w:rsid w:val="00C102EF"/>
    <w:rsid w:val="00C2736A"/>
    <w:rsid w:val="00C27C70"/>
    <w:rsid w:val="00C33D06"/>
    <w:rsid w:val="00C35B9B"/>
    <w:rsid w:val="00C63DE2"/>
    <w:rsid w:val="00C743A2"/>
    <w:rsid w:val="00C8102D"/>
    <w:rsid w:val="00C97ED7"/>
    <w:rsid w:val="00CB37B7"/>
    <w:rsid w:val="00D10C56"/>
    <w:rsid w:val="00D27C5E"/>
    <w:rsid w:val="00D64978"/>
    <w:rsid w:val="00D7493A"/>
    <w:rsid w:val="00DA2E89"/>
    <w:rsid w:val="00DA6FD5"/>
    <w:rsid w:val="00DB600F"/>
    <w:rsid w:val="00DC1720"/>
    <w:rsid w:val="00DC5164"/>
    <w:rsid w:val="00DD48D7"/>
    <w:rsid w:val="00DE3B88"/>
    <w:rsid w:val="00DF0A43"/>
    <w:rsid w:val="00DF3D43"/>
    <w:rsid w:val="00E27448"/>
    <w:rsid w:val="00E91D57"/>
    <w:rsid w:val="00EB5DBC"/>
    <w:rsid w:val="00EC535D"/>
    <w:rsid w:val="00ED05C9"/>
    <w:rsid w:val="00ED1B69"/>
    <w:rsid w:val="00EE12BF"/>
    <w:rsid w:val="00F00CB2"/>
    <w:rsid w:val="00F056AE"/>
    <w:rsid w:val="00F30D9A"/>
    <w:rsid w:val="00F32D8C"/>
    <w:rsid w:val="00F43B85"/>
    <w:rsid w:val="00F57888"/>
    <w:rsid w:val="00F7148B"/>
    <w:rsid w:val="00F853A0"/>
    <w:rsid w:val="00F86889"/>
    <w:rsid w:val="00F90FFE"/>
    <w:rsid w:val="00F9416C"/>
    <w:rsid w:val="00F957B2"/>
    <w:rsid w:val="00FC258E"/>
    <w:rsid w:val="00FC6F22"/>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contributionStart">
    <w:name w:val="CEO_contributionStart"/>
    <w:basedOn w:val="Normal"/>
    <w:rsid w:val="005F60C6"/>
    <w:pPr>
      <w:spacing w:before="360"/>
    </w:pPr>
    <w:rPr>
      <w:rFonts w:ascii="Verdana" w:eastAsia="SimHei" w:hAnsi="Verdana" w:cs="Simplified Arabic"/>
      <w:sz w:val="19"/>
      <w:szCs w:val="19"/>
      <w:lang w:val="en-GB"/>
    </w:rPr>
  </w:style>
  <w:style w:type="paragraph" w:styleId="NormalWeb">
    <w:name w:val="Normal (Web)"/>
    <w:basedOn w:val="Normal"/>
    <w:uiPriority w:val="99"/>
    <w:unhideWhenUsed/>
    <w:locked/>
    <w:rsid w:val="005F60C6"/>
    <w:pPr>
      <w:spacing w:before="0" w:after="0"/>
    </w:pPr>
    <w:rPr>
      <w:rFonts w:ascii="Times New Roman" w:eastAsiaTheme="minorEastAsia" w:hAnsi="Times New Roman" w:cs="Times New Roman"/>
      <w:sz w:val="24"/>
      <w:szCs w:val="24"/>
      <w:lang w:eastAsia="zh-CN"/>
    </w:rPr>
  </w:style>
  <w:style w:type="paragraph" w:customStyle="1" w:styleId="CEOAgendaItemIndent">
    <w:name w:val="CEO_AgendaItemIndent"/>
    <w:basedOn w:val="Normal"/>
    <w:rsid w:val="00086EAC"/>
    <w:pPr>
      <w:tabs>
        <w:tab w:val="left" w:pos="459"/>
      </w:tabs>
      <w:spacing w:before="60" w:after="60"/>
      <w:ind w:left="34" w:right="12"/>
    </w:pPr>
    <w:rPr>
      <w:rFonts w:ascii="Verdana" w:hAnsi="Verdana"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contributionStart">
    <w:name w:val="CEO_contributionStart"/>
    <w:basedOn w:val="Normal"/>
    <w:rsid w:val="005F60C6"/>
    <w:pPr>
      <w:spacing w:before="360"/>
    </w:pPr>
    <w:rPr>
      <w:rFonts w:ascii="Verdana" w:eastAsia="SimHei" w:hAnsi="Verdana" w:cs="Simplified Arabic"/>
      <w:sz w:val="19"/>
      <w:szCs w:val="19"/>
      <w:lang w:val="en-GB"/>
    </w:rPr>
  </w:style>
  <w:style w:type="paragraph" w:styleId="NormalWeb">
    <w:name w:val="Normal (Web)"/>
    <w:basedOn w:val="Normal"/>
    <w:uiPriority w:val="99"/>
    <w:unhideWhenUsed/>
    <w:locked/>
    <w:rsid w:val="005F60C6"/>
    <w:pPr>
      <w:spacing w:before="0" w:after="0"/>
    </w:pPr>
    <w:rPr>
      <w:rFonts w:ascii="Times New Roman" w:eastAsiaTheme="minorEastAsia" w:hAnsi="Times New Roman" w:cs="Times New Roman"/>
      <w:sz w:val="24"/>
      <w:szCs w:val="24"/>
      <w:lang w:eastAsia="zh-CN"/>
    </w:rPr>
  </w:style>
  <w:style w:type="paragraph" w:customStyle="1" w:styleId="CEOAgendaItemIndent">
    <w:name w:val="CEO_AgendaItemIndent"/>
    <w:basedOn w:val="Normal"/>
    <w:rsid w:val="00086EAC"/>
    <w:pPr>
      <w:tabs>
        <w:tab w:val="left" w:pos="459"/>
      </w:tabs>
      <w:spacing w:before="60" w:after="60"/>
      <w:ind w:left="34" w:right="12"/>
    </w:pPr>
    <w:rPr>
      <w:rFonts w:ascii="Verdana" w:hAnsi="Verdana"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717854972">
      <w:bodyDiv w:val="1"/>
      <w:marLeft w:val="0"/>
      <w:marRight w:val="0"/>
      <w:marTop w:val="0"/>
      <w:marBottom w:val="0"/>
      <w:divBdr>
        <w:top w:val="none" w:sz="0" w:space="0" w:color="auto"/>
        <w:left w:val="none" w:sz="0" w:space="0" w:color="auto"/>
        <w:bottom w:val="none" w:sz="0" w:space="0" w:color="auto"/>
        <w:right w:val="none" w:sz="0" w:space="0" w:color="auto"/>
      </w:divBdr>
      <w:divsChild>
        <w:div w:id="441072330">
          <w:marLeft w:val="0"/>
          <w:marRight w:val="0"/>
          <w:marTop w:val="0"/>
          <w:marBottom w:val="0"/>
          <w:divBdr>
            <w:top w:val="none" w:sz="0" w:space="0" w:color="auto"/>
            <w:left w:val="none" w:sz="0" w:space="0" w:color="auto"/>
            <w:bottom w:val="none" w:sz="0" w:space="0" w:color="auto"/>
            <w:right w:val="none" w:sz="0" w:space="0" w:color="auto"/>
          </w:divBdr>
          <w:divsChild>
            <w:div w:id="591668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itu.int/ITU-D/study_groups/" TargetMode="External"/><Relationship Id="rId26" Type="http://schemas.openxmlformats.org/officeDocument/2006/relationships/hyperlink" Target="http://www.itu.int/md/S11-CL-C-0061/" TargetMode="External"/><Relationship Id="rId3" Type="http://schemas.openxmlformats.org/officeDocument/2006/relationships/styles" Target="styles.xml"/><Relationship Id="rId21" Type="http://schemas.openxmlformats.org/officeDocument/2006/relationships/hyperlink" Target="http://www.itu.int/ITU-D/study_groups/SGP_2010-2014/groups/definition/PP10_Resolution140.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g-def-ict@itu.int" TargetMode="External"/><Relationship Id="rId17" Type="http://schemas.openxmlformats.org/officeDocument/2006/relationships/hyperlink" Target="http://www.itu.int/md/D10-SG01-C-0194/" TargetMode="External"/><Relationship Id="rId25" Type="http://schemas.openxmlformats.org/officeDocument/2006/relationships/hyperlink" Target="http://www.itu.int/md/D10-TDAG16-C-002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g-def-ict@itu.int" TargetMode="External"/><Relationship Id="rId29" Type="http://schemas.openxmlformats.org/officeDocument/2006/relationships/hyperlink" Target="http://www.itu.int/en/ITU-T/committees/scv/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study_groups/SGP_2010-2014/groups/definition/index.html" TargetMode="External"/><Relationship Id="rId24" Type="http://schemas.openxmlformats.org/officeDocument/2006/relationships/hyperlink" Target="http://www.itu.int/md/D10-TDAG17-C-0026/" TargetMode="External"/><Relationship Id="rId32" Type="http://schemas.openxmlformats.org/officeDocument/2006/relationships/hyperlink" Target="http://www.itu.int/ITU-D/study_groups/SGP_2010-2014/groups/definition/index.html"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itu.int/ITU-D/study_groups/SGP_2010-2014/groups/definition/2012TDAG17-report-related-to-definition-icts.pdf" TargetMode="External"/><Relationship Id="rId28" Type="http://schemas.openxmlformats.org/officeDocument/2006/relationships/hyperlink" Target="http://www.itu.int/ITU-R/index.asp?category=study-groups&amp;rlink=rccv&amp;lang=en" TargetMode="External"/><Relationship Id="rId10" Type="http://schemas.openxmlformats.org/officeDocument/2006/relationships/hyperlink" Target="mailto:devsg@itu.int" TargetMode="External"/><Relationship Id="rId19" Type="http://schemas.openxmlformats.org/officeDocument/2006/relationships/hyperlink" Target="http://www.itu.int/ITU-D/study_groups/SGP_2010-2014/groups/definition/index.html" TargetMode="External"/><Relationship Id="rId31" Type="http://schemas.openxmlformats.org/officeDocument/2006/relationships/hyperlink" Target="mailto:devsg@itu.int"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yperlink" Target="http://www.itu.int/ITU-D/study_groups/SGP_2010-2014/groups/definition/2011Council-report-related-to-definition-ict.pdf" TargetMode="External"/><Relationship Id="rId27" Type="http://schemas.openxmlformats.org/officeDocument/2006/relationships/hyperlink" Target="http://www.itu.int/rec/T-REC-L.1400-201102-I" TargetMode="External"/><Relationship Id="rId30" Type="http://schemas.openxmlformats.org/officeDocument/2006/relationships/hyperlink" Target="http://www.itu.int/itu-d/study_group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4540-5F20-43F4-865C-E7C60DF2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Stoudmann C.</cp:lastModifiedBy>
  <cp:revision>20</cp:revision>
  <cp:lastPrinted>2012-10-10T08:12:00Z</cp:lastPrinted>
  <dcterms:created xsi:type="dcterms:W3CDTF">2012-10-08T13:43:00Z</dcterms:created>
  <dcterms:modified xsi:type="dcterms:W3CDTF">2012-10-11T15:26:00Z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