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C147E5" w:rsidRPr="001D65AA">
        <w:trPr>
          <w:jc w:val="center"/>
        </w:trPr>
        <w:tc>
          <w:tcPr>
            <w:tcW w:w="9889" w:type="dxa"/>
            <w:gridSpan w:val="4"/>
            <w:tcMar>
              <w:top w:w="142" w:type="dxa"/>
              <w:bottom w:w="142" w:type="dxa"/>
            </w:tcMar>
          </w:tcPr>
          <w:p w:rsidR="00C147E5" w:rsidRPr="001D65AA" w:rsidRDefault="006E1BCC">
            <w:pPr>
              <w:pStyle w:val="BDTLogo"/>
              <w:rPr>
                <w:noProof/>
                <w:lang w:val="en-US" w:eastAsia="fr-CH"/>
              </w:rPr>
            </w:pPr>
            <w:r w:rsidRPr="001D65AA">
              <w:rPr>
                <w:noProof/>
                <w:lang w:val="en-US" w:eastAsia="zh-CN"/>
              </w:rPr>
              <w:drawing>
                <wp:inline distT="0" distB="0" distL="0" distR="0">
                  <wp:extent cx="586740" cy="7315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6740" cy="731520"/>
                          </a:xfrm>
                          <a:prstGeom prst="rect">
                            <a:avLst/>
                          </a:prstGeom>
                          <a:noFill/>
                          <a:ln w="9525">
                            <a:noFill/>
                            <a:miter lim="800000"/>
                            <a:headEnd/>
                            <a:tailEnd/>
                          </a:ln>
                        </pic:spPr>
                      </pic:pic>
                    </a:graphicData>
                  </a:graphic>
                </wp:inline>
              </w:drawing>
            </w:r>
          </w:p>
        </w:tc>
      </w:tr>
      <w:tr w:rsidR="00C147E5" w:rsidRPr="001D65AA">
        <w:trPr>
          <w:jc w:val="center"/>
        </w:trPr>
        <w:tc>
          <w:tcPr>
            <w:tcW w:w="9889" w:type="dxa"/>
            <w:gridSpan w:val="4"/>
          </w:tcPr>
          <w:p w:rsidR="00C147E5" w:rsidRPr="001D65AA" w:rsidRDefault="00C147E5">
            <w:pPr>
              <w:rPr>
                <w:rStyle w:val="BDT-Name"/>
                <w:rFonts w:cs="Traditional Arabic"/>
              </w:rPr>
            </w:pPr>
            <w:r w:rsidRPr="001D65AA">
              <w:rPr>
                <w:rStyle w:val="BDT-Name"/>
                <w:rFonts w:cs="Traditional Arabic"/>
              </w:rPr>
              <w:t xml:space="preserve">Telecommunication </w:t>
            </w:r>
            <w:r w:rsidRPr="001D65AA">
              <w:rPr>
                <w:rStyle w:val="BDT-Name"/>
                <w:rFonts w:cs="Traditional Arabic"/>
              </w:rPr>
              <w:br/>
              <w:t>Development Bureau (BDT)</w:t>
            </w:r>
          </w:p>
        </w:tc>
      </w:tr>
      <w:tr w:rsidR="00C147E5" w:rsidRPr="001D65AA">
        <w:trPr>
          <w:trHeight w:val="539"/>
          <w:jc w:val="center"/>
        </w:trPr>
        <w:tc>
          <w:tcPr>
            <w:tcW w:w="5353" w:type="dxa"/>
            <w:gridSpan w:val="3"/>
          </w:tcPr>
          <w:p w:rsidR="00C147E5" w:rsidRPr="001D65AA" w:rsidRDefault="00C147E5">
            <w:pPr>
              <w:pStyle w:val="BDTSeparator"/>
              <w:rPr>
                <w:lang w:val="en-US"/>
              </w:rPr>
            </w:pPr>
          </w:p>
        </w:tc>
        <w:tc>
          <w:tcPr>
            <w:tcW w:w="4536" w:type="dxa"/>
          </w:tcPr>
          <w:p w:rsidR="00C147E5" w:rsidRPr="001D65AA" w:rsidRDefault="00C147E5">
            <w:pPr>
              <w:pStyle w:val="BDTSeparator"/>
              <w:rPr>
                <w:lang w:val="en-US"/>
              </w:rPr>
            </w:pPr>
          </w:p>
        </w:tc>
      </w:tr>
      <w:tr w:rsidR="00C147E5" w:rsidRPr="001D65AA">
        <w:trPr>
          <w:jc w:val="center"/>
        </w:trPr>
        <w:tc>
          <w:tcPr>
            <w:tcW w:w="1242" w:type="dxa"/>
          </w:tcPr>
          <w:p w:rsidR="00C147E5" w:rsidRPr="001D65AA" w:rsidRDefault="00C147E5">
            <w:pPr>
              <w:pStyle w:val="BDTRef"/>
              <w:rPr>
                <w:lang w:val="en-US"/>
              </w:rPr>
            </w:pPr>
            <w:r w:rsidRPr="001D65AA">
              <w:rPr>
                <w:lang w:val="en-US"/>
              </w:rPr>
              <w:t>Ref.</w:t>
            </w:r>
            <w:r w:rsidR="009363C1">
              <w:rPr>
                <w:lang w:val="en-US"/>
              </w:rPr>
              <w:t>:</w:t>
            </w:r>
          </w:p>
        </w:tc>
        <w:tc>
          <w:tcPr>
            <w:tcW w:w="4111" w:type="dxa"/>
            <w:gridSpan w:val="2"/>
          </w:tcPr>
          <w:p w:rsidR="00C147E5" w:rsidRPr="001D65AA" w:rsidRDefault="00C147E5" w:rsidP="008265DA">
            <w:pPr>
              <w:pStyle w:val="BDTRef-Detail"/>
              <w:rPr>
                <w:lang w:val="en-US"/>
              </w:rPr>
            </w:pPr>
            <w:r w:rsidRPr="001D65AA">
              <w:rPr>
                <w:lang w:val="en-US"/>
              </w:rPr>
              <w:t>Circular BDT/</w:t>
            </w:r>
            <w:r w:rsidR="00B85FC5" w:rsidRPr="001D65AA">
              <w:rPr>
                <w:lang w:val="en-US"/>
              </w:rPr>
              <w:t>IP</w:t>
            </w:r>
            <w:r w:rsidR="009363C1">
              <w:rPr>
                <w:lang w:val="en-US"/>
              </w:rPr>
              <w:t>/CSTG/</w:t>
            </w:r>
            <w:r w:rsidRPr="001D65AA">
              <w:rPr>
                <w:lang w:val="en-US"/>
              </w:rPr>
              <w:t>00</w:t>
            </w:r>
            <w:r w:rsidR="008265DA">
              <w:rPr>
                <w:lang w:val="en-US"/>
              </w:rPr>
              <w:t>8</w:t>
            </w:r>
          </w:p>
        </w:tc>
        <w:tc>
          <w:tcPr>
            <w:tcW w:w="4536" w:type="dxa"/>
          </w:tcPr>
          <w:p w:rsidR="00C147E5" w:rsidRPr="001D65AA" w:rsidRDefault="00C147E5" w:rsidP="002C7AFC">
            <w:pPr>
              <w:pStyle w:val="BDTDate"/>
            </w:pPr>
            <w:r w:rsidRPr="001D65AA">
              <w:t xml:space="preserve">Geneva, </w:t>
            </w:r>
            <w:r w:rsidR="00941852">
              <w:t>2</w:t>
            </w:r>
            <w:r w:rsidR="002C7AFC">
              <w:t>1</w:t>
            </w:r>
            <w:r w:rsidR="009C0B14">
              <w:t xml:space="preserve"> October</w:t>
            </w:r>
            <w:r w:rsidR="00A71626">
              <w:t xml:space="preserve"> </w:t>
            </w:r>
            <w:r w:rsidRPr="001D65AA">
              <w:t>201</w:t>
            </w:r>
            <w:r w:rsidR="00782F97" w:rsidRPr="001D65AA">
              <w:t>1</w:t>
            </w:r>
          </w:p>
        </w:tc>
      </w:tr>
      <w:tr w:rsidR="00C147E5" w:rsidRPr="001D65AA">
        <w:trPr>
          <w:jc w:val="center"/>
        </w:trPr>
        <w:tc>
          <w:tcPr>
            <w:tcW w:w="1242" w:type="dxa"/>
          </w:tcPr>
          <w:p w:rsidR="00C147E5" w:rsidRPr="001D65AA" w:rsidRDefault="00C147E5">
            <w:pPr>
              <w:pStyle w:val="BDTSeparator"/>
              <w:rPr>
                <w:lang w:val="en-US"/>
              </w:rPr>
            </w:pPr>
          </w:p>
        </w:tc>
        <w:tc>
          <w:tcPr>
            <w:tcW w:w="4111" w:type="dxa"/>
            <w:gridSpan w:val="2"/>
          </w:tcPr>
          <w:p w:rsidR="00C147E5" w:rsidRPr="001D65AA" w:rsidRDefault="00C147E5">
            <w:pPr>
              <w:pStyle w:val="BDTSeparator"/>
              <w:rPr>
                <w:lang w:val="en-US"/>
              </w:rPr>
            </w:pPr>
          </w:p>
        </w:tc>
        <w:tc>
          <w:tcPr>
            <w:tcW w:w="4536" w:type="dxa"/>
          </w:tcPr>
          <w:p w:rsidR="00C147E5" w:rsidRPr="001D65AA" w:rsidRDefault="00C147E5">
            <w:pPr>
              <w:pStyle w:val="BDTSeparator"/>
              <w:rPr>
                <w:lang w:val="en-US"/>
              </w:rPr>
            </w:pPr>
          </w:p>
        </w:tc>
      </w:tr>
      <w:tr w:rsidR="00C147E5" w:rsidRPr="007561AE">
        <w:trPr>
          <w:jc w:val="center"/>
        </w:trPr>
        <w:tc>
          <w:tcPr>
            <w:tcW w:w="1242" w:type="dxa"/>
          </w:tcPr>
          <w:p w:rsidR="00C147E5" w:rsidRPr="001D65AA" w:rsidRDefault="00C147E5">
            <w:pPr>
              <w:pStyle w:val="BDTContact"/>
              <w:rPr>
                <w:lang w:val="en-US"/>
              </w:rPr>
            </w:pPr>
            <w:r w:rsidRPr="001D65AA">
              <w:rPr>
                <w:lang w:val="en-US"/>
              </w:rPr>
              <w:t>Contact:</w:t>
            </w:r>
          </w:p>
        </w:tc>
        <w:tc>
          <w:tcPr>
            <w:tcW w:w="3827" w:type="dxa"/>
          </w:tcPr>
          <w:p w:rsidR="009363C1" w:rsidRDefault="009363C1" w:rsidP="009363C1">
            <w:pPr>
              <w:pStyle w:val="BDTContact-Details"/>
              <w:rPr>
                <w:lang w:val="en-US"/>
              </w:rPr>
            </w:pPr>
            <w:bookmarkStart w:id="0" w:name="Contact"/>
            <w:bookmarkEnd w:id="0"/>
            <w:r>
              <w:rPr>
                <w:lang w:val="en-US"/>
              </w:rPr>
              <w:t>Christine Sund,</w:t>
            </w:r>
          </w:p>
          <w:p w:rsidR="00C147E5" w:rsidRPr="001D65AA" w:rsidRDefault="009363C1" w:rsidP="009363C1">
            <w:pPr>
              <w:pStyle w:val="BDTContact-Details"/>
              <w:rPr>
                <w:lang w:val="en-US"/>
              </w:rPr>
            </w:pPr>
            <w:r>
              <w:rPr>
                <w:lang w:val="en-US"/>
              </w:rPr>
              <w:t xml:space="preserve">Coordinator a.i., </w:t>
            </w:r>
            <w:r w:rsidR="00B33E3F" w:rsidRPr="001D65AA">
              <w:rPr>
                <w:lang w:val="en-US"/>
              </w:rPr>
              <w:t>ITU-D Study Groups</w:t>
            </w:r>
          </w:p>
        </w:tc>
        <w:tc>
          <w:tcPr>
            <w:tcW w:w="284" w:type="dxa"/>
          </w:tcPr>
          <w:p w:rsidR="00C147E5" w:rsidRPr="001D65AA" w:rsidRDefault="00C147E5">
            <w:pPr>
              <w:pStyle w:val="BDTContact-Details"/>
              <w:rPr>
                <w:lang w:val="en-US"/>
              </w:rPr>
            </w:pPr>
          </w:p>
        </w:tc>
        <w:tc>
          <w:tcPr>
            <w:tcW w:w="4536" w:type="dxa"/>
            <w:vMerge w:val="restart"/>
          </w:tcPr>
          <w:p w:rsidR="00421417" w:rsidRPr="00C102EF" w:rsidRDefault="00421417" w:rsidP="00B53541">
            <w:pPr>
              <w:pStyle w:val="BDTContact-Details"/>
              <w:spacing w:before="0"/>
              <w:rPr>
                <w:lang w:val="en-US"/>
              </w:rPr>
            </w:pPr>
            <w:r>
              <w:rPr>
                <w:lang w:val="en-US"/>
              </w:rPr>
              <w:t>To:</w:t>
            </w:r>
            <w:r w:rsidR="00B53541">
              <w:rPr>
                <w:lang w:val="en-US"/>
              </w:rPr>
              <w:br/>
            </w:r>
            <w:r w:rsidRPr="00C102EF">
              <w:rPr>
                <w:lang w:val="en-US"/>
              </w:rPr>
              <w:t>Administrations of ITU Member States;</w:t>
            </w:r>
          </w:p>
          <w:p w:rsidR="00421417" w:rsidRPr="00C102EF" w:rsidRDefault="00421417" w:rsidP="00421417">
            <w:pPr>
              <w:pStyle w:val="BDTContact-Details"/>
              <w:spacing w:before="0"/>
              <w:rPr>
                <w:lang w:val="en-US"/>
              </w:rPr>
            </w:pPr>
            <w:r w:rsidRPr="00C102EF">
              <w:rPr>
                <w:lang w:val="en-US"/>
              </w:rPr>
              <w:t>ITU-D Sector Members;</w:t>
            </w:r>
          </w:p>
          <w:p w:rsidR="00421417" w:rsidRPr="00C102EF" w:rsidRDefault="00421417" w:rsidP="00421417">
            <w:pPr>
              <w:pStyle w:val="BDTContact-Details"/>
              <w:spacing w:before="0"/>
              <w:rPr>
                <w:lang w:val="en-US"/>
              </w:rPr>
            </w:pPr>
            <w:r w:rsidRPr="00C102EF">
              <w:rPr>
                <w:lang w:val="en-US"/>
              </w:rPr>
              <w:t>ITU-D Associates;</w:t>
            </w:r>
          </w:p>
          <w:p w:rsidR="002B126E" w:rsidRPr="009C0B14" w:rsidRDefault="00421417" w:rsidP="00421417">
            <w:pPr>
              <w:pStyle w:val="BDTAddressee"/>
              <w:rPr>
                <w:vanish/>
                <w:lang w:val="en-US"/>
              </w:rPr>
            </w:pPr>
            <w:r w:rsidRPr="00C102EF">
              <w:rPr>
                <w:lang w:val="en-US"/>
              </w:rPr>
              <w:t>Contact points for ITU-D Study Groups 1 and 2</w:t>
            </w:r>
          </w:p>
        </w:tc>
      </w:tr>
      <w:tr w:rsidR="00C147E5" w:rsidRPr="001D65AA">
        <w:trPr>
          <w:jc w:val="center"/>
        </w:trPr>
        <w:tc>
          <w:tcPr>
            <w:tcW w:w="1242" w:type="dxa"/>
          </w:tcPr>
          <w:p w:rsidR="00C147E5" w:rsidRPr="001D65AA" w:rsidRDefault="00C147E5">
            <w:pPr>
              <w:pStyle w:val="BDTContact"/>
              <w:rPr>
                <w:lang w:val="en-US"/>
              </w:rPr>
            </w:pPr>
            <w:r w:rsidRPr="001D65AA">
              <w:rPr>
                <w:lang w:val="en-US"/>
              </w:rPr>
              <w:t>Telephone:</w:t>
            </w:r>
          </w:p>
        </w:tc>
        <w:tc>
          <w:tcPr>
            <w:tcW w:w="3827" w:type="dxa"/>
          </w:tcPr>
          <w:p w:rsidR="00C147E5" w:rsidRPr="001D65AA" w:rsidRDefault="00C147E5" w:rsidP="005C081A">
            <w:pPr>
              <w:pStyle w:val="BDTContact-Details"/>
              <w:rPr>
                <w:lang w:val="en-US"/>
              </w:rPr>
            </w:pPr>
            <w:r w:rsidRPr="001D65AA">
              <w:rPr>
                <w:lang w:val="en-US"/>
              </w:rPr>
              <w:t xml:space="preserve">+41 22 730 </w:t>
            </w:r>
            <w:r w:rsidR="005C081A">
              <w:rPr>
                <w:lang w:val="en-US"/>
              </w:rPr>
              <w:t>5203/</w:t>
            </w:r>
            <w:r w:rsidRPr="001D65AA">
              <w:rPr>
                <w:lang w:val="en-US"/>
              </w:rPr>
              <w:t>5</w:t>
            </w:r>
            <w:r w:rsidR="005C081A">
              <w:rPr>
                <w:lang w:val="en-US"/>
              </w:rPr>
              <w:t>999</w:t>
            </w:r>
          </w:p>
        </w:tc>
        <w:tc>
          <w:tcPr>
            <w:tcW w:w="284" w:type="dxa"/>
          </w:tcPr>
          <w:p w:rsidR="00C147E5" w:rsidRPr="001D65AA" w:rsidRDefault="00C147E5">
            <w:pPr>
              <w:pStyle w:val="BDTContact-Details"/>
              <w:rPr>
                <w:lang w:val="en-US"/>
              </w:rPr>
            </w:pPr>
          </w:p>
        </w:tc>
        <w:tc>
          <w:tcPr>
            <w:tcW w:w="4536" w:type="dxa"/>
            <w:vMerge/>
          </w:tcPr>
          <w:p w:rsidR="00C147E5" w:rsidRPr="001D65AA" w:rsidRDefault="00C147E5">
            <w:pPr>
              <w:tabs>
                <w:tab w:val="left" w:pos="794"/>
                <w:tab w:val="left" w:pos="1191"/>
                <w:tab w:val="left" w:pos="1588"/>
                <w:tab w:val="left" w:pos="1985"/>
              </w:tabs>
              <w:overflowPunct w:val="0"/>
              <w:autoSpaceDE w:val="0"/>
              <w:autoSpaceDN w:val="0"/>
              <w:adjustRightInd w:val="0"/>
              <w:spacing w:line="280" w:lineRule="exact"/>
              <w:textAlignment w:val="baseline"/>
            </w:pPr>
          </w:p>
        </w:tc>
      </w:tr>
      <w:tr w:rsidR="00C147E5" w:rsidRPr="001D65AA">
        <w:trPr>
          <w:jc w:val="center"/>
        </w:trPr>
        <w:tc>
          <w:tcPr>
            <w:tcW w:w="1242" w:type="dxa"/>
          </w:tcPr>
          <w:p w:rsidR="00C147E5" w:rsidRPr="001D65AA" w:rsidRDefault="00C147E5">
            <w:pPr>
              <w:pStyle w:val="BDTContact"/>
              <w:rPr>
                <w:lang w:val="en-US"/>
              </w:rPr>
            </w:pPr>
            <w:r w:rsidRPr="001D65AA">
              <w:rPr>
                <w:lang w:val="en-US"/>
              </w:rPr>
              <w:t>Telefax:</w:t>
            </w:r>
          </w:p>
        </w:tc>
        <w:tc>
          <w:tcPr>
            <w:tcW w:w="3827" w:type="dxa"/>
          </w:tcPr>
          <w:p w:rsidR="00C147E5" w:rsidRPr="001D65AA" w:rsidRDefault="00C147E5" w:rsidP="009C0B14">
            <w:pPr>
              <w:pStyle w:val="BDTContact-Details"/>
              <w:rPr>
                <w:lang w:val="en-US"/>
              </w:rPr>
            </w:pPr>
            <w:r w:rsidRPr="001D65AA">
              <w:rPr>
                <w:lang w:val="en-US"/>
              </w:rPr>
              <w:t xml:space="preserve">+41 22 730 </w:t>
            </w:r>
            <w:r w:rsidR="005C081A" w:rsidRPr="005C081A">
              <w:rPr>
                <w:lang w:val="en-US"/>
              </w:rPr>
              <w:t>5484</w:t>
            </w:r>
          </w:p>
        </w:tc>
        <w:tc>
          <w:tcPr>
            <w:tcW w:w="284" w:type="dxa"/>
          </w:tcPr>
          <w:p w:rsidR="00C147E5" w:rsidRPr="001D65AA" w:rsidRDefault="00C147E5">
            <w:pPr>
              <w:pStyle w:val="BDTContact-Details"/>
              <w:rPr>
                <w:lang w:val="en-US"/>
              </w:rPr>
            </w:pPr>
          </w:p>
        </w:tc>
        <w:tc>
          <w:tcPr>
            <w:tcW w:w="4536" w:type="dxa"/>
            <w:vMerge/>
          </w:tcPr>
          <w:p w:rsidR="00C147E5" w:rsidRPr="001D65AA" w:rsidRDefault="00C147E5">
            <w:pPr>
              <w:tabs>
                <w:tab w:val="left" w:pos="794"/>
                <w:tab w:val="left" w:pos="1191"/>
                <w:tab w:val="left" w:pos="1588"/>
                <w:tab w:val="left" w:pos="1985"/>
              </w:tabs>
              <w:overflowPunct w:val="0"/>
              <w:autoSpaceDE w:val="0"/>
              <w:autoSpaceDN w:val="0"/>
              <w:adjustRightInd w:val="0"/>
              <w:spacing w:line="280" w:lineRule="exact"/>
              <w:textAlignment w:val="baseline"/>
            </w:pPr>
          </w:p>
        </w:tc>
      </w:tr>
      <w:tr w:rsidR="00C147E5" w:rsidRPr="001D65AA">
        <w:trPr>
          <w:jc w:val="center"/>
        </w:trPr>
        <w:tc>
          <w:tcPr>
            <w:tcW w:w="1242" w:type="dxa"/>
          </w:tcPr>
          <w:p w:rsidR="00C147E5" w:rsidRPr="001D65AA" w:rsidRDefault="00C147E5">
            <w:pPr>
              <w:pStyle w:val="BDTContact"/>
              <w:rPr>
                <w:lang w:val="en-US"/>
              </w:rPr>
            </w:pPr>
            <w:r w:rsidRPr="001D65AA">
              <w:rPr>
                <w:lang w:val="en-US"/>
              </w:rPr>
              <w:t>E-mail:</w:t>
            </w:r>
          </w:p>
        </w:tc>
        <w:tc>
          <w:tcPr>
            <w:tcW w:w="3827" w:type="dxa"/>
          </w:tcPr>
          <w:p w:rsidR="00C147E5" w:rsidRPr="001D65AA" w:rsidRDefault="00BC4B96" w:rsidP="009363C1">
            <w:pPr>
              <w:pStyle w:val="BDTContact-Details"/>
              <w:spacing w:before="0"/>
              <w:rPr>
                <w:lang w:val="en-US"/>
              </w:rPr>
            </w:pPr>
            <w:hyperlink r:id="rId10" w:history="1">
              <w:r w:rsidR="00C147E5" w:rsidRPr="001D65AA">
                <w:rPr>
                  <w:rStyle w:val="Hyperlink"/>
                  <w:rFonts w:cs="Traditional Arabic"/>
                  <w:lang w:val="en-US"/>
                </w:rPr>
                <w:t>devsg@itu.int</w:t>
              </w:r>
            </w:hyperlink>
          </w:p>
        </w:tc>
        <w:tc>
          <w:tcPr>
            <w:tcW w:w="284" w:type="dxa"/>
          </w:tcPr>
          <w:p w:rsidR="00C147E5" w:rsidRPr="001D65AA" w:rsidRDefault="00C147E5">
            <w:pPr>
              <w:pStyle w:val="BDTContact-Details"/>
              <w:rPr>
                <w:lang w:val="en-US"/>
              </w:rPr>
            </w:pPr>
          </w:p>
        </w:tc>
        <w:tc>
          <w:tcPr>
            <w:tcW w:w="4536" w:type="dxa"/>
            <w:vMerge/>
          </w:tcPr>
          <w:p w:rsidR="00C147E5" w:rsidRPr="001D65AA" w:rsidRDefault="00C147E5">
            <w:pPr>
              <w:tabs>
                <w:tab w:val="left" w:pos="794"/>
                <w:tab w:val="left" w:pos="1191"/>
                <w:tab w:val="left" w:pos="1588"/>
                <w:tab w:val="left" w:pos="1985"/>
              </w:tabs>
              <w:overflowPunct w:val="0"/>
              <w:autoSpaceDE w:val="0"/>
              <w:autoSpaceDN w:val="0"/>
              <w:adjustRightInd w:val="0"/>
              <w:spacing w:line="280" w:lineRule="exact"/>
              <w:textAlignment w:val="baseline"/>
            </w:pPr>
          </w:p>
        </w:tc>
      </w:tr>
      <w:tr w:rsidR="00C147E5" w:rsidRPr="001D65AA">
        <w:trPr>
          <w:jc w:val="center"/>
        </w:trPr>
        <w:tc>
          <w:tcPr>
            <w:tcW w:w="9889" w:type="dxa"/>
            <w:gridSpan w:val="4"/>
          </w:tcPr>
          <w:p w:rsidR="00C147E5" w:rsidRPr="001D65AA" w:rsidRDefault="00C147E5">
            <w:pPr>
              <w:pStyle w:val="BDTContact"/>
              <w:rPr>
                <w:lang w:val="en-US"/>
              </w:rPr>
            </w:pPr>
          </w:p>
        </w:tc>
      </w:tr>
      <w:tr w:rsidR="00C147E5" w:rsidRPr="001D65AA">
        <w:trPr>
          <w:jc w:val="center"/>
        </w:trPr>
        <w:tc>
          <w:tcPr>
            <w:tcW w:w="1242" w:type="dxa"/>
          </w:tcPr>
          <w:p w:rsidR="00C147E5" w:rsidRPr="007B3A29" w:rsidRDefault="00C147E5" w:rsidP="00B73463">
            <w:pPr>
              <w:pStyle w:val="BDTSubject"/>
              <w:spacing w:before="120" w:after="120"/>
              <w:rPr>
                <w:rFonts w:asciiTheme="minorHAnsi" w:hAnsiTheme="minorHAnsi"/>
                <w:szCs w:val="22"/>
                <w:lang w:val="en-US"/>
              </w:rPr>
            </w:pPr>
            <w:r w:rsidRPr="007B3A29">
              <w:rPr>
                <w:rFonts w:asciiTheme="minorHAnsi" w:hAnsiTheme="minorHAnsi"/>
                <w:szCs w:val="22"/>
                <w:lang w:val="en-US"/>
              </w:rPr>
              <w:t>Subject:</w:t>
            </w:r>
          </w:p>
        </w:tc>
        <w:tc>
          <w:tcPr>
            <w:tcW w:w="8647" w:type="dxa"/>
            <w:gridSpan w:val="3"/>
          </w:tcPr>
          <w:p w:rsidR="00C147E5" w:rsidRPr="007B3A29" w:rsidRDefault="009C0B14" w:rsidP="007B3A29">
            <w:pPr>
              <w:rPr>
                <w:rFonts w:asciiTheme="minorHAnsi" w:hAnsiTheme="minorHAnsi"/>
                <w:szCs w:val="22"/>
              </w:rPr>
            </w:pPr>
            <w:bookmarkStart w:id="1" w:name="Subject"/>
            <w:bookmarkEnd w:id="1"/>
            <w:r w:rsidRPr="003C5BD4">
              <w:rPr>
                <w:rFonts w:asciiTheme="minorHAnsi" w:hAnsiTheme="minorHAnsi"/>
                <w:szCs w:val="22"/>
              </w:rPr>
              <w:t>ITU s</w:t>
            </w:r>
            <w:r w:rsidR="00BD3708" w:rsidRPr="003C5BD4">
              <w:rPr>
                <w:rFonts w:asciiTheme="minorHAnsi" w:hAnsiTheme="minorHAnsi"/>
                <w:szCs w:val="22"/>
              </w:rPr>
              <w:t>urvey</w:t>
            </w:r>
            <w:r w:rsidR="00782F97" w:rsidRPr="003C5BD4">
              <w:rPr>
                <w:rFonts w:asciiTheme="minorHAnsi" w:hAnsiTheme="minorHAnsi"/>
                <w:szCs w:val="22"/>
              </w:rPr>
              <w:t xml:space="preserve"> for</w:t>
            </w:r>
            <w:r w:rsidRPr="003C5BD4">
              <w:rPr>
                <w:rFonts w:asciiTheme="minorHAnsi" w:hAnsiTheme="minorHAnsi"/>
                <w:szCs w:val="22"/>
              </w:rPr>
              <w:t xml:space="preserve"> the creation of a global compendium of public policies </w:t>
            </w:r>
            <w:r w:rsidR="007B3A29" w:rsidRPr="003C5BD4">
              <w:rPr>
                <w:rFonts w:asciiTheme="minorHAnsi" w:hAnsiTheme="minorHAnsi"/>
                <w:szCs w:val="22"/>
              </w:rPr>
              <w:t>for</w:t>
            </w:r>
            <w:r w:rsidRPr="003C5BD4">
              <w:rPr>
                <w:rFonts w:asciiTheme="minorHAnsi" w:hAnsiTheme="minorHAnsi"/>
                <w:szCs w:val="22"/>
              </w:rPr>
              <w:t xml:space="preserve"> the transition to digital terrestrial television (DTT)</w:t>
            </w:r>
            <w:r w:rsidRPr="007B3A29">
              <w:rPr>
                <w:rFonts w:asciiTheme="minorHAnsi" w:hAnsiTheme="minorHAnsi"/>
                <w:szCs w:val="22"/>
              </w:rPr>
              <w:t xml:space="preserve"> </w:t>
            </w:r>
          </w:p>
        </w:tc>
      </w:tr>
      <w:bookmarkStart w:id="2" w:name="Formula"/>
      <w:bookmarkStart w:id="3" w:name="MainStory"/>
      <w:bookmarkStart w:id="4" w:name="CurrentLocation"/>
      <w:bookmarkEnd w:id="2"/>
      <w:bookmarkEnd w:id="3"/>
      <w:bookmarkEnd w:id="4"/>
      <w:tr w:rsidR="00C147E5" w:rsidRPr="001D65AA">
        <w:trPr>
          <w:jc w:val="center"/>
        </w:trPr>
        <w:tc>
          <w:tcPr>
            <w:tcW w:w="9889" w:type="dxa"/>
            <w:gridSpan w:val="4"/>
          </w:tcPr>
          <w:p w:rsidR="005B04FD" w:rsidRDefault="0065523F" w:rsidP="00EA0459">
            <w:pPr>
              <w:pStyle w:val="BDTOpening"/>
              <w:spacing w:before="240" w:after="120"/>
              <w:rPr>
                <w:rFonts w:asciiTheme="minorHAnsi" w:hAnsiTheme="minorHAnsi"/>
              </w:rPr>
            </w:pPr>
            <w:r>
              <w:rPr>
                <w:rFonts w:asciiTheme="minorHAnsi" w:hAnsiTheme="minorHAnsi"/>
              </w:rPr>
              <w:fldChar w:fldCharType="begin"/>
            </w:r>
            <w:r w:rsidR="007561AE">
              <w:rPr>
                <w:rFonts w:asciiTheme="minorHAnsi" w:hAnsiTheme="minorHAnsi"/>
              </w:rPr>
              <w:instrText xml:space="preserve"> MERGEFIELD Opening </w:instrText>
            </w:r>
            <w:r>
              <w:rPr>
                <w:rFonts w:asciiTheme="minorHAnsi" w:hAnsiTheme="minorHAnsi"/>
              </w:rPr>
              <w:fldChar w:fldCharType="separate"/>
            </w:r>
            <w:r w:rsidR="00475D72" w:rsidRPr="001232AF">
              <w:rPr>
                <w:rFonts w:asciiTheme="minorHAnsi" w:hAnsiTheme="minorHAnsi"/>
                <w:noProof/>
              </w:rPr>
              <w:t>Dear Sir/Madam,</w:t>
            </w:r>
            <w:r>
              <w:rPr>
                <w:rFonts w:asciiTheme="minorHAnsi" w:hAnsiTheme="minorHAnsi"/>
              </w:rPr>
              <w:fldChar w:fldCharType="end"/>
            </w:r>
          </w:p>
          <w:p w:rsidR="00CB474A" w:rsidRPr="00941852" w:rsidRDefault="00B85FC5" w:rsidP="00EA0459">
            <w:pPr>
              <w:pStyle w:val="BDTNormal"/>
              <w:spacing w:before="80" w:after="80"/>
              <w:rPr>
                <w:rFonts w:asciiTheme="minorHAnsi" w:hAnsiTheme="minorHAnsi"/>
                <w:lang w:val="en-US"/>
              </w:rPr>
            </w:pPr>
            <w:r w:rsidRPr="00941852">
              <w:rPr>
                <w:rFonts w:asciiTheme="minorHAnsi" w:hAnsiTheme="minorHAnsi"/>
                <w:lang w:val="en-US"/>
              </w:rPr>
              <w:t xml:space="preserve">The </w:t>
            </w:r>
            <w:r w:rsidRPr="007372AC">
              <w:rPr>
                <w:rFonts w:asciiTheme="minorHAnsi" w:hAnsiTheme="minorHAnsi"/>
                <w:b/>
                <w:bCs/>
                <w:lang w:val="en-US"/>
              </w:rPr>
              <w:t xml:space="preserve">ITU-D Study Group </w:t>
            </w:r>
            <w:r w:rsidR="009C0B14" w:rsidRPr="007372AC">
              <w:rPr>
                <w:rFonts w:asciiTheme="minorHAnsi" w:hAnsiTheme="minorHAnsi"/>
                <w:b/>
                <w:bCs/>
                <w:lang w:val="en-US"/>
              </w:rPr>
              <w:t>2</w:t>
            </w:r>
            <w:r w:rsidR="0093663F" w:rsidRPr="007372AC">
              <w:rPr>
                <w:rFonts w:asciiTheme="minorHAnsi" w:hAnsiTheme="minorHAnsi"/>
                <w:b/>
                <w:bCs/>
                <w:lang w:val="en-US"/>
              </w:rPr>
              <w:t xml:space="preserve"> </w:t>
            </w:r>
            <w:r w:rsidRPr="007372AC">
              <w:rPr>
                <w:rFonts w:asciiTheme="minorHAnsi" w:hAnsiTheme="minorHAnsi"/>
                <w:b/>
                <w:bCs/>
                <w:lang w:val="en-US"/>
              </w:rPr>
              <w:t>Rapporteur</w:t>
            </w:r>
            <w:r w:rsidR="0065523F" w:rsidRPr="007372AC">
              <w:rPr>
                <w:rFonts w:asciiTheme="minorHAnsi" w:hAnsiTheme="minorHAnsi"/>
                <w:b/>
                <w:bCs/>
                <w:lang w:val="en-US"/>
              </w:rPr>
              <w:t xml:space="preserve"> Group for Question 11-3/2</w:t>
            </w:r>
            <w:r w:rsidR="0065523F">
              <w:rPr>
                <w:rFonts w:asciiTheme="minorHAnsi" w:hAnsiTheme="minorHAnsi"/>
                <w:lang w:val="en-US"/>
              </w:rPr>
              <w:t xml:space="preserve"> dedicated to the “Examination of terrestrial digital sound and television broadcasting technologies and systems, interoperability of digital terrestrial systems with existing analogue networks, and strategies and methods of migration from analogue terrestrial techniques to digital techniques”, during its meeting held on 13 September 2011 in Geneva, decided to issue a survey to Member States and ITU-D Sector Members and Associates in order to collect the latest information on the status of public policies for the transition from analogue to digital terrestrial television and to get views on related issues as addressed by Question 11-3/2. </w:t>
            </w:r>
          </w:p>
          <w:p w:rsidR="00CB474A" w:rsidRPr="00941852" w:rsidRDefault="0065523F" w:rsidP="00EA0459">
            <w:pPr>
              <w:pStyle w:val="BDTNormal"/>
              <w:spacing w:before="80" w:after="80"/>
              <w:rPr>
                <w:rFonts w:asciiTheme="minorHAnsi" w:hAnsiTheme="minorHAnsi"/>
                <w:lang w:val="en-US"/>
              </w:rPr>
            </w:pPr>
            <w:r w:rsidRPr="0065523F">
              <w:rPr>
                <w:rFonts w:asciiTheme="minorHAnsi" w:hAnsiTheme="minorHAnsi"/>
                <w:lang w:val="en-US"/>
              </w:rPr>
              <w:t xml:space="preserve">The results of this survey will also be used during the implementation of the Regional Initiatives related to the digital terrestrial broadcasting transition </w:t>
            </w:r>
            <w:r w:rsidR="00CA2D02">
              <w:rPr>
                <w:rFonts w:asciiTheme="minorHAnsi" w:hAnsiTheme="minorHAnsi"/>
                <w:lang w:val="en-US"/>
              </w:rPr>
              <w:t xml:space="preserve">as </w:t>
            </w:r>
            <w:r w:rsidRPr="0065523F">
              <w:rPr>
                <w:rFonts w:asciiTheme="minorHAnsi" w:hAnsiTheme="minorHAnsi"/>
                <w:lang w:val="en-US"/>
              </w:rPr>
              <w:t>agreed during WTDC-10 for all regions.</w:t>
            </w:r>
            <w:r w:rsidR="00CB474A" w:rsidRPr="00941852">
              <w:rPr>
                <w:rFonts w:asciiTheme="minorHAnsi" w:hAnsiTheme="minorHAnsi"/>
                <w:lang w:val="en-US"/>
              </w:rPr>
              <w:t xml:space="preserve"> </w:t>
            </w:r>
          </w:p>
          <w:p w:rsidR="00B85FC5" w:rsidRPr="00941852" w:rsidRDefault="0065523F" w:rsidP="00EA0459">
            <w:pPr>
              <w:pStyle w:val="BDTNormal"/>
              <w:spacing w:before="80" w:after="80"/>
              <w:rPr>
                <w:rFonts w:asciiTheme="minorHAnsi" w:hAnsiTheme="minorHAnsi"/>
                <w:lang w:val="en-US"/>
              </w:rPr>
            </w:pPr>
            <w:r>
              <w:rPr>
                <w:rFonts w:asciiTheme="minorHAnsi" w:hAnsiTheme="minorHAnsi"/>
                <w:lang w:val="en-US"/>
              </w:rPr>
              <w:t>During the 2010-2014 study period, Question 11-3/2 is expected to reflect in the final outputs of its work, among other things:</w:t>
            </w:r>
          </w:p>
          <w:p w:rsidR="00A974EA" w:rsidRPr="00941852" w:rsidRDefault="0065523F" w:rsidP="002C7AFC">
            <w:pPr>
              <w:pStyle w:val="BDTNormal"/>
              <w:numPr>
                <w:ilvl w:val="0"/>
                <w:numId w:val="41"/>
              </w:numPr>
              <w:rPr>
                <w:rFonts w:asciiTheme="minorHAnsi" w:hAnsiTheme="minorHAnsi"/>
                <w:lang w:val="en-US"/>
              </w:rPr>
            </w:pPr>
            <w:r>
              <w:rPr>
                <w:rFonts w:asciiTheme="minorHAnsi" w:hAnsiTheme="minorHAnsi"/>
                <w:lang w:val="en-US"/>
              </w:rPr>
              <w:t>Analysis of gradual transition to digital terrestrial sound and television broadcasting;</w:t>
            </w:r>
          </w:p>
          <w:p w:rsidR="00A974EA" w:rsidRPr="00941852" w:rsidRDefault="0065523F" w:rsidP="002C7AFC">
            <w:pPr>
              <w:pStyle w:val="BDTNormal"/>
              <w:numPr>
                <w:ilvl w:val="0"/>
                <w:numId w:val="41"/>
              </w:numPr>
              <w:rPr>
                <w:rFonts w:asciiTheme="minorHAnsi" w:hAnsiTheme="minorHAnsi"/>
                <w:lang w:val="en-US"/>
              </w:rPr>
            </w:pPr>
            <w:r>
              <w:rPr>
                <w:rFonts w:asciiTheme="minorHAnsi" w:hAnsiTheme="minorHAnsi"/>
                <w:lang w:val="en-US"/>
              </w:rPr>
              <w:t>Impact of interactive multimedia applications enabled by digital terrestrial sound and television broadcasting on the developing countries, including their effects on digital divide and social inclusion by means of e-</w:t>
            </w:r>
            <w:r w:rsidRPr="0065523F">
              <w:rPr>
                <w:rFonts w:asciiTheme="minorHAnsi" w:hAnsiTheme="minorHAnsi"/>
                <w:lang w:val="en-US"/>
              </w:rPr>
              <w:t>applications</w:t>
            </w:r>
            <w:r w:rsidR="00A974EA" w:rsidRPr="00941852">
              <w:rPr>
                <w:rFonts w:asciiTheme="minorHAnsi" w:hAnsiTheme="minorHAnsi"/>
                <w:lang w:val="en-US"/>
              </w:rPr>
              <w:t>;</w:t>
            </w:r>
          </w:p>
          <w:p w:rsidR="00A974EA" w:rsidRPr="00941852" w:rsidRDefault="0065523F" w:rsidP="002C7AFC">
            <w:pPr>
              <w:pStyle w:val="BDTNormal"/>
              <w:numPr>
                <w:ilvl w:val="0"/>
                <w:numId w:val="41"/>
              </w:numPr>
              <w:rPr>
                <w:rFonts w:asciiTheme="minorHAnsi" w:hAnsiTheme="minorHAnsi"/>
                <w:lang w:val="en-US"/>
              </w:rPr>
            </w:pPr>
            <w:r>
              <w:rPr>
                <w:rFonts w:asciiTheme="minorHAnsi" w:hAnsiTheme="minorHAnsi"/>
                <w:lang w:val="en-US"/>
              </w:rPr>
              <w:t xml:space="preserve">Spectrum planning for bands allocated to broadcasting services in preparation for the analogue switch-off, including the usage of white spaces, the digital dividend, and possible band plans, allotment plans, and specific bands to be allocated to broadcasters after the analogue switch-off, in the purview of the </w:t>
            </w:r>
            <w:proofErr w:type="spellStart"/>
            <w:r>
              <w:rPr>
                <w:rFonts w:asciiTheme="minorHAnsi" w:hAnsiTheme="minorHAnsi"/>
                <w:lang w:val="en-US"/>
              </w:rPr>
              <w:t>Radiocommunication</w:t>
            </w:r>
            <w:proofErr w:type="spellEnd"/>
            <w:r>
              <w:rPr>
                <w:rFonts w:asciiTheme="minorHAnsi" w:hAnsiTheme="minorHAnsi"/>
                <w:lang w:val="en-US"/>
              </w:rPr>
              <w:t xml:space="preserve"> Sector;</w:t>
            </w:r>
          </w:p>
          <w:p w:rsidR="00A974EA" w:rsidRPr="00941852" w:rsidRDefault="0065523F" w:rsidP="002C7AFC">
            <w:pPr>
              <w:pStyle w:val="BDTNormal"/>
              <w:numPr>
                <w:ilvl w:val="0"/>
                <w:numId w:val="41"/>
              </w:numPr>
              <w:rPr>
                <w:rFonts w:asciiTheme="minorHAnsi" w:hAnsiTheme="minorHAnsi"/>
                <w:lang w:val="en-US"/>
              </w:rPr>
            </w:pPr>
            <w:r>
              <w:rPr>
                <w:rFonts w:asciiTheme="minorHAnsi" w:hAnsiTheme="minorHAnsi"/>
                <w:lang w:val="en-US"/>
              </w:rPr>
              <w:t>Best practices on fostering public awareness regarding the transition from analogue to digital in broadcasting;</w:t>
            </w:r>
          </w:p>
          <w:p w:rsidR="00A974EA" w:rsidRDefault="0065523F" w:rsidP="002C7AFC">
            <w:pPr>
              <w:pStyle w:val="BDTNormal"/>
              <w:numPr>
                <w:ilvl w:val="0"/>
                <w:numId w:val="41"/>
              </w:numPr>
              <w:rPr>
                <w:rFonts w:asciiTheme="minorHAnsi" w:hAnsiTheme="minorHAnsi"/>
                <w:lang w:val="en-US"/>
              </w:rPr>
            </w:pPr>
            <w:r>
              <w:rPr>
                <w:rFonts w:asciiTheme="minorHAnsi" w:hAnsiTheme="minorHAnsi"/>
                <w:lang w:val="en-US"/>
              </w:rPr>
              <w:t xml:space="preserve">Comprehensive study about special agreements for local production or supply of equipment to enable the transition from analogue to digital broadcasting, for instance intellectual property, transfer of technology, etc.; </w:t>
            </w:r>
          </w:p>
          <w:p w:rsidR="00B85FC5" w:rsidRPr="002C7AFC" w:rsidRDefault="0065523F" w:rsidP="002C7AFC">
            <w:pPr>
              <w:pStyle w:val="BDTNormal"/>
              <w:numPr>
                <w:ilvl w:val="0"/>
                <w:numId w:val="41"/>
              </w:numPr>
              <w:rPr>
                <w:rFonts w:asciiTheme="minorHAnsi" w:hAnsiTheme="minorHAnsi"/>
                <w:lang w:val="en-US"/>
              </w:rPr>
            </w:pPr>
            <w:r w:rsidRPr="002C7AFC">
              <w:rPr>
                <w:rFonts w:asciiTheme="minorHAnsi" w:hAnsiTheme="minorHAnsi"/>
                <w:lang w:val="en-US"/>
              </w:rPr>
              <w:lastRenderedPageBreak/>
              <w:t>Compendium of public policies on the digital terrestrial radio and television transition that brings together the regulatory experiences of countries that are exploring, evaluating and implementing digital terrestrial sound and television technologies.</w:t>
            </w:r>
          </w:p>
          <w:p w:rsidR="00B85FC5" w:rsidRPr="00941852" w:rsidRDefault="0065523F" w:rsidP="00AD4194">
            <w:pPr>
              <w:pStyle w:val="BDTNormal"/>
              <w:rPr>
                <w:rFonts w:asciiTheme="minorHAnsi" w:hAnsiTheme="minorHAnsi"/>
                <w:lang w:val="en-US"/>
              </w:rPr>
            </w:pPr>
            <w:r>
              <w:rPr>
                <w:rFonts w:asciiTheme="minorHAnsi" w:hAnsiTheme="minorHAnsi"/>
                <w:lang w:val="en-US"/>
              </w:rPr>
              <w:t xml:space="preserve">The web-based survey for the development of the compendium on </w:t>
            </w:r>
            <w:r>
              <w:rPr>
                <w:rFonts w:asciiTheme="minorHAnsi" w:hAnsiTheme="minorHAnsi"/>
              </w:rPr>
              <w:t xml:space="preserve">public policies for the transition to digital terrestrial television </w:t>
            </w:r>
            <w:r>
              <w:rPr>
                <w:rFonts w:asciiTheme="minorHAnsi" w:hAnsiTheme="minorHAnsi"/>
                <w:lang w:val="en-US"/>
              </w:rPr>
              <w:t xml:space="preserve">can be accessed at the following address: </w:t>
            </w:r>
          </w:p>
          <w:p w:rsidR="00047397" w:rsidRPr="00941852" w:rsidRDefault="00BC4B96" w:rsidP="009C0B14">
            <w:pPr>
              <w:pStyle w:val="BDTNormal"/>
              <w:rPr>
                <w:rFonts w:asciiTheme="minorHAnsi" w:hAnsiTheme="minorHAnsi"/>
                <w:lang w:val="en-US"/>
              </w:rPr>
            </w:pPr>
            <w:hyperlink r:id="rId11" w:history="1">
              <w:r w:rsidR="0065523F">
                <w:rPr>
                  <w:rStyle w:val="Hyperlink"/>
                  <w:rFonts w:asciiTheme="minorHAnsi" w:hAnsiTheme="minorHAnsi"/>
                  <w:lang w:val="en-US"/>
                </w:rPr>
                <w:t>http://www.itu.int/ITU-D/CDS/gq/generic/questionnaire.asp?ProjectID=201</w:t>
              </w:r>
            </w:hyperlink>
            <w:r w:rsidR="0065523F" w:rsidRPr="0065523F">
              <w:rPr>
                <w:rFonts w:asciiTheme="minorHAnsi" w:hAnsiTheme="minorHAnsi"/>
                <w:lang w:val="en-US"/>
              </w:rPr>
              <w:t xml:space="preserve"> </w:t>
            </w:r>
          </w:p>
          <w:p w:rsidR="00B85FC5" w:rsidRPr="00941852" w:rsidRDefault="0065523F" w:rsidP="00941852">
            <w:pPr>
              <w:pStyle w:val="BDTNormal"/>
              <w:rPr>
                <w:rFonts w:asciiTheme="minorHAnsi" w:hAnsiTheme="minorHAnsi"/>
                <w:b/>
                <w:bCs/>
                <w:lang w:val="en-US"/>
              </w:rPr>
            </w:pPr>
            <w:r w:rsidRPr="0065523F">
              <w:rPr>
                <w:rFonts w:asciiTheme="minorHAnsi" w:hAnsiTheme="minorHAnsi"/>
                <w:lang w:val="en-US"/>
              </w:rPr>
              <w:t xml:space="preserve">We would be grateful if you could fill in the questionnaire online, and submit it to us, not later than </w:t>
            </w:r>
            <w:r w:rsidRPr="0065523F">
              <w:rPr>
                <w:rFonts w:asciiTheme="minorHAnsi" w:hAnsiTheme="minorHAnsi"/>
                <w:b/>
                <w:bCs/>
                <w:lang w:val="en-US"/>
              </w:rPr>
              <w:t>9 December 2011.</w:t>
            </w:r>
          </w:p>
          <w:p w:rsidR="00B85FC5" w:rsidRPr="00941852" w:rsidRDefault="00B85FC5" w:rsidP="00742216">
            <w:pPr>
              <w:pStyle w:val="BDTNormal"/>
              <w:rPr>
                <w:rFonts w:asciiTheme="minorHAnsi" w:hAnsiTheme="minorHAnsi"/>
                <w:lang w:val="en-US"/>
              </w:rPr>
            </w:pPr>
            <w:r w:rsidRPr="00941852">
              <w:rPr>
                <w:rFonts w:asciiTheme="minorHAnsi" w:hAnsiTheme="minorHAnsi"/>
                <w:lang w:val="en-US"/>
              </w:rPr>
              <w:t xml:space="preserve">Queries or requests for further information regarding this </w:t>
            </w:r>
            <w:r w:rsidR="00742216" w:rsidRPr="00941852">
              <w:rPr>
                <w:rFonts w:asciiTheme="minorHAnsi" w:hAnsiTheme="minorHAnsi"/>
                <w:lang w:val="en-US"/>
              </w:rPr>
              <w:t>survey</w:t>
            </w:r>
            <w:r w:rsidR="0065523F" w:rsidRPr="0065523F">
              <w:rPr>
                <w:rFonts w:asciiTheme="minorHAnsi" w:hAnsiTheme="minorHAnsi"/>
                <w:lang w:val="en-US"/>
              </w:rPr>
              <w:t xml:space="preserve"> will be answered by:</w:t>
            </w:r>
          </w:p>
          <w:p w:rsidR="00B85FC5" w:rsidRPr="00941852" w:rsidRDefault="0065523F" w:rsidP="002C7AFC">
            <w:pPr>
              <w:pStyle w:val="BDTNormal"/>
              <w:numPr>
                <w:ilvl w:val="0"/>
                <w:numId w:val="41"/>
              </w:numPr>
              <w:rPr>
                <w:rFonts w:asciiTheme="minorHAnsi" w:hAnsiTheme="minorHAnsi"/>
                <w:lang w:val="en-US"/>
              </w:rPr>
            </w:pPr>
            <w:r w:rsidRPr="0065523F">
              <w:rPr>
                <w:rFonts w:asciiTheme="minorHAnsi" w:hAnsiTheme="minorHAnsi"/>
                <w:lang w:val="en-US"/>
              </w:rPr>
              <w:t xml:space="preserve">The Rapporteur for Question 11-3/2: Mr Petko Kantchev, Ministry of Transport, Information Technology and Communications, Bulgaria (tel.: +41 79 214 347, e-mail: </w:t>
            </w:r>
            <w:r w:rsidR="00CC6B99">
              <w:rPr>
                <w:rFonts w:asciiTheme="minorHAnsi" w:hAnsiTheme="minorHAnsi"/>
                <w:lang w:val="en-US"/>
              </w:rPr>
              <w:t xml:space="preserve"> </w:t>
            </w:r>
            <w:hyperlink r:id="rId12" w:history="1">
              <w:r w:rsidRPr="00CC6B99">
                <w:rPr>
                  <w:rStyle w:val="Hyperlink"/>
                </w:rPr>
                <w:t>petko.kantchev@ties.itu.int</w:t>
              </w:r>
            </w:hyperlink>
            <w:r w:rsidR="00CC6B99">
              <w:t xml:space="preserve"> </w:t>
            </w:r>
            <w:r w:rsidR="00742216" w:rsidRPr="00941852">
              <w:rPr>
                <w:rFonts w:asciiTheme="minorHAnsi" w:hAnsiTheme="minorHAnsi"/>
                <w:lang w:val="en-US"/>
              </w:rPr>
              <w:t xml:space="preserve">) </w:t>
            </w:r>
          </w:p>
          <w:p w:rsidR="00742216" w:rsidRPr="00941852" w:rsidRDefault="0065523F" w:rsidP="002C7AFC">
            <w:pPr>
              <w:pStyle w:val="BDTNormal"/>
              <w:numPr>
                <w:ilvl w:val="0"/>
                <w:numId w:val="41"/>
              </w:numPr>
              <w:rPr>
                <w:rFonts w:asciiTheme="minorHAnsi" w:hAnsiTheme="minorHAnsi"/>
                <w:lang w:val="en-US"/>
              </w:rPr>
            </w:pPr>
            <w:r w:rsidRPr="0065523F">
              <w:rPr>
                <w:rFonts w:asciiTheme="minorHAnsi" w:hAnsiTheme="minorHAnsi"/>
                <w:lang w:val="en-US"/>
              </w:rPr>
              <w:t xml:space="preserve">The BDT focal point for this Question: </w:t>
            </w:r>
            <w:proofErr w:type="spellStart"/>
            <w:r w:rsidRPr="0065523F">
              <w:rPr>
                <w:rFonts w:asciiTheme="minorHAnsi" w:hAnsiTheme="minorHAnsi"/>
                <w:lang w:val="en-US"/>
              </w:rPr>
              <w:t>Mr</w:t>
            </w:r>
            <w:proofErr w:type="spellEnd"/>
            <w:r w:rsidRPr="0065523F">
              <w:rPr>
                <w:rFonts w:asciiTheme="minorHAnsi" w:hAnsiTheme="minorHAnsi"/>
                <w:lang w:val="en-US"/>
              </w:rPr>
              <w:t xml:space="preserve"> </w:t>
            </w:r>
            <w:proofErr w:type="spellStart"/>
            <w:r w:rsidRPr="0065523F">
              <w:rPr>
                <w:rFonts w:asciiTheme="minorHAnsi" w:hAnsiTheme="minorHAnsi"/>
                <w:lang w:val="en-US"/>
              </w:rPr>
              <w:t>István</w:t>
            </w:r>
            <w:proofErr w:type="spellEnd"/>
            <w:r w:rsidRPr="0065523F">
              <w:rPr>
                <w:rFonts w:asciiTheme="minorHAnsi" w:hAnsiTheme="minorHAnsi"/>
                <w:lang w:val="en-US"/>
              </w:rPr>
              <w:t xml:space="preserve"> </w:t>
            </w:r>
            <w:proofErr w:type="spellStart"/>
            <w:r w:rsidRPr="0065523F">
              <w:rPr>
                <w:rFonts w:asciiTheme="minorHAnsi" w:hAnsiTheme="minorHAnsi"/>
                <w:lang w:val="en-US"/>
              </w:rPr>
              <w:t>Bozsoki</w:t>
            </w:r>
            <w:proofErr w:type="spellEnd"/>
            <w:r w:rsidRPr="0065523F">
              <w:rPr>
                <w:rFonts w:asciiTheme="minorHAnsi" w:hAnsiTheme="minorHAnsi"/>
                <w:lang w:val="en-US"/>
              </w:rPr>
              <w:t xml:space="preserve">, ITU/BDT/IEE/TND (tel.:+41 22 730 6347, e-mail: </w:t>
            </w:r>
            <w:hyperlink r:id="rId13" w:history="1">
              <w:r w:rsidR="00A974EA" w:rsidRPr="00CC6B99">
                <w:rPr>
                  <w:rStyle w:val="Hyperlink"/>
                </w:rPr>
                <w:t>istvan.bozsoki@itu.int</w:t>
              </w:r>
            </w:hyperlink>
            <w:r w:rsidR="00CC6B99">
              <w:t xml:space="preserve"> </w:t>
            </w:r>
            <w:r w:rsidR="00742216" w:rsidRPr="00941852">
              <w:rPr>
                <w:rFonts w:asciiTheme="minorHAnsi" w:hAnsiTheme="minorHAnsi"/>
                <w:lang w:val="en-US"/>
              </w:rPr>
              <w:t>)</w:t>
            </w:r>
          </w:p>
          <w:p w:rsidR="00742216" w:rsidRPr="00941852" w:rsidRDefault="0065523F" w:rsidP="00047397">
            <w:pPr>
              <w:pStyle w:val="BDTNormal"/>
              <w:rPr>
                <w:rFonts w:asciiTheme="minorHAnsi" w:hAnsiTheme="minorHAnsi"/>
                <w:lang w:val="en-US"/>
              </w:rPr>
            </w:pPr>
            <w:r w:rsidRPr="0065523F">
              <w:rPr>
                <w:rFonts w:asciiTheme="minorHAnsi" w:hAnsiTheme="minorHAnsi"/>
                <w:lang w:val="en-US"/>
              </w:rPr>
              <w:t>General queries about the work of the ITU-D Study Groups (</w:t>
            </w:r>
            <w:hyperlink r:id="rId14" w:history="1">
              <w:r w:rsidR="00047397" w:rsidRPr="00941852">
                <w:rPr>
                  <w:rStyle w:val="Hyperlink"/>
                  <w:rFonts w:asciiTheme="minorHAnsi" w:hAnsiTheme="minorHAnsi"/>
                  <w:lang w:val="en-US"/>
                </w:rPr>
                <w:t>http://www.itu.int/ITU-D/study_groups/</w:t>
              </w:r>
            </w:hyperlink>
            <w:r w:rsidR="00047397" w:rsidRPr="00941852">
              <w:rPr>
                <w:rFonts w:asciiTheme="minorHAnsi" w:hAnsiTheme="minorHAnsi"/>
                <w:lang w:val="en-US"/>
              </w:rPr>
              <w:t>)</w:t>
            </w:r>
            <w:r w:rsidR="00742216" w:rsidRPr="00941852">
              <w:rPr>
                <w:rFonts w:asciiTheme="minorHAnsi" w:hAnsiTheme="minorHAnsi"/>
                <w:lang w:val="en-US"/>
              </w:rPr>
              <w:t xml:space="preserve"> can be addressed to the ITU-D Study Groups Se</w:t>
            </w:r>
            <w:r w:rsidRPr="0065523F">
              <w:rPr>
                <w:rFonts w:asciiTheme="minorHAnsi" w:hAnsiTheme="minorHAnsi"/>
                <w:lang w:val="en-US"/>
              </w:rPr>
              <w:t xml:space="preserve">cretariat (tel.: +41 22 730 5999, e-mail: </w:t>
            </w:r>
            <w:hyperlink r:id="rId15" w:history="1">
              <w:r w:rsidR="00742216" w:rsidRPr="00941852">
                <w:rPr>
                  <w:rStyle w:val="Hyperlink"/>
                  <w:rFonts w:asciiTheme="minorHAnsi" w:hAnsiTheme="minorHAnsi"/>
                  <w:lang w:val="en-US"/>
                </w:rPr>
                <w:t>devsg@itu.int</w:t>
              </w:r>
            </w:hyperlink>
            <w:r w:rsidR="00742216" w:rsidRPr="00941852">
              <w:rPr>
                <w:rFonts w:asciiTheme="minorHAnsi" w:hAnsiTheme="minorHAnsi"/>
                <w:lang w:val="en-US"/>
              </w:rPr>
              <w:t>)</w:t>
            </w:r>
          </w:p>
          <w:p w:rsidR="00B85FC5" w:rsidRPr="00941852" w:rsidRDefault="0065523F" w:rsidP="00EA0459">
            <w:pPr>
              <w:pStyle w:val="BDTNormal"/>
              <w:spacing w:before="80" w:after="80"/>
              <w:rPr>
                <w:rFonts w:asciiTheme="minorHAnsi" w:hAnsiTheme="minorHAnsi"/>
                <w:lang w:val="en-US"/>
              </w:rPr>
            </w:pPr>
            <w:r w:rsidRPr="0065523F">
              <w:rPr>
                <w:rFonts w:asciiTheme="minorHAnsi" w:hAnsiTheme="minorHAnsi"/>
                <w:lang w:val="en-US"/>
              </w:rPr>
              <w:t xml:space="preserve">All data collected will be used to compile the global compendium and elaborate concrete guidelines and recommendations, based on actual experiences and established practices, to assist countries in the transition to digital terrestrial television. </w:t>
            </w:r>
          </w:p>
          <w:p w:rsidR="00AF36EF" w:rsidRPr="00941852" w:rsidRDefault="0065523F" w:rsidP="00EA0459">
            <w:pPr>
              <w:pStyle w:val="BDTNormal"/>
              <w:spacing w:before="80" w:after="80"/>
              <w:rPr>
                <w:rFonts w:asciiTheme="minorHAnsi" w:hAnsiTheme="minorHAnsi"/>
                <w:lang w:val="en-US"/>
              </w:rPr>
            </w:pPr>
            <w:r w:rsidRPr="0065523F">
              <w:rPr>
                <w:rFonts w:asciiTheme="minorHAnsi" w:hAnsiTheme="minorHAnsi"/>
                <w:lang w:val="en-US"/>
              </w:rPr>
              <w:t>The success and value of this study are contingent on the input received from Member States, ITU-D Sector Members and Associates. We look forward to your active participation and contributions to the work of the ITU-D Study Groups.</w:t>
            </w:r>
          </w:p>
          <w:p w:rsidR="00B85FC5" w:rsidRPr="00941852" w:rsidRDefault="0065523F" w:rsidP="00AF36EF">
            <w:pPr>
              <w:pStyle w:val="BDTNormal"/>
              <w:rPr>
                <w:rFonts w:asciiTheme="minorHAnsi" w:hAnsiTheme="minorHAnsi"/>
                <w:lang w:val="en-US"/>
              </w:rPr>
            </w:pPr>
            <w:r w:rsidRPr="0065523F">
              <w:rPr>
                <w:rFonts w:asciiTheme="minorHAnsi" w:hAnsiTheme="minorHAnsi"/>
                <w:lang w:val="en-US"/>
              </w:rPr>
              <w:t>We thank you in advance for your cooperation.</w:t>
            </w:r>
          </w:p>
          <w:p w:rsidR="004703F4" w:rsidRPr="00941852" w:rsidRDefault="0065523F" w:rsidP="001919DB">
            <w:pPr>
              <w:pStyle w:val="BDTOriginalSigned"/>
              <w:spacing w:before="240" w:after="240"/>
              <w:rPr>
                <w:rFonts w:asciiTheme="minorHAnsi" w:hAnsiTheme="minorHAnsi"/>
                <w:szCs w:val="22"/>
                <w:lang w:bidi="ar-EG"/>
              </w:rPr>
            </w:pPr>
            <w:r w:rsidRPr="0065523F">
              <w:rPr>
                <w:rFonts w:asciiTheme="minorHAnsi" w:hAnsiTheme="minorHAnsi"/>
                <w:szCs w:val="22"/>
                <w:lang w:bidi="ar-EG"/>
              </w:rPr>
              <w:fldChar w:fldCharType="begin"/>
            </w:r>
            <w:r w:rsidRPr="0065523F">
              <w:rPr>
                <w:rFonts w:asciiTheme="minorHAnsi" w:hAnsiTheme="minorHAnsi"/>
                <w:szCs w:val="22"/>
                <w:lang w:bidi="ar-EG"/>
              </w:rPr>
              <w:instrText xml:space="preserve"> MERGEFIELD Closing </w:instrText>
            </w:r>
            <w:r w:rsidRPr="0065523F">
              <w:rPr>
                <w:rFonts w:asciiTheme="minorHAnsi" w:hAnsiTheme="minorHAnsi"/>
                <w:szCs w:val="22"/>
                <w:lang w:bidi="ar-EG"/>
              </w:rPr>
              <w:fldChar w:fldCharType="separate"/>
            </w:r>
            <w:r w:rsidRPr="0065523F">
              <w:rPr>
                <w:rFonts w:asciiTheme="minorHAnsi" w:hAnsiTheme="minorHAnsi"/>
                <w:noProof/>
                <w:szCs w:val="22"/>
                <w:lang w:bidi="ar-EG"/>
              </w:rPr>
              <w:t>Yours faithfully,</w:t>
            </w:r>
            <w:r w:rsidRPr="0065523F">
              <w:rPr>
                <w:rFonts w:asciiTheme="minorHAnsi" w:hAnsiTheme="minorHAnsi"/>
                <w:szCs w:val="22"/>
                <w:lang w:bidi="ar-EG"/>
              </w:rPr>
              <w:fldChar w:fldCharType="end"/>
            </w:r>
          </w:p>
          <w:p w:rsidR="00EA0459" w:rsidRDefault="00EA0459" w:rsidP="00941DDB">
            <w:pPr>
              <w:pStyle w:val="BDTSignatureName"/>
              <w:spacing w:before="240" w:after="0"/>
              <w:rPr>
                <w:rFonts w:asciiTheme="minorHAnsi" w:hAnsiTheme="minorHAnsi"/>
                <w:szCs w:val="22"/>
                <w:lang w:val="en-US"/>
              </w:rPr>
            </w:pPr>
            <w:r>
              <w:rPr>
                <w:rFonts w:asciiTheme="minorHAnsi" w:hAnsiTheme="minorHAnsi"/>
                <w:szCs w:val="22"/>
                <w:lang w:val="en-US"/>
              </w:rPr>
              <w:br/>
            </w:r>
            <w:r w:rsidR="00941DDB">
              <w:rPr>
                <w:rFonts w:asciiTheme="minorHAnsi" w:hAnsiTheme="minorHAnsi"/>
                <w:szCs w:val="22"/>
                <w:lang w:val="en-US"/>
              </w:rPr>
              <w:t>[original signed]</w:t>
            </w:r>
            <w:r w:rsidR="001E78DE">
              <w:rPr>
                <w:rFonts w:asciiTheme="minorHAnsi" w:hAnsiTheme="minorHAnsi"/>
                <w:szCs w:val="22"/>
                <w:lang w:val="en-US"/>
              </w:rPr>
              <w:br/>
            </w:r>
            <w:r>
              <w:rPr>
                <w:rFonts w:asciiTheme="minorHAnsi" w:hAnsiTheme="minorHAnsi"/>
                <w:szCs w:val="22"/>
                <w:lang w:val="en-US"/>
              </w:rPr>
              <w:br/>
            </w:r>
          </w:p>
          <w:p w:rsidR="00AF36EF" w:rsidRPr="00941852" w:rsidRDefault="0065523F" w:rsidP="00BA4DD0">
            <w:pPr>
              <w:pStyle w:val="BDTSignatureName"/>
              <w:spacing w:before="240" w:after="0"/>
              <w:rPr>
                <w:rFonts w:asciiTheme="minorHAnsi" w:hAnsiTheme="minorHAnsi"/>
                <w:szCs w:val="22"/>
                <w:lang w:val="en-US"/>
              </w:rPr>
            </w:pPr>
            <w:proofErr w:type="spellStart"/>
            <w:r w:rsidRPr="0065523F">
              <w:rPr>
                <w:rFonts w:asciiTheme="minorHAnsi" w:hAnsiTheme="minorHAnsi"/>
                <w:szCs w:val="22"/>
                <w:lang w:val="en-US"/>
              </w:rPr>
              <w:t>Brahima</w:t>
            </w:r>
            <w:proofErr w:type="spellEnd"/>
            <w:r w:rsidRPr="0065523F">
              <w:rPr>
                <w:rFonts w:asciiTheme="minorHAnsi" w:hAnsiTheme="minorHAnsi"/>
                <w:szCs w:val="22"/>
                <w:lang w:val="en-US"/>
              </w:rPr>
              <w:t xml:space="preserve"> </w:t>
            </w:r>
            <w:proofErr w:type="spellStart"/>
            <w:r w:rsidRPr="0065523F">
              <w:rPr>
                <w:rFonts w:asciiTheme="minorHAnsi" w:hAnsiTheme="minorHAnsi"/>
                <w:szCs w:val="22"/>
                <w:lang w:val="en-US"/>
              </w:rPr>
              <w:t>Sanou</w:t>
            </w:r>
            <w:proofErr w:type="spellEnd"/>
          </w:p>
          <w:p w:rsidR="00AF36EF" w:rsidRDefault="0065523F" w:rsidP="009363C1">
            <w:pPr>
              <w:pStyle w:val="BDTSignatureTitle"/>
              <w:spacing w:before="0" w:after="1560"/>
              <w:rPr>
                <w:rFonts w:asciiTheme="minorHAnsi" w:hAnsiTheme="minorHAnsi"/>
                <w:szCs w:val="22"/>
              </w:rPr>
            </w:pPr>
            <w:r w:rsidRPr="0065523F">
              <w:rPr>
                <w:rFonts w:asciiTheme="minorHAnsi" w:hAnsiTheme="minorHAnsi"/>
                <w:szCs w:val="22"/>
              </w:rPr>
              <w:t>Director</w:t>
            </w:r>
          </w:p>
          <w:p w:rsidR="00C147E5" w:rsidRPr="00941852" w:rsidRDefault="0065523F" w:rsidP="00C9012C">
            <w:pPr>
              <w:pStyle w:val="BDTSignatureTitle"/>
              <w:spacing w:before="0"/>
              <w:rPr>
                <w:rFonts w:asciiTheme="minorHAnsi" w:hAnsiTheme="minorHAnsi"/>
                <w:szCs w:val="22"/>
              </w:rPr>
            </w:pPr>
            <w:bookmarkStart w:id="5" w:name="_GoBack"/>
            <w:bookmarkEnd w:id="5"/>
            <w:r w:rsidRPr="0065523F">
              <w:rPr>
                <w:rFonts w:asciiTheme="minorHAnsi" w:hAnsiTheme="minorHAnsi"/>
                <w:szCs w:val="22"/>
                <w:u w:val="single"/>
              </w:rPr>
              <w:t>Distribution</w:t>
            </w:r>
            <w:r w:rsidRPr="0065523F">
              <w:rPr>
                <w:rFonts w:asciiTheme="minorHAnsi" w:hAnsiTheme="minorHAnsi"/>
                <w:szCs w:val="22"/>
              </w:rPr>
              <w:t>:</w:t>
            </w:r>
          </w:p>
          <w:p w:rsidR="00C147E5" w:rsidRPr="00941852" w:rsidRDefault="0065523F" w:rsidP="008265DA">
            <w:pPr>
              <w:pStyle w:val="BDTDistributionEmdash"/>
              <w:ind w:hanging="357"/>
              <w:rPr>
                <w:rFonts w:asciiTheme="minorHAnsi" w:hAnsiTheme="minorHAnsi"/>
                <w:szCs w:val="22"/>
              </w:rPr>
            </w:pPr>
            <w:r w:rsidRPr="0065523F">
              <w:rPr>
                <w:rFonts w:asciiTheme="minorHAnsi" w:hAnsiTheme="minorHAnsi"/>
                <w:szCs w:val="22"/>
              </w:rPr>
              <w:t>Administrations of Member States ;</w:t>
            </w:r>
          </w:p>
          <w:p w:rsidR="00C147E5" w:rsidRPr="00941852" w:rsidRDefault="0065523F" w:rsidP="008265DA">
            <w:pPr>
              <w:pStyle w:val="BDTDistributionEmdash"/>
              <w:ind w:hanging="357"/>
              <w:rPr>
                <w:rFonts w:asciiTheme="minorHAnsi" w:hAnsiTheme="minorHAnsi"/>
                <w:szCs w:val="22"/>
              </w:rPr>
            </w:pPr>
            <w:r w:rsidRPr="0065523F">
              <w:rPr>
                <w:rFonts w:asciiTheme="minorHAnsi" w:hAnsiTheme="minorHAnsi"/>
                <w:szCs w:val="22"/>
              </w:rPr>
              <w:t>Observer (Resolution 99);</w:t>
            </w:r>
          </w:p>
          <w:p w:rsidR="00C147E5" w:rsidRPr="00941852" w:rsidRDefault="0065523F" w:rsidP="008265DA">
            <w:pPr>
              <w:pStyle w:val="BDTDistributionEmdash"/>
              <w:ind w:hanging="357"/>
              <w:rPr>
                <w:rFonts w:asciiTheme="minorHAnsi" w:hAnsiTheme="minorHAnsi"/>
                <w:szCs w:val="22"/>
              </w:rPr>
            </w:pPr>
            <w:r w:rsidRPr="0065523F">
              <w:rPr>
                <w:rFonts w:asciiTheme="minorHAnsi" w:hAnsiTheme="minorHAnsi"/>
                <w:szCs w:val="22"/>
              </w:rPr>
              <w:t>ITU-D Sector Members;</w:t>
            </w:r>
          </w:p>
          <w:p w:rsidR="00C147E5" w:rsidRPr="00941852" w:rsidRDefault="0065523F" w:rsidP="008265DA">
            <w:pPr>
              <w:pStyle w:val="BDTDistributionEmdash"/>
              <w:ind w:hanging="357"/>
              <w:rPr>
                <w:rFonts w:asciiTheme="minorHAnsi" w:hAnsiTheme="minorHAnsi"/>
                <w:szCs w:val="22"/>
              </w:rPr>
            </w:pPr>
            <w:r w:rsidRPr="0065523F">
              <w:rPr>
                <w:rFonts w:asciiTheme="minorHAnsi" w:hAnsiTheme="minorHAnsi"/>
                <w:szCs w:val="22"/>
              </w:rPr>
              <w:t>ITU-D Associates in their respective Study Group;</w:t>
            </w:r>
          </w:p>
          <w:p w:rsidR="00C147E5" w:rsidRPr="00941852" w:rsidRDefault="0065523F" w:rsidP="008265DA">
            <w:pPr>
              <w:pStyle w:val="BDTDistributionEmdash"/>
              <w:ind w:hanging="357"/>
              <w:rPr>
                <w:rFonts w:asciiTheme="minorHAnsi" w:hAnsiTheme="minorHAnsi"/>
                <w:szCs w:val="22"/>
              </w:rPr>
            </w:pPr>
            <w:r w:rsidRPr="0065523F">
              <w:rPr>
                <w:rFonts w:asciiTheme="minorHAnsi" w:hAnsiTheme="minorHAnsi"/>
                <w:szCs w:val="22"/>
              </w:rPr>
              <w:t>Chairmen, Vice-Chairmen, Rapporteurs and Vice-Rapporteurs for ITU-D Study Groups 1 and 2.</w:t>
            </w:r>
          </w:p>
          <w:p w:rsidR="00152659" w:rsidRPr="00941852" w:rsidRDefault="0065523F" w:rsidP="008265DA">
            <w:pPr>
              <w:pStyle w:val="BDTDistributionEmdash"/>
              <w:ind w:hanging="357"/>
              <w:rPr>
                <w:szCs w:val="22"/>
              </w:rPr>
            </w:pPr>
            <w:r w:rsidRPr="0065523F">
              <w:rPr>
                <w:rFonts w:asciiTheme="minorHAnsi" w:hAnsiTheme="minorHAnsi"/>
                <w:szCs w:val="22"/>
              </w:rPr>
              <w:t>Designated Focal Points (DFP)</w:t>
            </w:r>
          </w:p>
          <w:p w:rsidR="004D4E53" w:rsidRPr="001D65AA" w:rsidRDefault="0065523F" w:rsidP="008265DA">
            <w:pPr>
              <w:pStyle w:val="BDTDistributionEmdash"/>
              <w:ind w:hanging="357"/>
            </w:pPr>
            <w:r w:rsidRPr="0065523F">
              <w:rPr>
                <w:rFonts w:asciiTheme="minorHAnsi" w:hAnsiTheme="minorHAnsi"/>
                <w:szCs w:val="22"/>
              </w:rPr>
              <w:t>Directors of ITU Regional Offices</w:t>
            </w:r>
          </w:p>
        </w:tc>
      </w:tr>
    </w:tbl>
    <w:p w:rsidR="00F02D74" w:rsidRPr="001D65AA" w:rsidRDefault="00F02D74" w:rsidP="00EA0459">
      <w:pPr>
        <w:pStyle w:val="BDTEndReturn"/>
        <w:rPr>
          <w:lang w:val="en-US"/>
        </w:rPr>
      </w:pPr>
    </w:p>
    <w:sectPr w:rsidR="00F02D74" w:rsidRPr="001D65AA" w:rsidSect="00702B8F">
      <w:headerReference w:type="even" r:id="rId16"/>
      <w:headerReference w:type="default" r:id="rId17"/>
      <w:footerReference w:type="first" r:id="rId18"/>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AF" w:rsidRDefault="003516AF" w:rsidP="00945AF6">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ED0F90">
        <w:rPr>
          <w:rStyle w:val="Hyperlink"/>
          <w:rFonts w:cs="Traditional Arabic"/>
          <w:lang w:val="fr-CH"/>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3516AF" w:rsidRDefault="003516AF">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AF" w:rsidRDefault="003516AF" w:rsidP="00EA0459">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BC4B96">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AF" w:rsidRDefault="003516AF">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fldChar w:fldCharType="begin"/>
    </w:r>
    <w:r>
      <w:instrText xml:space="preserve"> PAGE  \* Arabic  \* MERGEFORMAT </w:instrText>
    </w:r>
    <w:r>
      <w:fldChar w:fldCharType="separate"/>
    </w:r>
    <w:r w:rsidR="00941DDB">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B3550A"/>
    <w:multiLevelType w:val="hybridMultilevel"/>
    <w:tmpl w:val="014625F6"/>
    <w:lvl w:ilvl="0" w:tplc="D1D202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B220AA"/>
    <w:multiLevelType w:val="hybridMultilevel"/>
    <w:tmpl w:val="AD02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E6A39C7"/>
    <w:multiLevelType w:val="hybridMultilevel"/>
    <w:tmpl w:val="755CBDB2"/>
    <w:lvl w:ilvl="0" w:tplc="842022F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0"/>
  </w:num>
  <w:num w:numId="2">
    <w:abstractNumId w:val="30"/>
  </w:num>
  <w:num w:numId="3">
    <w:abstractNumId w:val="20"/>
  </w:num>
  <w:num w:numId="4">
    <w:abstractNumId w:val="19"/>
  </w:num>
  <w:num w:numId="5">
    <w:abstractNumId w:val="17"/>
  </w:num>
  <w:num w:numId="6">
    <w:abstractNumId w:val="14"/>
  </w:num>
  <w:num w:numId="7">
    <w:abstractNumId w:val="27"/>
  </w:num>
  <w:num w:numId="8">
    <w:abstractNumId w:val="29"/>
  </w:num>
  <w:num w:numId="9">
    <w:abstractNumId w:val="23"/>
  </w:num>
  <w:num w:numId="10">
    <w:abstractNumId w:val="15"/>
  </w:num>
  <w:num w:numId="11">
    <w:abstractNumId w:val="30"/>
  </w:num>
  <w:num w:numId="12">
    <w:abstractNumId w:val="18"/>
    <w:lvlOverride w:ilvl="0">
      <w:startOverride w:val="1"/>
    </w:lvlOverride>
  </w:num>
  <w:num w:numId="13">
    <w:abstractNumId w:val="30"/>
  </w:num>
  <w:num w:numId="14">
    <w:abstractNumId w:val="30"/>
  </w:num>
  <w:num w:numId="15">
    <w:abstractNumId w:val="20"/>
  </w:num>
  <w:num w:numId="16">
    <w:abstractNumId w:val="19"/>
  </w:num>
  <w:num w:numId="17">
    <w:abstractNumId w:val="17"/>
  </w:num>
  <w:num w:numId="18">
    <w:abstractNumId w:val="14"/>
  </w:num>
  <w:num w:numId="19">
    <w:abstractNumId w:val="27"/>
  </w:num>
  <w:num w:numId="20">
    <w:abstractNumId w:val="29"/>
  </w:num>
  <w:num w:numId="21">
    <w:abstractNumId w:val="23"/>
  </w:num>
  <w:num w:numId="22">
    <w:abstractNumId w:val="15"/>
  </w:num>
  <w:num w:numId="23">
    <w:abstractNumId w:val="30"/>
  </w:num>
  <w:num w:numId="24">
    <w:abstractNumId w:val="18"/>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21"/>
  </w:num>
  <w:num w:numId="37">
    <w:abstractNumId w:val="22"/>
  </w:num>
  <w:num w:numId="38">
    <w:abstractNumId w:val="26"/>
  </w:num>
  <w:num w:numId="39">
    <w:abstractNumId w:val="24"/>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F505F"/>
    <w:rsid w:val="00021E11"/>
    <w:rsid w:val="000234D8"/>
    <w:rsid w:val="00034ADE"/>
    <w:rsid w:val="00043659"/>
    <w:rsid w:val="00047397"/>
    <w:rsid w:val="00047CA9"/>
    <w:rsid w:val="00090ACC"/>
    <w:rsid w:val="0009266A"/>
    <w:rsid w:val="000B7007"/>
    <w:rsid w:val="000E2FD8"/>
    <w:rsid w:val="000E6A7A"/>
    <w:rsid w:val="00101F9D"/>
    <w:rsid w:val="001042C4"/>
    <w:rsid w:val="00123EBD"/>
    <w:rsid w:val="00136BB8"/>
    <w:rsid w:val="00152659"/>
    <w:rsid w:val="00163DC8"/>
    <w:rsid w:val="00165D9A"/>
    <w:rsid w:val="00167F2B"/>
    <w:rsid w:val="001853C9"/>
    <w:rsid w:val="001919DB"/>
    <w:rsid w:val="001963C5"/>
    <w:rsid w:val="001A4EA7"/>
    <w:rsid w:val="001C5E82"/>
    <w:rsid w:val="001D65AA"/>
    <w:rsid w:val="001E30C0"/>
    <w:rsid w:val="001E6909"/>
    <w:rsid w:val="001E78DE"/>
    <w:rsid w:val="00246CBB"/>
    <w:rsid w:val="00260224"/>
    <w:rsid w:val="00267550"/>
    <w:rsid w:val="00274841"/>
    <w:rsid w:val="00280A5D"/>
    <w:rsid w:val="00291019"/>
    <w:rsid w:val="002A3999"/>
    <w:rsid w:val="002B126E"/>
    <w:rsid w:val="002C7AFC"/>
    <w:rsid w:val="002E5E87"/>
    <w:rsid w:val="00303EE3"/>
    <w:rsid w:val="0030688A"/>
    <w:rsid w:val="00314322"/>
    <w:rsid w:val="003430DB"/>
    <w:rsid w:val="00350971"/>
    <w:rsid w:val="003516AF"/>
    <w:rsid w:val="00352AD6"/>
    <w:rsid w:val="003628FA"/>
    <w:rsid w:val="00367419"/>
    <w:rsid w:val="003708DB"/>
    <w:rsid w:val="00384143"/>
    <w:rsid w:val="00386451"/>
    <w:rsid w:val="003904AA"/>
    <w:rsid w:val="00396EC9"/>
    <w:rsid w:val="003A32B8"/>
    <w:rsid w:val="003C5BD4"/>
    <w:rsid w:val="003E1452"/>
    <w:rsid w:val="003E2018"/>
    <w:rsid w:val="00413BCF"/>
    <w:rsid w:val="00421417"/>
    <w:rsid w:val="00425CDA"/>
    <w:rsid w:val="00461E11"/>
    <w:rsid w:val="004703F4"/>
    <w:rsid w:val="00475D72"/>
    <w:rsid w:val="004A0134"/>
    <w:rsid w:val="004A6FDF"/>
    <w:rsid w:val="004C076C"/>
    <w:rsid w:val="004D4E53"/>
    <w:rsid w:val="00514713"/>
    <w:rsid w:val="005355BC"/>
    <w:rsid w:val="00564AD1"/>
    <w:rsid w:val="00586EBC"/>
    <w:rsid w:val="005B04FD"/>
    <w:rsid w:val="005B1F9E"/>
    <w:rsid w:val="005C081A"/>
    <w:rsid w:val="005E5F0C"/>
    <w:rsid w:val="005F2B06"/>
    <w:rsid w:val="005F32FE"/>
    <w:rsid w:val="00610838"/>
    <w:rsid w:val="00646138"/>
    <w:rsid w:val="006461BB"/>
    <w:rsid w:val="00651DF1"/>
    <w:rsid w:val="0065523F"/>
    <w:rsid w:val="00683870"/>
    <w:rsid w:val="00687E27"/>
    <w:rsid w:val="0069453D"/>
    <w:rsid w:val="006B4138"/>
    <w:rsid w:val="006E1BCC"/>
    <w:rsid w:val="006E7234"/>
    <w:rsid w:val="006F3F68"/>
    <w:rsid w:val="00702B8F"/>
    <w:rsid w:val="0071233E"/>
    <w:rsid w:val="00716466"/>
    <w:rsid w:val="00725922"/>
    <w:rsid w:val="007372AC"/>
    <w:rsid w:val="00737429"/>
    <w:rsid w:val="00742216"/>
    <w:rsid w:val="00751E5E"/>
    <w:rsid w:val="007561AE"/>
    <w:rsid w:val="00782F97"/>
    <w:rsid w:val="007B3763"/>
    <w:rsid w:val="007B3A29"/>
    <w:rsid w:val="007C7E95"/>
    <w:rsid w:val="007D7BAA"/>
    <w:rsid w:val="007E091D"/>
    <w:rsid w:val="0080498E"/>
    <w:rsid w:val="008247A5"/>
    <w:rsid w:val="008265DA"/>
    <w:rsid w:val="00855C77"/>
    <w:rsid w:val="00856AA1"/>
    <w:rsid w:val="00861213"/>
    <w:rsid w:val="00895230"/>
    <w:rsid w:val="008D35D4"/>
    <w:rsid w:val="008D7943"/>
    <w:rsid w:val="008E13BA"/>
    <w:rsid w:val="00902B9E"/>
    <w:rsid w:val="0090701D"/>
    <w:rsid w:val="00907641"/>
    <w:rsid w:val="00911841"/>
    <w:rsid w:val="00915549"/>
    <w:rsid w:val="009363C1"/>
    <w:rsid w:val="0093663F"/>
    <w:rsid w:val="00941852"/>
    <w:rsid w:val="00941DDB"/>
    <w:rsid w:val="00945AF6"/>
    <w:rsid w:val="00947AF2"/>
    <w:rsid w:val="009528F8"/>
    <w:rsid w:val="00963DC2"/>
    <w:rsid w:val="009849A8"/>
    <w:rsid w:val="009A277E"/>
    <w:rsid w:val="009C0B14"/>
    <w:rsid w:val="009D214D"/>
    <w:rsid w:val="009F6227"/>
    <w:rsid w:val="00A02037"/>
    <w:rsid w:val="00A1176A"/>
    <w:rsid w:val="00A13DF2"/>
    <w:rsid w:val="00A34192"/>
    <w:rsid w:val="00A3535A"/>
    <w:rsid w:val="00A3578E"/>
    <w:rsid w:val="00A4598D"/>
    <w:rsid w:val="00A47AC5"/>
    <w:rsid w:val="00A57A31"/>
    <w:rsid w:val="00A71626"/>
    <w:rsid w:val="00A81CD5"/>
    <w:rsid w:val="00A862D8"/>
    <w:rsid w:val="00A974EA"/>
    <w:rsid w:val="00AC1A0A"/>
    <w:rsid w:val="00AD3469"/>
    <w:rsid w:val="00AD4194"/>
    <w:rsid w:val="00AE117C"/>
    <w:rsid w:val="00AF36EF"/>
    <w:rsid w:val="00AF6EEC"/>
    <w:rsid w:val="00B112A9"/>
    <w:rsid w:val="00B33E3F"/>
    <w:rsid w:val="00B378D3"/>
    <w:rsid w:val="00B53541"/>
    <w:rsid w:val="00B653A9"/>
    <w:rsid w:val="00B66DEB"/>
    <w:rsid w:val="00B67D89"/>
    <w:rsid w:val="00B73463"/>
    <w:rsid w:val="00B85FC5"/>
    <w:rsid w:val="00B87016"/>
    <w:rsid w:val="00BA4DD0"/>
    <w:rsid w:val="00BC4522"/>
    <w:rsid w:val="00BC4B96"/>
    <w:rsid w:val="00BD357D"/>
    <w:rsid w:val="00BD3708"/>
    <w:rsid w:val="00BE40DE"/>
    <w:rsid w:val="00BF7078"/>
    <w:rsid w:val="00C04CEA"/>
    <w:rsid w:val="00C147E5"/>
    <w:rsid w:val="00C611AE"/>
    <w:rsid w:val="00C65787"/>
    <w:rsid w:val="00C76D7C"/>
    <w:rsid w:val="00C9012C"/>
    <w:rsid w:val="00CA2D02"/>
    <w:rsid w:val="00CB474A"/>
    <w:rsid w:val="00CC4D87"/>
    <w:rsid w:val="00CC6B99"/>
    <w:rsid w:val="00CC7707"/>
    <w:rsid w:val="00CC7C28"/>
    <w:rsid w:val="00CF4742"/>
    <w:rsid w:val="00D233AA"/>
    <w:rsid w:val="00D36E72"/>
    <w:rsid w:val="00D4144D"/>
    <w:rsid w:val="00D66843"/>
    <w:rsid w:val="00D76FBD"/>
    <w:rsid w:val="00D77C17"/>
    <w:rsid w:val="00DA4976"/>
    <w:rsid w:val="00DB1387"/>
    <w:rsid w:val="00DC34D0"/>
    <w:rsid w:val="00DD5AA7"/>
    <w:rsid w:val="00DE52AD"/>
    <w:rsid w:val="00DF505F"/>
    <w:rsid w:val="00DF5B14"/>
    <w:rsid w:val="00E17D04"/>
    <w:rsid w:val="00E718FB"/>
    <w:rsid w:val="00E97897"/>
    <w:rsid w:val="00EA0459"/>
    <w:rsid w:val="00EB7234"/>
    <w:rsid w:val="00EE342C"/>
    <w:rsid w:val="00F02D74"/>
    <w:rsid w:val="00F068E9"/>
    <w:rsid w:val="00F10715"/>
    <w:rsid w:val="00F200CB"/>
    <w:rsid w:val="00F602D8"/>
    <w:rsid w:val="00F80877"/>
    <w:rsid w:val="00F864E3"/>
    <w:rsid w:val="00F95A81"/>
    <w:rsid w:val="00FB7AFC"/>
    <w:rsid w:val="00FC51F5"/>
    <w:rsid w:val="00FE6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aliases w:val="CEO_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sz w:val="22"/>
      <w:szCs w:val="22"/>
      <w:lang w:val="en-GB" w:eastAsia="en-US" w:bidi="ar-SA"/>
    </w:rPr>
  </w:style>
  <w:style w:type="table" w:styleId="TableGrid">
    <w:name w:val="Table Grid"/>
    <w:basedOn w:val="TableNormal"/>
    <w:rsid w:val="00F02D74"/>
    <w:pPr>
      <w:spacing w:before="120" w:after="120"/>
    </w:pPr>
    <w:rPr>
      <w:rFonts w:ascii="Times New Roman" w:eastAsia="SimSun" w:hAnsi="Times New Roman" w:cs="Times New Roman"/>
      <w:sz w:val="20"/>
      <w:szCs w:val="20"/>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ascii="Verdana" w:hAnsi="Verdana" w:cs="Times New Roman"/>
      <w:sz w:val="18"/>
      <w:szCs w:val="20"/>
      <w:lang w:eastAsia="zh-CN"/>
    </w:rPr>
  </w:style>
  <w:style w:type="paragraph" w:styleId="Header">
    <w:name w:val="header"/>
    <w:basedOn w:val="Normal"/>
    <w:link w:val="HeaderChar"/>
    <w:uiPriority w:val="99"/>
    <w:semiHidden/>
    <w:unhideWhenUsed/>
    <w:locked/>
    <w:rsid w:val="00EA0459"/>
    <w:pPr>
      <w:tabs>
        <w:tab w:val="center" w:pos="4703"/>
        <w:tab w:val="right" w:pos="9406"/>
      </w:tabs>
      <w:spacing w:before="0" w:after="0"/>
    </w:pPr>
  </w:style>
  <w:style w:type="character" w:customStyle="1" w:styleId="HeaderChar">
    <w:name w:val="Header Char"/>
    <w:basedOn w:val="DefaultParagraphFont"/>
    <w:link w:val="Header"/>
    <w:uiPriority w:val="99"/>
    <w:semiHidden/>
    <w:rsid w:val="00EA0459"/>
    <w:rPr>
      <w:rFonts w:eastAsia="SimSun" w:cs="Traditional Arabic"/>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aliases w:val="CEO_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sz w:val="22"/>
      <w:szCs w:val="22"/>
      <w:lang w:val="en-GB" w:eastAsia="en-US" w:bidi="ar-SA"/>
    </w:rPr>
  </w:style>
  <w:style w:type="table" w:styleId="TableGrid">
    <w:name w:val="Table Grid"/>
    <w:basedOn w:val="TableNormal"/>
    <w:rsid w:val="00F02D74"/>
    <w:pPr>
      <w:spacing w:before="120" w:after="120"/>
    </w:pPr>
    <w:rPr>
      <w:rFonts w:ascii="Times New Roman" w:eastAsia="SimSun" w:hAnsi="Times New Roman" w:cs="Times New Roman"/>
      <w:sz w:val="20"/>
      <w:szCs w:val="20"/>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ascii="Verdana" w:hAnsi="Verdana" w:cs="Times New Roman"/>
      <w:sz w:val="18"/>
      <w:szCs w:val="20"/>
      <w:lang w:eastAsia="zh-CN"/>
    </w:rPr>
  </w:style>
  <w:style w:type="paragraph" w:styleId="Header">
    <w:name w:val="header"/>
    <w:basedOn w:val="Normal"/>
    <w:link w:val="HeaderChar"/>
    <w:uiPriority w:val="99"/>
    <w:semiHidden/>
    <w:unhideWhenUsed/>
    <w:locked/>
    <w:rsid w:val="00EA0459"/>
    <w:pPr>
      <w:tabs>
        <w:tab w:val="center" w:pos="4703"/>
        <w:tab w:val="right" w:pos="9406"/>
      </w:tabs>
      <w:spacing w:before="0" w:after="0"/>
    </w:pPr>
  </w:style>
  <w:style w:type="character" w:customStyle="1" w:styleId="HeaderChar">
    <w:name w:val="Header Char"/>
    <w:basedOn w:val="DefaultParagraphFont"/>
    <w:link w:val="Header"/>
    <w:uiPriority w:val="99"/>
    <w:semiHidden/>
    <w:rsid w:val="00EA0459"/>
    <w:rPr>
      <w:rFonts w:eastAsia="SimSun" w:cs="Traditional Arabic"/>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5884">
      <w:marLeft w:val="0"/>
      <w:marRight w:val="0"/>
      <w:marTop w:val="0"/>
      <w:marBottom w:val="0"/>
      <w:divBdr>
        <w:top w:val="none" w:sz="0" w:space="0" w:color="auto"/>
        <w:left w:val="none" w:sz="0" w:space="0" w:color="auto"/>
        <w:bottom w:val="none" w:sz="0" w:space="0" w:color="auto"/>
        <w:right w:val="none" w:sz="0" w:space="0" w:color="auto"/>
      </w:divBdr>
    </w:div>
    <w:div w:id="591165885">
      <w:marLeft w:val="0"/>
      <w:marRight w:val="0"/>
      <w:marTop w:val="0"/>
      <w:marBottom w:val="0"/>
      <w:divBdr>
        <w:top w:val="none" w:sz="0" w:space="0" w:color="auto"/>
        <w:left w:val="none" w:sz="0" w:space="0" w:color="auto"/>
        <w:bottom w:val="none" w:sz="0" w:space="0" w:color="auto"/>
        <w:right w:val="none" w:sz="0" w:space="0" w:color="auto"/>
      </w:divBdr>
    </w:div>
    <w:div w:id="591165886">
      <w:marLeft w:val="0"/>
      <w:marRight w:val="0"/>
      <w:marTop w:val="0"/>
      <w:marBottom w:val="0"/>
      <w:divBdr>
        <w:top w:val="none" w:sz="0" w:space="0" w:color="auto"/>
        <w:left w:val="none" w:sz="0" w:space="0" w:color="auto"/>
        <w:bottom w:val="none" w:sz="0" w:space="0" w:color="auto"/>
        <w:right w:val="none" w:sz="0" w:space="0" w:color="auto"/>
      </w:divBdr>
    </w:div>
    <w:div w:id="683048924">
      <w:bodyDiv w:val="1"/>
      <w:marLeft w:val="0"/>
      <w:marRight w:val="0"/>
      <w:marTop w:val="0"/>
      <w:marBottom w:val="0"/>
      <w:divBdr>
        <w:top w:val="none" w:sz="0" w:space="0" w:color="auto"/>
        <w:left w:val="none" w:sz="0" w:space="0" w:color="auto"/>
        <w:bottom w:val="none" w:sz="0" w:space="0" w:color="auto"/>
        <w:right w:val="none" w:sz="0" w:space="0" w:color="auto"/>
      </w:divBdr>
      <w:divsChild>
        <w:div w:id="217740217">
          <w:marLeft w:val="0"/>
          <w:marRight w:val="0"/>
          <w:marTop w:val="0"/>
          <w:marBottom w:val="0"/>
          <w:divBdr>
            <w:top w:val="none" w:sz="0" w:space="0" w:color="auto"/>
            <w:left w:val="none" w:sz="0" w:space="0" w:color="auto"/>
            <w:bottom w:val="none" w:sz="0" w:space="0" w:color="auto"/>
            <w:right w:val="none" w:sz="0" w:space="0" w:color="auto"/>
          </w:divBdr>
          <w:divsChild>
            <w:div w:id="143740637">
              <w:marLeft w:val="0"/>
              <w:marRight w:val="0"/>
              <w:marTop w:val="0"/>
              <w:marBottom w:val="0"/>
              <w:divBdr>
                <w:top w:val="none" w:sz="0" w:space="0" w:color="auto"/>
                <w:left w:val="none" w:sz="0" w:space="0" w:color="auto"/>
                <w:bottom w:val="none" w:sz="0" w:space="0" w:color="auto"/>
                <w:right w:val="none" w:sz="0" w:space="0" w:color="auto"/>
              </w:divBdr>
              <w:divsChild>
                <w:div w:id="926303210">
                  <w:marLeft w:val="0"/>
                  <w:marRight w:val="0"/>
                  <w:marTop w:val="0"/>
                  <w:marBottom w:val="0"/>
                  <w:divBdr>
                    <w:top w:val="none" w:sz="0" w:space="0" w:color="auto"/>
                    <w:left w:val="none" w:sz="0" w:space="0" w:color="auto"/>
                    <w:bottom w:val="none" w:sz="0" w:space="0" w:color="auto"/>
                    <w:right w:val="none" w:sz="0" w:space="0" w:color="auto"/>
                  </w:divBdr>
                  <w:divsChild>
                    <w:div w:id="1116753747">
                      <w:marLeft w:val="120"/>
                      <w:marRight w:val="120"/>
                      <w:marTop w:val="0"/>
                      <w:marBottom w:val="0"/>
                      <w:divBdr>
                        <w:top w:val="none" w:sz="0" w:space="0" w:color="auto"/>
                        <w:left w:val="none" w:sz="0" w:space="0" w:color="auto"/>
                        <w:bottom w:val="none" w:sz="0" w:space="0" w:color="auto"/>
                        <w:right w:val="none" w:sz="0" w:space="0" w:color="auto"/>
                      </w:divBdr>
                      <w:divsChild>
                        <w:div w:id="18088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562353">
      <w:bodyDiv w:val="1"/>
      <w:marLeft w:val="0"/>
      <w:marRight w:val="0"/>
      <w:marTop w:val="0"/>
      <w:marBottom w:val="0"/>
      <w:divBdr>
        <w:top w:val="none" w:sz="0" w:space="0" w:color="auto"/>
        <w:left w:val="none" w:sz="0" w:space="0" w:color="auto"/>
        <w:bottom w:val="none" w:sz="0" w:space="0" w:color="auto"/>
        <w:right w:val="none" w:sz="0" w:space="0" w:color="auto"/>
      </w:divBdr>
      <w:divsChild>
        <w:div w:id="1416782637">
          <w:marLeft w:val="0"/>
          <w:marRight w:val="0"/>
          <w:marTop w:val="0"/>
          <w:marBottom w:val="0"/>
          <w:divBdr>
            <w:top w:val="none" w:sz="0" w:space="0" w:color="auto"/>
            <w:left w:val="none" w:sz="0" w:space="0" w:color="auto"/>
            <w:bottom w:val="none" w:sz="0" w:space="0" w:color="auto"/>
            <w:right w:val="none" w:sz="0" w:space="0" w:color="auto"/>
          </w:divBdr>
          <w:divsChild>
            <w:div w:id="545988509">
              <w:marLeft w:val="0"/>
              <w:marRight w:val="0"/>
              <w:marTop w:val="0"/>
              <w:marBottom w:val="0"/>
              <w:divBdr>
                <w:top w:val="none" w:sz="0" w:space="0" w:color="auto"/>
                <w:left w:val="none" w:sz="0" w:space="0" w:color="auto"/>
                <w:bottom w:val="none" w:sz="0" w:space="0" w:color="auto"/>
                <w:right w:val="none" w:sz="0" w:space="0" w:color="auto"/>
              </w:divBdr>
              <w:divsChild>
                <w:div w:id="1728526391">
                  <w:marLeft w:val="0"/>
                  <w:marRight w:val="0"/>
                  <w:marTop w:val="0"/>
                  <w:marBottom w:val="0"/>
                  <w:divBdr>
                    <w:top w:val="none" w:sz="0" w:space="0" w:color="auto"/>
                    <w:left w:val="none" w:sz="0" w:space="0" w:color="auto"/>
                    <w:bottom w:val="none" w:sz="0" w:space="0" w:color="auto"/>
                    <w:right w:val="none" w:sz="0" w:space="0" w:color="auto"/>
                  </w:divBdr>
                  <w:divsChild>
                    <w:div w:id="20210085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648">
      <w:bodyDiv w:val="1"/>
      <w:marLeft w:val="0"/>
      <w:marRight w:val="0"/>
      <w:marTop w:val="0"/>
      <w:marBottom w:val="0"/>
      <w:divBdr>
        <w:top w:val="none" w:sz="0" w:space="0" w:color="auto"/>
        <w:left w:val="none" w:sz="0" w:space="0" w:color="auto"/>
        <w:bottom w:val="none" w:sz="0" w:space="0" w:color="auto"/>
        <w:right w:val="none" w:sz="0" w:space="0" w:color="auto"/>
      </w:divBdr>
      <w:divsChild>
        <w:div w:id="1180773803">
          <w:marLeft w:val="0"/>
          <w:marRight w:val="0"/>
          <w:marTop w:val="0"/>
          <w:marBottom w:val="0"/>
          <w:divBdr>
            <w:top w:val="none" w:sz="0" w:space="0" w:color="auto"/>
            <w:left w:val="none" w:sz="0" w:space="0" w:color="auto"/>
            <w:bottom w:val="none" w:sz="0" w:space="0" w:color="auto"/>
            <w:right w:val="none" w:sz="0" w:space="0" w:color="auto"/>
          </w:divBdr>
          <w:divsChild>
            <w:div w:id="189361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5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tvan.bozsoki@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petko.kantchev@ties.itu.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gq/generic/questionnaire.asp?ProjectID=201" TargetMode="External"/><Relationship Id="rId5" Type="http://schemas.openxmlformats.org/officeDocument/2006/relationships/settings" Target="settings.xml"/><Relationship Id="rId15" Type="http://schemas.openxmlformats.org/officeDocument/2006/relationships/hyperlink" Target="mailto:devsg@itu.int" TargetMode="External"/><Relationship Id="rId10" Type="http://schemas.openxmlformats.org/officeDocument/2006/relationships/hyperlink" Target="mailto:devsg@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study_group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8226;"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9AF0-FF72-4F3D-968F-2F35B7CB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BDT</cp:lastModifiedBy>
  <cp:revision>3</cp:revision>
  <cp:lastPrinted>2011-10-21T12:26:00Z</cp:lastPrinted>
  <dcterms:created xsi:type="dcterms:W3CDTF">2011-10-25T09:59:00Z</dcterms:created>
  <dcterms:modified xsi:type="dcterms:W3CDTF">2011-10-25T10:00:00Z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