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34" w:tblpY="-675"/>
        <w:tblW w:w="10031" w:type="dxa"/>
        <w:tblLayout w:type="fixed"/>
        <w:tblLook w:val="0000" w:firstRow="0" w:lastRow="0" w:firstColumn="0" w:lastColumn="0" w:noHBand="0" w:noVBand="0"/>
      </w:tblPr>
      <w:tblGrid>
        <w:gridCol w:w="6912"/>
        <w:gridCol w:w="3119"/>
      </w:tblGrid>
      <w:tr w:rsidR="004A192E" w:rsidRPr="00E65A58" w:rsidTr="00E65A58">
        <w:trPr>
          <w:cantSplit/>
        </w:trPr>
        <w:tc>
          <w:tcPr>
            <w:tcW w:w="6912" w:type="dxa"/>
          </w:tcPr>
          <w:p w:rsidR="004A192E" w:rsidRPr="00E65A58" w:rsidRDefault="004A192E" w:rsidP="00B05661">
            <w:pPr>
              <w:spacing w:before="360" w:after="48"/>
              <w:rPr>
                <w:rFonts w:asciiTheme="minorHAnsi" w:hAnsiTheme="minorHAnsi"/>
                <w:position w:val="6"/>
              </w:rPr>
            </w:pPr>
            <w:bookmarkStart w:id="0" w:name="dpp"/>
            <w:bookmarkEnd w:id="0"/>
            <w:r w:rsidRPr="00E65A58">
              <w:rPr>
                <w:rFonts w:asciiTheme="minorHAnsi" w:hAnsiTheme="minorHAnsi" w:cs="Times"/>
                <w:b/>
                <w:position w:val="6"/>
                <w:sz w:val="30"/>
                <w:szCs w:val="30"/>
              </w:rPr>
              <w:t>P</w:t>
            </w:r>
            <w:r w:rsidR="0010054B">
              <w:rPr>
                <w:rFonts w:asciiTheme="minorHAnsi" w:hAnsiTheme="minorHAnsi" w:cs="Times"/>
                <w:b/>
                <w:position w:val="6"/>
                <w:sz w:val="30"/>
                <w:szCs w:val="30"/>
              </w:rPr>
              <w:t>lenipotentiary Conference (PP-14</w:t>
            </w:r>
            <w:r w:rsidRPr="00E65A58">
              <w:rPr>
                <w:rFonts w:asciiTheme="minorHAnsi" w:hAnsiTheme="minorHAnsi" w:cs="Times"/>
                <w:b/>
                <w:position w:val="6"/>
                <w:sz w:val="30"/>
                <w:szCs w:val="30"/>
              </w:rPr>
              <w:t>)</w:t>
            </w:r>
            <w:r w:rsidRPr="00E65A58">
              <w:rPr>
                <w:rFonts w:asciiTheme="minorHAnsi" w:hAnsiTheme="minorHAnsi" w:cs="Times"/>
                <w:b/>
                <w:position w:val="6"/>
                <w:sz w:val="26"/>
                <w:szCs w:val="26"/>
              </w:rPr>
              <w:br/>
            </w:r>
            <w:r w:rsidR="0010054B" w:rsidRPr="0010054B">
              <w:rPr>
                <w:rFonts w:asciiTheme="minorHAnsi" w:hAnsiTheme="minorHAnsi"/>
                <w:b/>
                <w:bCs/>
                <w:position w:val="6"/>
                <w:szCs w:val="24"/>
              </w:rPr>
              <w:t xml:space="preserve">Busan, 20 October – 7 November </w:t>
            </w:r>
            <w:r w:rsidRPr="00E65A58">
              <w:rPr>
                <w:rFonts w:asciiTheme="minorHAnsi" w:hAnsiTheme="minorHAnsi"/>
                <w:b/>
                <w:bCs/>
                <w:position w:val="6"/>
                <w:szCs w:val="24"/>
              </w:rPr>
              <w:t>2010</w:t>
            </w:r>
          </w:p>
        </w:tc>
        <w:tc>
          <w:tcPr>
            <w:tcW w:w="3119" w:type="dxa"/>
          </w:tcPr>
          <w:p w:rsidR="004A192E" w:rsidRPr="00E65A58" w:rsidRDefault="004A192E" w:rsidP="00B05661">
            <w:pPr>
              <w:spacing w:before="0"/>
              <w:rPr>
                <w:rFonts w:asciiTheme="minorHAnsi" w:hAnsiTheme="minorHAnsi"/>
              </w:rPr>
            </w:pPr>
            <w:bookmarkStart w:id="1" w:name="ditulogo"/>
            <w:bookmarkEnd w:id="1"/>
            <w:r w:rsidRPr="00E65A58">
              <w:rPr>
                <w:rFonts w:asciiTheme="minorHAnsi" w:hAnsiTheme="minorHAnsi"/>
                <w:noProof/>
                <w:lang w:val="en-US" w:eastAsia="zh-CN"/>
              </w:rPr>
              <w:drawing>
                <wp:inline distT="0" distB="0" distL="0" distR="0" wp14:anchorId="3C4F02D4" wp14:editId="3E2C5928">
                  <wp:extent cx="1760220" cy="7467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4A192E" w:rsidRPr="00E65A58" w:rsidTr="00E65A58">
        <w:trPr>
          <w:cantSplit/>
        </w:trPr>
        <w:tc>
          <w:tcPr>
            <w:tcW w:w="6912" w:type="dxa"/>
            <w:tcBorders>
              <w:bottom w:val="single" w:sz="12" w:space="0" w:color="auto"/>
            </w:tcBorders>
          </w:tcPr>
          <w:p w:rsidR="004A192E" w:rsidRPr="00E65A58" w:rsidRDefault="004A192E" w:rsidP="00B05661">
            <w:pPr>
              <w:spacing w:before="0" w:after="48"/>
              <w:rPr>
                <w:rFonts w:asciiTheme="minorHAnsi" w:hAnsiTheme="minorHAnsi"/>
                <w:b/>
                <w:smallCaps/>
                <w:szCs w:val="24"/>
              </w:rPr>
            </w:pPr>
          </w:p>
        </w:tc>
        <w:tc>
          <w:tcPr>
            <w:tcW w:w="3119" w:type="dxa"/>
            <w:tcBorders>
              <w:bottom w:val="single" w:sz="12" w:space="0" w:color="auto"/>
            </w:tcBorders>
          </w:tcPr>
          <w:p w:rsidR="004A192E" w:rsidRPr="00E65A58" w:rsidRDefault="004A192E" w:rsidP="00B05661">
            <w:pPr>
              <w:spacing w:before="0"/>
              <w:rPr>
                <w:rFonts w:asciiTheme="minorHAnsi" w:hAnsiTheme="minorHAnsi"/>
                <w:szCs w:val="24"/>
              </w:rPr>
            </w:pPr>
          </w:p>
        </w:tc>
      </w:tr>
      <w:tr w:rsidR="004A192E" w:rsidRPr="00E65A58" w:rsidTr="00E65A58">
        <w:trPr>
          <w:cantSplit/>
        </w:trPr>
        <w:tc>
          <w:tcPr>
            <w:tcW w:w="6912" w:type="dxa"/>
            <w:tcBorders>
              <w:top w:val="single" w:sz="12" w:space="0" w:color="auto"/>
            </w:tcBorders>
          </w:tcPr>
          <w:p w:rsidR="004A192E" w:rsidRPr="00E65A58" w:rsidRDefault="004A192E" w:rsidP="00B05661">
            <w:pPr>
              <w:spacing w:before="0" w:after="48"/>
              <w:rPr>
                <w:rFonts w:asciiTheme="minorHAnsi" w:hAnsiTheme="minorHAnsi"/>
                <w:b/>
                <w:smallCaps/>
                <w:szCs w:val="24"/>
              </w:rPr>
            </w:pPr>
          </w:p>
        </w:tc>
        <w:tc>
          <w:tcPr>
            <w:tcW w:w="3119" w:type="dxa"/>
            <w:tcBorders>
              <w:top w:val="single" w:sz="12" w:space="0" w:color="auto"/>
            </w:tcBorders>
          </w:tcPr>
          <w:p w:rsidR="004A192E" w:rsidRPr="00E65A58" w:rsidRDefault="004A192E" w:rsidP="00B05661">
            <w:pPr>
              <w:spacing w:before="0"/>
              <w:rPr>
                <w:rFonts w:asciiTheme="minorHAnsi" w:hAnsiTheme="minorHAnsi"/>
                <w:szCs w:val="24"/>
              </w:rPr>
            </w:pPr>
          </w:p>
        </w:tc>
      </w:tr>
      <w:tr w:rsidR="004A192E" w:rsidRPr="00E65A58" w:rsidTr="00E65A58">
        <w:trPr>
          <w:cantSplit/>
          <w:trHeight w:val="23"/>
        </w:trPr>
        <w:tc>
          <w:tcPr>
            <w:tcW w:w="6912" w:type="dxa"/>
            <w:vMerge w:val="restart"/>
          </w:tcPr>
          <w:p w:rsidR="004A192E" w:rsidRPr="00E65A58" w:rsidRDefault="004A192E" w:rsidP="00B05661">
            <w:pPr>
              <w:tabs>
                <w:tab w:val="left" w:pos="851"/>
              </w:tabs>
              <w:rPr>
                <w:rFonts w:asciiTheme="minorHAnsi" w:hAnsiTheme="minorHAnsi"/>
                <w:b/>
              </w:rPr>
            </w:pPr>
            <w:bookmarkStart w:id="2" w:name="dmeeting" w:colFirst="0" w:colLast="0"/>
            <w:bookmarkStart w:id="3" w:name="dnum" w:colFirst="1" w:colLast="1"/>
            <w:r w:rsidRPr="00E65A58">
              <w:rPr>
                <w:rFonts w:asciiTheme="minorHAnsi" w:hAnsiTheme="minorHAnsi"/>
                <w:b/>
              </w:rPr>
              <w:t>PLENARY MEETING</w:t>
            </w:r>
          </w:p>
        </w:tc>
        <w:tc>
          <w:tcPr>
            <w:tcW w:w="3119" w:type="dxa"/>
          </w:tcPr>
          <w:p w:rsidR="004A192E" w:rsidRPr="00B05661" w:rsidRDefault="004A192E" w:rsidP="00462FC9">
            <w:pPr>
              <w:tabs>
                <w:tab w:val="left" w:pos="851"/>
              </w:tabs>
              <w:spacing w:before="0"/>
              <w:rPr>
                <w:rFonts w:asciiTheme="minorHAnsi" w:hAnsiTheme="minorHAnsi"/>
                <w:b/>
              </w:rPr>
            </w:pPr>
            <w:r w:rsidRPr="00B05661">
              <w:rPr>
                <w:rFonts w:asciiTheme="minorHAnsi" w:hAnsiTheme="minorHAnsi"/>
                <w:b/>
              </w:rPr>
              <w:t>Document</w:t>
            </w:r>
            <w:r w:rsidR="0010054B" w:rsidRPr="00B05661">
              <w:rPr>
                <w:rFonts w:asciiTheme="minorHAnsi" w:hAnsiTheme="minorHAnsi"/>
                <w:b/>
              </w:rPr>
              <w:t xml:space="preserve"> </w:t>
            </w:r>
            <w:r w:rsidR="00CC1115">
              <w:rPr>
                <w:rFonts w:asciiTheme="minorHAnsi" w:hAnsiTheme="minorHAnsi"/>
                <w:b/>
              </w:rPr>
              <w:t>17</w:t>
            </w:r>
            <w:r w:rsidR="00462FC9">
              <w:rPr>
                <w:rFonts w:asciiTheme="minorHAnsi" w:hAnsiTheme="minorHAnsi"/>
                <w:b/>
              </w:rPr>
              <w:t>4</w:t>
            </w:r>
            <w:r w:rsidR="00CC1115">
              <w:rPr>
                <w:rFonts w:asciiTheme="minorHAnsi" w:hAnsiTheme="minorHAnsi"/>
                <w:b/>
              </w:rPr>
              <w:t>-</w:t>
            </w:r>
            <w:r w:rsidRPr="00B05661">
              <w:rPr>
                <w:rFonts w:asciiTheme="minorHAnsi" w:hAnsiTheme="minorHAnsi"/>
                <w:b/>
              </w:rPr>
              <w:t>E</w:t>
            </w:r>
          </w:p>
        </w:tc>
      </w:tr>
      <w:tr w:rsidR="004A192E" w:rsidRPr="00E65A58" w:rsidTr="00E65A58">
        <w:trPr>
          <w:cantSplit/>
          <w:trHeight w:val="23"/>
        </w:trPr>
        <w:tc>
          <w:tcPr>
            <w:tcW w:w="6912" w:type="dxa"/>
            <w:vMerge/>
          </w:tcPr>
          <w:p w:rsidR="004A192E" w:rsidRPr="00E65A58" w:rsidRDefault="004A192E" w:rsidP="00B05661">
            <w:pPr>
              <w:tabs>
                <w:tab w:val="left" w:pos="851"/>
              </w:tabs>
              <w:rPr>
                <w:rFonts w:asciiTheme="minorHAnsi" w:hAnsiTheme="minorHAnsi"/>
                <w:b/>
              </w:rPr>
            </w:pPr>
            <w:bookmarkStart w:id="4" w:name="ddate" w:colFirst="1" w:colLast="1"/>
            <w:bookmarkEnd w:id="2"/>
            <w:bookmarkEnd w:id="3"/>
          </w:p>
        </w:tc>
        <w:tc>
          <w:tcPr>
            <w:tcW w:w="3119" w:type="dxa"/>
          </w:tcPr>
          <w:p w:rsidR="004A192E" w:rsidRPr="00B05661" w:rsidRDefault="00CC1115" w:rsidP="00CC1115">
            <w:pPr>
              <w:tabs>
                <w:tab w:val="left" w:pos="993"/>
              </w:tabs>
              <w:spacing w:before="0"/>
              <w:rPr>
                <w:rFonts w:asciiTheme="minorHAnsi" w:hAnsiTheme="minorHAnsi"/>
                <w:b/>
              </w:rPr>
            </w:pPr>
            <w:r>
              <w:rPr>
                <w:rFonts w:asciiTheme="minorHAnsi" w:hAnsiTheme="minorHAnsi"/>
                <w:b/>
              </w:rPr>
              <w:t>3 December</w:t>
            </w:r>
            <w:r w:rsidR="004A192E" w:rsidRPr="00B05661">
              <w:rPr>
                <w:rFonts w:asciiTheme="minorHAnsi" w:hAnsiTheme="minorHAnsi"/>
                <w:b/>
              </w:rPr>
              <w:t xml:space="preserve"> 201</w:t>
            </w:r>
            <w:r w:rsidR="0010054B" w:rsidRPr="00B05661">
              <w:rPr>
                <w:rFonts w:asciiTheme="minorHAnsi" w:hAnsiTheme="minorHAnsi"/>
                <w:b/>
              </w:rPr>
              <w:t>4</w:t>
            </w:r>
          </w:p>
        </w:tc>
      </w:tr>
      <w:tr w:rsidR="004A192E" w:rsidRPr="00E65A58" w:rsidTr="00E65A58">
        <w:trPr>
          <w:cantSplit/>
          <w:trHeight w:val="23"/>
        </w:trPr>
        <w:tc>
          <w:tcPr>
            <w:tcW w:w="6912" w:type="dxa"/>
            <w:vMerge/>
          </w:tcPr>
          <w:p w:rsidR="004A192E" w:rsidRPr="00E65A58" w:rsidRDefault="004A192E" w:rsidP="00B05661">
            <w:pPr>
              <w:tabs>
                <w:tab w:val="left" w:pos="851"/>
              </w:tabs>
              <w:rPr>
                <w:rFonts w:asciiTheme="minorHAnsi" w:hAnsiTheme="minorHAnsi"/>
                <w:b/>
              </w:rPr>
            </w:pPr>
            <w:bookmarkStart w:id="5" w:name="dorlang" w:colFirst="1" w:colLast="1"/>
            <w:bookmarkEnd w:id="4"/>
          </w:p>
        </w:tc>
        <w:tc>
          <w:tcPr>
            <w:tcW w:w="3119" w:type="dxa"/>
          </w:tcPr>
          <w:p w:rsidR="004A192E" w:rsidRPr="00B05661" w:rsidRDefault="004A192E" w:rsidP="00B05661">
            <w:pPr>
              <w:tabs>
                <w:tab w:val="left" w:pos="993"/>
              </w:tabs>
              <w:spacing w:before="0"/>
              <w:rPr>
                <w:rFonts w:asciiTheme="minorHAnsi" w:hAnsiTheme="minorHAnsi"/>
                <w:b/>
              </w:rPr>
            </w:pPr>
            <w:r w:rsidRPr="00B05661">
              <w:rPr>
                <w:rFonts w:asciiTheme="minorHAnsi" w:hAnsiTheme="minorHAnsi"/>
                <w:b/>
              </w:rPr>
              <w:t>Original: English</w:t>
            </w:r>
            <w:r w:rsidR="0010054B" w:rsidRPr="00B05661">
              <w:rPr>
                <w:rFonts w:asciiTheme="minorHAnsi" w:hAnsiTheme="minorHAnsi"/>
                <w:b/>
              </w:rPr>
              <w:t>/Russian</w:t>
            </w:r>
          </w:p>
        </w:tc>
      </w:tr>
    </w:tbl>
    <w:tbl>
      <w:tblPr>
        <w:tblW w:w="5086" w:type="pct"/>
        <w:tblLook w:val="0000" w:firstRow="0" w:lastRow="0" w:firstColumn="0" w:lastColumn="0" w:noHBand="0" w:noVBand="0"/>
      </w:tblPr>
      <w:tblGrid>
        <w:gridCol w:w="9811"/>
      </w:tblGrid>
      <w:tr w:rsidR="004A192E" w:rsidRPr="00E65A58" w:rsidTr="00E65A58">
        <w:trPr>
          <w:cantSplit/>
        </w:trPr>
        <w:tc>
          <w:tcPr>
            <w:tcW w:w="5000" w:type="pct"/>
          </w:tcPr>
          <w:bookmarkEnd w:id="5"/>
          <w:p w:rsidR="004A192E" w:rsidRPr="00E65A58" w:rsidRDefault="004A192E" w:rsidP="00B05661">
            <w:pPr>
              <w:pStyle w:val="Title1"/>
              <w:spacing w:before="720"/>
              <w:rPr>
                <w:rFonts w:asciiTheme="minorHAnsi" w:hAnsiTheme="minorHAnsi"/>
              </w:rPr>
            </w:pPr>
            <w:r w:rsidRPr="00E65A58">
              <w:rPr>
                <w:rFonts w:asciiTheme="minorHAnsi" w:hAnsiTheme="minorHAnsi"/>
              </w:rPr>
              <w:t>MINUTES</w:t>
            </w:r>
          </w:p>
          <w:p w:rsidR="004A192E" w:rsidRPr="00E65A58" w:rsidRDefault="004A192E" w:rsidP="00B05661">
            <w:pPr>
              <w:pStyle w:val="Title1"/>
              <w:rPr>
                <w:rFonts w:asciiTheme="minorHAnsi" w:hAnsiTheme="minorHAnsi"/>
              </w:rPr>
            </w:pPr>
            <w:r w:rsidRPr="00E65A58">
              <w:rPr>
                <w:rFonts w:asciiTheme="minorHAnsi" w:hAnsiTheme="minorHAnsi"/>
              </w:rPr>
              <w:t>OF THE</w:t>
            </w:r>
          </w:p>
          <w:p w:rsidR="004A192E" w:rsidRPr="00E65A58" w:rsidRDefault="004A192E" w:rsidP="00B05661">
            <w:pPr>
              <w:pStyle w:val="Title1"/>
              <w:rPr>
                <w:rFonts w:asciiTheme="minorHAnsi" w:hAnsiTheme="minorHAnsi"/>
              </w:rPr>
            </w:pPr>
            <w:r w:rsidRPr="00E65A58">
              <w:rPr>
                <w:rFonts w:asciiTheme="minorHAnsi" w:hAnsiTheme="minorHAnsi"/>
              </w:rPr>
              <w:t>SIXTEENTH PLENARY MEETING</w:t>
            </w:r>
          </w:p>
        </w:tc>
      </w:tr>
      <w:tr w:rsidR="004A192E" w:rsidRPr="00E65A58" w:rsidTr="00E65A58">
        <w:trPr>
          <w:cantSplit/>
        </w:trPr>
        <w:tc>
          <w:tcPr>
            <w:tcW w:w="5000" w:type="pct"/>
          </w:tcPr>
          <w:p w:rsidR="004A192E" w:rsidRPr="00E65A58" w:rsidRDefault="004A192E" w:rsidP="00B05661">
            <w:pPr>
              <w:pStyle w:val="Normalaftertitle"/>
              <w:jc w:val="center"/>
              <w:rPr>
                <w:rFonts w:asciiTheme="minorHAnsi" w:hAnsiTheme="minorHAnsi"/>
              </w:rPr>
            </w:pPr>
            <w:r w:rsidRPr="00E65A58">
              <w:rPr>
                <w:rFonts w:asciiTheme="minorHAnsi" w:hAnsiTheme="minorHAnsi"/>
              </w:rPr>
              <w:t>Wed</w:t>
            </w:r>
            <w:r w:rsidR="00563C56">
              <w:rPr>
                <w:rFonts w:asciiTheme="minorHAnsi" w:hAnsiTheme="minorHAnsi"/>
              </w:rPr>
              <w:t xml:space="preserve">nesday, 5 </w:t>
            </w:r>
            <w:r w:rsidR="00A14539">
              <w:rPr>
                <w:rFonts w:asciiTheme="minorHAnsi" w:hAnsiTheme="minorHAnsi"/>
              </w:rPr>
              <w:t>November</w:t>
            </w:r>
            <w:r w:rsidR="00563C56">
              <w:rPr>
                <w:rFonts w:asciiTheme="minorHAnsi" w:hAnsiTheme="minorHAnsi"/>
              </w:rPr>
              <w:t xml:space="preserve"> 201</w:t>
            </w:r>
            <w:r w:rsidR="00E54824">
              <w:rPr>
                <w:rFonts w:asciiTheme="minorHAnsi" w:hAnsiTheme="minorHAnsi"/>
              </w:rPr>
              <w:t>4</w:t>
            </w:r>
            <w:r w:rsidR="00563C56">
              <w:rPr>
                <w:rFonts w:asciiTheme="minorHAnsi" w:hAnsiTheme="minorHAnsi"/>
              </w:rPr>
              <w:t>, at 1440</w:t>
            </w:r>
            <w:r w:rsidRPr="00E65A58">
              <w:rPr>
                <w:rFonts w:asciiTheme="minorHAnsi" w:hAnsiTheme="minorHAnsi"/>
              </w:rPr>
              <w:t xml:space="preserve"> hours</w:t>
            </w:r>
          </w:p>
        </w:tc>
      </w:tr>
      <w:tr w:rsidR="004A192E" w:rsidRPr="00E65A58" w:rsidTr="00E65A58">
        <w:trPr>
          <w:cantSplit/>
        </w:trPr>
        <w:tc>
          <w:tcPr>
            <w:tcW w:w="5000" w:type="pct"/>
          </w:tcPr>
          <w:p w:rsidR="004A192E" w:rsidRPr="00E65A58" w:rsidRDefault="004A192E" w:rsidP="00B05661">
            <w:pPr>
              <w:jc w:val="center"/>
              <w:rPr>
                <w:rFonts w:asciiTheme="minorHAnsi" w:hAnsiTheme="minorHAnsi"/>
              </w:rPr>
            </w:pPr>
            <w:r w:rsidRPr="00E65A58">
              <w:rPr>
                <w:rFonts w:asciiTheme="minorHAnsi" w:hAnsiTheme="minorHAnsi"/>
                <w:b/>
                <w:bCs/>
              </w:rPr>
              <w:t>Chairman:</w:t>
            </w:r>
            <w:r w:rsidRPr="00E65A58">
              <w:rPr>
                <w:rFonts w:asciiTheme="minorHAnsi" w:hAnsiTheme="minorHAnsi"/>
              </w:rPr>
              <w:t xml:space="preserve"> </w:t>
            </w:r>
            <w:r w:rsidR="0010054B" w:rsidRPr="0010054B">
              <w:rPr>
                <w:rFonts w:asciiTheme="minorHAnsi" w:hAnsiTheme="minorHAnsi"/>
              </w:rPr>
              <w:t>Mr W. MIN (Republic of Korea</w:t>
            </w:r>
            <w:r w:rsidRPr="00E65A58">
              <w:rPr>
                <w:rFonts w:asciiTheme="minorHAnsi" w:hAnsiTheme="minorHAnsi"/>
              </w:rPr>
              <w:t>)</w:t>
            </w:r>
          </w:p>
        </w:tc>
      </w:tr>
    </w:tbl>
    <w:p w:rsidR="004A192E" w:rsidRPr="00E65A58" w:rsidRDefault="004A192E" w:rsidP="00B05661">
      <w:pPr>
        <w:rPr>
          <w:rFonts w:asciiTheme="minorHAnsi" w:hAnsiTheme="minorHAnsi"/>
        </w:rPr>
      </w:pPr>
    </w:p>
    <w:tbl>
      <w:tblPr>
        <w:tblW w:w="10031" w:type="dxa"/>
        <w:tblLook w:val="0000" w:firstRow="0" w:lastRow="0" w:firstColumn="0" w:lastColumn="0" w:noHBand="0" w:noVBand="0"/>
      </w:tblPr>
      <w:tblGrid>
        <w:gridCol w:w="534"/>
        <w:gridCol w:w="7164"/>
        <w:gridCol w:w="2333"/>
      </w:tblGrid>
      <w:tr w:rsidR="004A192E" w:rsidRPr="00E65A58" w:rsidTr="00E65A58">
        <w:tc>
          <w:tcPr>
            <w:tcW w:w="534" w:type="dxa"/>
          </w:tcPr>
          <w:p w:rsidR="004A192E" w:rsidRPr="00E65A58" w:rsidRDefault="004A192E" w:rsidP="00B05661">
            <w:pPr>
              <w:pStyle w:val="toc0"/>
              <w:rPr>
                <w:rFonts w:asciiTheme="minorHAnsi" w:hAnsiTheme="minorHAnsi"/>
              </w:rPr>
            </w:pPr>
          </w:p>
        </w:tc>
        <w:tc>
          <w:tcPr>
            <w:tcW w:w="7164" w:type="dxa"/>
          </w:tcPr>
          <w:p w:rsidR="004A192E" w:rsidRPr="00E65A58" w:rsidRDefault="004A192E" w:rsidP="00B05661">
            <w:pPr>
              <w:pStyle w:val="toc0"/>
              <w:rPr>
                <w:rFonts w:asciiTheme="minorHAnsi" w:hAnsiTheme="minorHAnsi"/>
              </w:rPr>
            </w:pPr>
            <w:r w:rsidRPr="00E65A58">
              <w:rPr>
                <w:rFonts w:asciiTheme="minorHAnsi" w:hAnsiTheme="minorHAnsi"/>
              </w:rPr>
              <w:t>Subjects discussed</w:t>
            </w:r>
          </w:p>
        </w:tc>
        <w:tc>
          <w:tcPr>
            <w:tcW w:w="2333" w:type="dxa"/>
          </w:tcPr>
          <w:p w:rsidR="004A192E" w:rsidRPr="00E65A58" w:rsidRDefault="004A192E" w:rsidP="00B05661">
            <w:pPr>
              <w:pStyle w:val="toc0"/>
              <w:jc w:val="center"/>
              <w:rPr>
                <w:rFonts w:asciiTheme="minorHAnsi" w:hAnsiTheme="minorHAnsi"/>
              </w:rPr>
            </w:pPr>
            <w:r w:rsidRPr="00E65A58">
              <w:rPr>
                <w:rFonts w:asciiTheme="minorHAnsi" w:hAnsiTheme="minorHAnsi"/>
              </w:rPr>
              <w:t>Documents</w:t>
            </w:r>
          </w:p>
        </w:tc>
      </w:tr>
      <w:tr w:rsidR="004A192E" w:rsidRPr="00E65A58" w:rsidTr="00E65A58">
        <w:tc>
          <w:tcPr>
            <w:tcW w:w="534" w:type="dxa"/>
          </w:tcPr>
          <w:p w:rsidR="004A192E" w:rsidRPr="00E65A58" w:rsidRDefault="004A192E" w:rsidP="00B05661">
            <w:pPr>
              <w:ind w:left="567" w:hanging="567"/>
              <w:rPr>
                <w:rFonts w:asciiTheme="minorHAnsi" w:hAnsiTheme="minorHAnsi"/>
              </w:rPr>
            </w:pPr>
            <w:r w:rsidRPr="00E65A58">
              <w:rPr>
                <w:rFonts w:asciiTheme="minorHAnsi" w:hAnsiTheme="minorHAnsi"/>
              </w:rPr>
              <w:t>1</w:t>
            </w:r>
          </w:p>
        </w:tc>
        <w:tc>
          <w:tcPr>
            <w:tcW w:w="7164" w:type="dxa"/>
          </w:tcPr>
          <w:p w:rsidR="004A192E" w:rsidRPr="00E65A58" w:rsidRDefault="00B10BB0" w:rsidP="00B05661">
            <w:pPr>
              <w:tabs>
                <w:tab w:val="clear" w:pos="567"/>
                <w:tab w:val="left" w:pos="33"/>
              </w:tabs>
              <w:rPr>
                <w:rFonts w:asciiTheme="minorHAnsi" w:hAnsiTheme="minorHAnsi"/>
              </w:rPr>
            </w:pPr>
            <w:r w:rsidRPr="00B10BB0">
              <w:rPr>
                <w:rFonts w:asciiTheme="minorHAnsi" w:hAnsiTheme="minorHAnsi"/>
              </w:rPr>
              <w:t>Twelfth series of texts submitted by the Editorial Committee for first reading (</w:t>
            </w:r>
            <w:r w:rsidR="00E55397" w:rsidRPr="00F44A55">
              <w:rPr>
                <w:rFonts w:asciiTheme="minorHAnsi" w:hAnsiTheme="minorHAnsi"/>
              </w:rPr>
              <w:t>B12</w:t>
            </w:r>
            <w:r w:rsidRPr="00B10BB0">
              <w:rPr>
                <w:rFonts w:asciiTheme="minorHAnsi" w:hAnsiTheme="minorHAnsi"/>
              </w:rPr>
              <w:t>)</w:t>
            </w:r>
          </w:p>
        </w:tc>
        <w:tc>
          <w:tcPr>
            <w:tcW w:w="2333" w:type="dxa"/>
          </w:tcPr>
          <w:p w:rsidR="004A192E" w:rsidRPr="00E65A58" w:rsidRDefault="005761BE" w:rsidP="00B05661">
            <w:pPr>
              <w:jc w:val="center"/>
              <w:rPr>
                <w:rFonts w:asciiTheme="minorHAnsi" w:hAnsiTheme="minorHAnsi"/>
              </w:rPr>
            </w:pPr>
            <w:hyperlink r:id="rId9" w:history="1">
              <w:r w:rsidR="0042060E" w:rsidRPr="00CC1115">
                <w:rPr>
                  <w:rStyle w:val="Hyperlink"/>
                  <w:rFonts w:asciiTheme="minorHAnsi" w:hAnsiTheme="minorHAnsi"/>
                </w:rPr>
                <w:t>16</w:t>
              </w:r>
              <w:r w:rsidR="004A192E" w:rsidRPr="00CC1115">
                <w:rPr>
                  <w:rStyle w:val="Hyperlink"/>
                  <w:rFonts w:asciiTheme="minorHAnsi" w:hAnsiTheme="minorHAnsi"/>
                </w:rPr>
                <w:t>5</w:t>
              </w:r>
            </w:hyperlink>
          </w:p>
        </w:tc>
      </w:tr>
      <w:tr w:rsidR="004A192E" w:rsidRPr="00E65A58" w:rsidTr="00E65A58">
        <w:tc>
          <w:tcPr>
            <w:tcW w:w="534" w:type="dxa"/>
          </w:tcPr>
          <w:p w:rsidR="004A192E" w:rsidRPr="00E65A58" w:rsidRDefault="004A192E" w:rsidP="00B05661">
            <w:pPr>
              <w:ind w:left="567" w:hanging="567"/>
              <w:rPr>
                <w:rFonts w:asciiTheme="minorHAnsi" w:hAnsiTheme="minorHAnsi"/>
              </w:rPr>
            </w:pPr>
            <w:r w:rsidRPr="00E65A58">
              <w:rPr>
                <w:rFonts w:asciiTheme="minorHAnsi" w:hAnsiTheme="minorHAnsi"/>
              </w:rPr>
              <w:t>2</w:t>
            </w:r>
          </w:p>
        </w:tc>
        <w:tc>
          <w:tcPr>
            <w:tcW w:w="7164" w:type="dxa"/>
          </w:tcPr>
          <w:p w:rsidR="004A192E" w:rsidRPr="00E65A58" w:rsidRDefault="0042060E" w:rsidP="00B05661">
            <w:pPr>
              <w:rPr>
                <w:rFonts w:asciiTheme="minorHAnsi" w:hAnsiTheme="minorHAnsi"/>
              </w:rPr>
            </w:pPr>
            <w:r>
              <w:rPr>
                <w:rFonts w:asciiTheme="minorHAnsi" w:hAnsiTheme="minorHAnsi"/>
              </w:rPr>
              <w:t>Twelfth</w:t>
            </w:r>
            <w:r w:rsidR="004A192E" w:rsidRPr="00E65A58">
              <w:rPr>
                <w:rFonts w:asciiTheme="minorHAnsi" w:hAnsiTheme="minorHAnsi"/>
              </w:rPr>
              <w:t xml:space="preserve"> series of texts submitted by the Editorial Committee </w:t>
            </w:r>
            <w:r w:rsidR="00AB0F6E">
              <w:rPr>
                <w:rFonts w:asciiTheme="minorHAnsi" w:hAnsiTheme="minorHAnsi"/>
              </w:rPr>
              <w:t>–</w:t>
            </w:r>
            <w:r w:rsidR="004A192E" w:rsidRPr="00E65A58">
              <w:rPr>
                <w:rFonts w:asciiTheme="minorHAnsi" w:hAnsiTheme="minorHAnsi"/>
              </w:rPr>
              <w:t xml:space="preserve"> </w:t>
            </w:r>
            <w:r>
              <w:rPr>
                <w:rFonts w:asciiTheme="minorHAnsi" w:hAnsiTheme="minorHAnsi"/>
              </w:rPr>
              <w:t>second</w:t>
            </w:r>
            <w:r w:rsidR="004A192E" w:rsidRPr="00E65A58">
              <w:rPr>
                <w:rFonts w:asciiTheme="minorHAnsi" w:hAnsiTheme="minorHAnsi"/>
              </w:rPr>
              <w:t xml:space="preserve"> reading</w:t>
            </w:r>
            <w:r w:rsidR="00DA2F2D">
              <w:rPr>
                <w:rFonts w:asciiTheme="minorHAnsi" w:hAnsiTheme="minorHAnsi"/>
              </w:rPr>
              <w:t xml:space="preserve"> </w:t>
            </w:r>
          </w:p>
        </w:tc>
        <w:tc>
          <w:tcPr>
            <w:tcW w:w="2333" w:type="dxa"/>
          </w:tcPr>
          <w:p w:rsidR="004A192E" w:rsidRPr="00E65A58" w:rsidRDefault="005761BE" w:rsidP="00B05661">
            <w:pPr>
              <w:jc w:val="center"/>
              <w:rPr>
                <w:rFonts w:asciiTheme="minorHAnsi" w:hAnsiTheme="minorHAnsi"/>
              </w:rPr>
            </w:pPr>
            <w:hyperlink r:id="rId10" w:history="1">
              <w:r w:rsidR="004A192E" w:rsidRPr="00CC1115">
                <w:rPr>
                  <w:rStyle w:val="Hyperlink"/>
                  <w:rFonts w:asciiTheme="minorHAnsi" w:hAnsiTheme="minorHAnsi"/>
                </w:rPr>
                <w:t>1</w:t>
              </w:r>
              <w:r w:rsidR="0042060E" w:rsidRPr="00CC1115">
                <w:rPr>
                  <w:rStyle w:val="Hyperlink"/>
                  <w:rFonts w:asciiTheme="minorHAnsi" w:hAnsiTheme="minorHAnsi"/>
                </w:rPr>
                <w:t>65</w:t>
              </w:r>
            </w:hyperlink>
          </w:p>
        </w:tc>
      </w:tr>
      <w:tr w:rsidR="004A192E" w:rsidRPr="00E65A58" w:rsidTr="00E65A58">
        <w:tc>
          <w:tcPr>
            <w:tcW w:w="534" w:type="dxa"/>
          </w:tcPr>
          <w:p w:rsidR="004A192E" w:rsidRPr="00E65A58" w:rsidRDefault="004A192E" w:rsidP="00B05661">
            <w:pPr>
              <w:ind w:left="567" w:hanging="567"/>
              <w:rPr>
                <w:rFonts w:asciiTheme="minorHAnsi" w:hAnsiTheme="minorHAnsi"/>
              </w:rPr>
            </w:pPr>
            <w:r w:rsidRPr="00E65A58">
              <w:rPr>
                <w:rFonts w:asciiTheme="minorHAnsi" w:hAnsiTheme="minorHAnsi"/>
              </w:rPr>
              <w:t>3</w:t>
            </w:r>
          </w:p>
        </w:tc>
        <w:tc>
          <w:tcPr>
            <w:tcW w:w="7164" w:type="dxa"/>
          </w:tcPr>
          <w:p w:rsidR="004A192E" w:rsidRPr="00E65A58" w:rsidRDefault="0042060E" w:rsidP="00B05661">
            <w:pPr>
              <w:tabs>
                <w:tab w:val="clear" w:pos="567"/>
                <w:tab w:val="left" w:pos="0"/>
              </w:tabs>
              <w:rPr>
                <w:rFonts w:asciiTheme="minorHAnsi" w:hAnsiTheme="minorHAnsi"/>
              </w:rPr>
            </w:pPr>
            <w:r w:rsidRPr="0042060E">
              <w:rPr>
                <w:rFonts w:asciiTheme="minorHAnsi" w:hAnsiTheme="minorHAnsi"/>
              </w:rPr>
              <w:t>Thirteenth series of texts submitted by the Editorial Committee for first reading</w:t>
            </w:r>
            <w:r>
              <w:rPr>
                <w:rFonts w:asciiTheme="minorHAnsi" w:hAnsiTheme="minorHAnsi"/>
              </w:rPr>
              <w:t xml:space="preserve"> </w:t>
            </w:r>
            <w:r w:rsidRPr="00F44A55">
              <w:rPr>
                <w:rFonts w:asciiTheme="minorHAnsi" w:hAnsiTheme="minorHAnsi"/>
              </w:rPr>
              <w:t>(</w:t>
            </w:r>
            <w:r w:rsidR="00E55397" w:rsidRPr="00F44A55">
              <w:rPr>
                <w:rFonts w:asciiTheme="minorHAnsi" w:hAnsiTheme="minorHAnsi"/>
              </w:rPr>
              <w:t>B13</w:t>
            </w:r>
            <w:r w:rsidRPr="00F44A55">
              <w:rPr>
                <w:rFonts w:asciiTheme="minorHAnsi" w:hAnsiTheme="minorHAnsi"/>
              </w:rPr>
              <w:t>)</w:t>
            </w:r>
          </w:p>
        </w:tc>
        <w:tc>
          <w:tcPr>
            <w:tcW w:w="2333" w:type="dxa"/>
          </w:tcPr>
          <w:p w:rsidR="004A192E" w:rsidRPr="00E65A58" w:rsidRDefault="005761BE" w:rsidP="00B05661">
            <w:pPr>
              <w:jc w:val="center"/>
              <w:rPr>
                <w:rFonts w:asciiTheme="minorHAnsi" w:hAnsiTheme="minorHAnsi"/>
                <w:lang w:val="en-US"/>
              </w:rPr>
            </w:pPr>
            <w:hyperlink r:id="rId11" w:history="1">
              <w:r w:rsidR="004A192E" w:rsidRPr="00CC1115">
                <w:rPr>
                  <w:rStyle w:val="Hyperlink"/>
                  <w:rFonts w:asciiTheme="minorHAnsi" w:hAnsiTheme="minorHAnsi"/>
                </w:rPr>
                <w:t>16</w:t>
              </w:r>
              <w:r w:rsidR="0042060E" w:rsidRPr="00CC1115">
                <w:rPr>
                  <w:rStyle w:val="Hyperlink"/>
                  <w:rFonts w:asciiTheme="minorHAnsi" w:hAnsiTheme="minorHAnsi"/>
                </w:rPr>
                <w:t>6</w:t>
              </w:r>
            </w:hyperlink>
          </w:p>
        </w:tc>
      </w:tr>
      <w:tr w:rsidR="0042060E" w:rsidRPr="00E65A58" w:rsidTr="00E65A58">
        <w:tc>
          <w:tcPr>
            <w:tcW w:w="534" w:type="dxa"/>
          </w:tcPr>
          <w:p w:rsidR="0042060E" w:rsidRPr="00E65A58" w:rsidRDefault="0042060E" w:rsidP="00B05661">
            <w:pPr>
              <w:ind w:left="567" w:hanging="567"/>
              <w:rPr>
                <w:rFonts w:asciiTheme="minorHAnsi" w:hAnsiTheme="minorHAnsi"/>
              </w:rPr>
            </w:pPr>
            <w:r>
              <w:rPr>
                <w:rFonts w:asciiTheme="minorHAnsi" w:hAnsiTheme="minorHAnsi"/>
              </w:rPr>
              <w:t>4</w:t>
            </w:r>
          </w:p>
        </w:tc>
        <w:tc>
          <w:tcPr>
            <w:tcW w:w="7164" w:type="dxa"/>
          </w:tcPr>
          <w:p w:rsidR="0042060E" w:rsidRPr="0042060E" w:rsidRDefault="0042060E" w:rsidP="00B05661">
            <w:pPr>
              <w:tabs>
                <w:tab w:val="clear" w:pos="567"/>
                <w:tab w:val="left" w:pos="0"/>
              </w:tabs>
              <w:rPr>
                <w:rFonts w:asciiTheme="minorHAnsi" w:hAnsiTheme="minorHAnsi"/>
              </w:rPr>
            </w:pPr>
            <w:r w:rsidRPr="0042060E">
              <w:rPr>
                <w:rFonts w:asciiTheme="minorHAnsi" w:hAnsiTheme="minorHAnsi"/>
              </w:rPr>
              <w:t xml:space="preserve">Thirteenth series of texts submitted by the Editorial Committee </w:t>
            </w:r>
            <w:r w:rsidR="00AB0F6E">
              <w:rPr>
                <w:rFonts w:asciiTheme="minorHAnsi" w:hAnsiTheme="minorHAnsi"/>
              </w:rPr>
              <w:t>–</w:t>
            </w:r>
            <w:r w:rsidRPr="0042060E">
              <w:rPr>
                <w:rFonts w:asciiTheme="minorHAnsi" w:hAnsiTheme="minorHAnsi"/>
              </w:rPr>
              <w:t xml:space="preserve"> </w:t>
            </w:r>
            <w:r>
              <w:rPr>
                <w:rFonts w:asciiTheme="minorHAnsi" w:hAnsiTheme="minorHAnsi"/>
              </w:rPr>
              <w:t>second</w:t>
            </w:r>
            <w:r w:rsidRPr="0042060E">
              <w:rPr>
                <w:rFonts w:asciiTheme="minorHAnsi" w:hAnsiTheme="minorHAnsi"/>
              </w:rPr>
              <w:t xml:space="preserve"> reading</w:t>
            </w:r>
            <w:r>
              <w:rPr>
                <w:rFonts w:asciiTheme="minorHAnsi" w:hAnsiTheme="minorHAnsi"/>
              </w:rPr>
              <w:t xml:space="preserve"> </w:t>
            </w:r>
          </w:p>
        </w:tc>
        <w:tc>
          <w:tcPr>
            <w:tcW w:w="2333" w:type="dxa"/>
          </w:tcPr>
          <w:p w:rsidR="0042060E" w:rsidRPr="0042060E" w:rsidRDefault="005761BE" w:rsidP="00B05661">
            <w:pPr>
              <w:jc w:val="center"/>
              <w:rPr>
                <w:rFonts w:asciiTheme="minorHAnsi" w:hAnsiTheme="minorHAnsi"/>
              </w:rPr>
            </w:pPr>
            <w:hyperlink r:id="rId12" w:history="1">
              <w:r w:rsidR="0042060E" w:rsidRPr="00CC1115">
                <w:rPr>
                  <w:rStyle w:val="Hyperlink"/>
                  <w:rFonts w:asciiTheme="minorHAnsi" w:hAnsiTheme="minorHAnsi"/>
                </w:rPr>
                <w:t>166</w:t>
              </w:r>
            </w:hyperlink>
          </w:p>
        </w:tc>
      </w:tr>
      <w:tr w:rsidR="007C3899" w:rsidRPr="00E65A58" w:rsidTr="00E65A58">
        <w:tc>
          <w:tcPr>
            <w:tcW w:w="534" w:type="dxa"/>
          </w:tcPr>
          <w:p w:rsidR="007C3899" w:rsidRDefault="007C3899" w:rsidP="00B05661">
            <w:pPr>
              <w:ind w:left="567" w:hanging="567"/>
              <w:rPr>
                <w:rFonts w:asciiTheme="minorHAnsi" w:hAnsiTheme="minorHAnsi"/>
              </w:rPr>
            </w:pPr>
            <w:r>
              <w:rPr>
                <w:rFonts w:asciiTheme="minorHAnsi" w:hAnsiTheme="minorHAnsi"/>
              </w:rPr>
              <w:t>5</w:t>
            </w:r>
          </w:p>
        </w:tc>
        <w:tc>
          <w:tcPr>
            <w:tcW w:w="7164" w:type="dxa"/>
          </w:tcPr>
          <w:p w:rsidR="007C3899" w:rsidRPr="0042060E" w:rsidRDefault="000B2130" w:rsidP="005F3A1D">
            <w:pPr>
              <w:tabs>
                <w:tab w:val="clear" w:pos="567"/>
                <w:tab w:val="left" w:pos="0"/>
              </w:tabs>
              <w:rPr>
                <w:rFonts w:asciiTheme="minorHAnsi" w:hAnsiTheme="minorHAnsi"/>
              </w:rPr>
            </w:pPr>
            <w:r w:rsidRPr="000B2130">
              <w:rPr>
                <w:rFonts w:asciiTheme="minorHAnsi" w:hAnsiTheme="minorHAnsi"/>
              </w:rPr>
              <w:t xml:space="preserve">Draft </w:t>
            </w:r>
            <w:r w:rsidR="00A14539">
              <w:rPr>
                <w:rFonts w:asciiTheme="minorHAnsi" w:hAnsiTheme="minorHAnsi"/>
              </w:rPr>
              <w:t>Resolution COM5/4 (Busan, 2014)</w:t>
            </w:r>
            <w:r w:rsidR="005F3A1D">
              <w:rPr>
                <w:rFonts w:asciiTheme="minorHAnsi" w:hAnsiTheme="minorHAnsi"/>
              </w:rPr>
              <w:t xml:space="preserve"> - </w:t>
            </w:r>
            <w:r w:rsidR="00A14539">
              <w:rPr>
                <w:rFonts w:asciiTheme="minorHAnsi" w:hAnsiTheme="minorHAnsi"/>
              </w:rPr>
              <w:t xml:space="preserve">Combating counterfeit telecommunication/information and communication technology devices </w:t>
            </w:r>
            <w:r w:rsidRPr="000B2130">
              <w:rPr>
                <w:rFonts w:asciiTheme="minorHAnsi" w:hAnsiTheme="minorHAnsi"/>
              </w:rPr>
              <w:t>– first and second reading</w:t>
            </w:r>
          </w:p>
        </w:tc>
        <w:tc>
          <w:tcPr>
            <w:tcW w:w="2333" w:type="dxa"/>
          </w:tcPr>
          <w:p w:rsidR="007C3899" w:rsidRDefault="005761BE" w:rsidP="00B05661">
            <w:pPr>
              <w:jc w:val="center"/>
              <w:rPr>
                <w:rFonts w:asciiTheme="minorHAnsi" w:hAnsiTheme="minorHAnsi"/>
              </w:rPr>
            </w:pPr>
            <w:hyperlink r:id="rId13" w:history="1">
              <w:r w:rsidR="0047619A" w:rsidRPr="00CC1115">
                <w:rPr>
                  <w:rStyle w:val="Hyperlink"/>
                  <w:rFonts w:asciiTheme="minorHAnsi" w:hAnsiTheme="minorHAnsi"/>
                </w:rPr>
                <w:t>158</w:t>
              </w:r>
            </w:hyperlink>
          </w:p>
        </w:tc>
      </w:tr>
      <w:tr w:rsidR="007C3899" w:rsidRPr="00E65A58" w:rsidTr="00E65A58">
        <w:tc>
          <w:tcPr>
            <w:tcW w:w="534" w:type="dxa"/>
          </w:tcPr>
          <w:p w:rsidR="007C3899" w:rsidRDefault="000B2130" w:rsidP="00B05661">
            <w:pPr>
              <w:ind w:left="567" w:hanging="567"/>
              <w:rPr>
                <w:rFonts w:asciiTheme="minorHAnsi" w:hAnsiTheme="minorHAnsi"/>
              </w:rPr>
            </w:pPr>
            <w:r>
              <w:rPr>
                <w:rFonts w:asciiTheme="minorHAnsi" w:hAnsiTheme="minorHAnsi"/>
              </w:rPr>
              <w:t>6</w:t>
            </w:r>
          </w:p>
        </w:tc>
        <w:tc>
          <w:tcPr>
            <w:tcW w:w="7164" w:type="dxa"/>
          </w:tcPr>
          <w:p w:rsidR="007C3899" w:rsidRPr="0042060E" w:rsidRDefault="00195645" w:rsidP="00B05661">
            <w:pPr>
              <w:tabs>
                <w:tab w:val="clear" w:pos="567"/>
                <w:tab w:val="left" w:pos="0"/>
              </w:tabs>
              <w:rPr>
                <w:rFonts w:asciiTheme="minorHAnsi" w:hAnsiTheme="minorHAnsi"/>
              </w:rPr>
            </w:pPr>
            <w:r w:rsidRPr="00195645">
              <w:rPr>
                <w:rFonts w:asciiTheme="minorHAnsi" w:hAnsiTheme="minorHAnsi"/>
              </w:rPr>
              <w:t>A</w:t>
            </w:r>
            <w:r w:rsidR="007C3899" w:rsidRPr="00195645">
              <w:rPr>
                <w:rFonts w:asciiTheme="minorHAnsi" w:hAnsiTheme="minorHAnsi"/>
              </w:rPr>
              <w:t>pproval of minutes</w:t>
            </w:r>
          </w:p>
        </w:tc>
        <w:tc>
          <w:tcPr>
            <w:tcW w:w="2333" w:type="dxa"/>
          </w:tcPr>
          <w:p w:rsidR="007C3899" w:rsidRDefault="005761BE" w:rsidP="00B05661">
            <w:pPr>
              <w:jc w:val="center"/>
              <w:rPr>
                <w:rFonts w:asciiTheme="minorHAnsi" w:hAnsiTheme="minorHAnsi"/>
              </w:rPr>
            </w:pPr>
            <w:hyperlink r:id="rId14" w:history="1">
              <w:r w:rsidR="00195645" w:rsidRPr="00CC1115">
                <w:rPr>
                  <w:rStyle w:val="Hyperlink"/>
                  <w:rFonts w:asciiTheme="minorHAnsi" w:hAnsiTheme="minorHAnsi"/>
                </w:rPr>
                <w:t>119</w:t>
              </w:r>
            </w:hyperlink>
            <w:r w:rsidR="00195645" w:rsidRPr="00CF4B7F">
              <w:rPr>
                <w:rFonts w:asciiTheme="minorHAnsi" w:hAnsiTheme="minorHAnsi"/>
              </w:rPr>
              <w:t xml:space="preserve">, </w:t>
            </w:r>
            <w:hyperlink r:id="rId15" w:history="1">
              <w:r w:rsidR="00195645" w:rsidRPr="00CC1115">
                <w:rPr>
                  <w:rStyle w:val="Hyperlink"/>
                  <w:rFonts w:asciiTheme="minorHAnsi" w:hAnsiTheme="minorHAnsi"/>
                </w:rPr>
                <w:t>128</w:t>
              </w:r>
            </w:hyperlink>
          </w:p>
        </w:tc>
      </w:tr>
      <w:tr w:rsidR="007C3899" w:rsidRPr="00E65A58" w:rsidTr="00E65A58">
        <w:tc>
          <w:tcPr>
            <w:tcW w:w="534" w:type="dxa"/>
          </w:tcPr>
          <w:p w:rsidR="007C3899" w:rsidRDefault="000B2130" w:rsidP="00B05661">
            <w:pPr>
              <w:ind w:left="567" w:hanging="567"/>
              <w:rPr>
                <w:rFonts w:asciiTheme="minorHAnsi" w:hAnsiTheme="minorHAnsi"/>
              </w:rPr>
            </w:pPr>
            <w:r>
              <w:rPr>
                <w:rFonts w:asciiTheme="minorHAnsi" w:hAnsiTheme="minorHAnsi"/>
              </w:rPr>
              <w:t>7</w:t>
            </w:r>
          </w:p>
        </w:tc>
        <w:tc>
          <w:tcPr>
            <w:tcW w:w="7164" w:type="dxa"/>
          </w:tcPr>
          <w:p w:rsidR="007C3899" w:rsidRDefault="00906D62" w:rsidP="00B05661">
            <w:pPr>
              <w:tabs>
                <w:tab w:val="clear" w:pos="567"/>
                <w:tab w:val="left" w:pos="0"/>
              </w:tabs>
              <w:rPr>
                <w:rFonts w:asciiTheme="minorHAnsi" w:hAnsiTheme="minorHAnsi"/>
              </w:rPr>
            </w:pPr>
            <w:r w:rsidRPr="00906D62">
              <w:rPr>
                <w:rFonts w:asciiTheme="minorHAnsi" w:hAnsiTheme="minorHAnsi"/>
              </w:rPr>
              <w:t>Draft new resolution</w:t>
            </w:r>
            <w:r w:rsidR="00A14539">
              <w:rPr>
                <w:rFonts w:asciiTheme="minorHAnsi" w:hAnsiTheme="minorHAnsi"/>
              </w:rPr>
              <w:t xml:space="preserve"> proposed by Ukraine on “</w:t>
            </w:r>
            <w:r w:rsidRPr="00906D62">
              <w:rPr>
                <w:rFonts w:asciiTheme="minorHAnsi" w:hAnsiTheme="minorHAnsi"/>
              </w:rPr>
              <w:t>Assistance and support to Ukraine for guaranteeing the use of frequency and numbering resources in the territories of the Autonomous Republic of Crimea and the city of Sevastopol</w:t>
            </w:r>
            <w:r w:rsidR="00A14539">
              <w:rPr>
                <w:rFonts w:asciiTheme="minorHAnsi" w:hAnsiTheme="minorHAnsi"/>
              </w:rPr>
              <w:t>”</w:t>
            </w:r>
          </w:p>
        </w:tc>
        <w:tc>
          <w:tcPr>
            <w:tcW w:w="2333" w:type="dxa"/>
          </w:tcPr>
          <w:p w:rsidR="007C3899" w:rsidRDefault="005761BE" w:rsidP="00B05661">
            <w:pPr>
              <w:jc w:val="center"/>
              <w:rPr>
                <w:rFonts w:asciiTheme="minorHAnsi" w:hAnsiTheme="minorHAnsi"/>
              </w:rPr>
            </w:pPr>
            <w:hyperlink r:id="rId16" w:history="1">
              <w:r w:rsidR="00B54FF6" w:rsidRPr="00CC1115">
                <w:rPr>
                  <w:rStyle w:val="Hyperlink"/>
                  <w:rFonts w:asciiTheme="minorHAnsi" w:hAnsiTheme="minorHAnsi"/>
                </w:rPr>
                <w:t>84(Rev.2)</w:t>
              </w:r>
            </w:hyperlink>
            <w:r w:rsidR="00E54824">
              <w:rPr>
                <w:rFonts w:asciiTheme="minorHAnsi" w:hAnsiTheme="minorHAnsi"/>
              </w:rPr>
              <w:t xml:space="preserve"> </w:t>
            </w:r>
          </w:p>
        </w:tc>
      </w:tr>
      <w:tr w:rsidR="005F46D6" w:rsidRPr="00E65A58" w:rsidTr="00E65A58">
        <w:tc>
          <w:tcPr>
            <w:tcW w:w="534" w:type="dxa"/>
          </w:tcPr>
          <w:p w:rsidR="005F46D6" w:rsidRPr="00E65A58" w:rsidRDefault="000B2130" w:rsidP="00B05661">
            <w:pPr>
              <w:ind w:left="567" w:hanging="567"/>
              <w:rPr>
                <w:rFonts w:asciiTheme="minorHAnsi" w:hAnsiTheme="minorHAnsi"/>
              </w:rPr>
            </w:pPr>
            <w:r>
              <w:rPr>
                <w:rFonts w:asciiTheme="minorHAnsi" w:hAnsiTheme="minorHAnsi"/>
              </w:rPr>
              <w:t>8</w:t>
            </w:r>
          </w:p>
        </w:tc>
        <w:tc>
          <w:tcPr>
            <w:tcW w:w="7164" w:type="dxa"/>
          </w:tcPr>
          <w:p w:rsidR="005F46D6" w:rsidRPr="00E65A58" w:rsidRDefault="005F46D6" w:rsidP="00B05661">
            <w:pPr>
              <w:ind w:left="567" w:hanging="567"/>
              <w:rPr>
                <w:rFonts w:asciiTheme="minorHAnsi" w:hAnsiTheme="minorHAnsi"/>
              </w:rPr>
            </w:pPr>
            <w:r>
              <w:rPr>
                <w:rFonts w:asciiTheme="minorHAnsi" w:hAnsiTheme="minorHAnsi"/>
              </w:rPr>
              <w:t>Organization of work</w:t>
            </w:r>
          </w:p>
        </w:tc>
        <w:tc>
          <w:tcPr>
            <w:tcW w:w="2333" w:type="dxa"/>
          </w:tcPr>
          <w:p w:rsidR="005F46D6" w:rsidRDefault="005F46D6" w:rsidP="00B05661">
            <w:pPr>
              <w:jc w:val="center"/>
            </w:pPr>
            <w:r>
              <w:t>–</w:t>
            </w:r>
          </w:p>
        </w:tc>
      </w:tr>
    </w:tbl>
    <w:p w:rsidR="004A192E" w:rsidRPr="00E65A58" w:rsidRDefault="004A192E" w:rsidP="00C87C08">
      <w:pPr>
        <w:spacing w:line="480" w:lineRule="auto"/>
        <w:rPr>
          <w:rFonts w:asciiTheme="minorHAnsi" w:hAnsiTheme="minorHAnsi"/>
        </w:rPr>
      </w:pPr>
      <w:bookmarkStart w:id="6" w:name="dbreak"/>
      <w:bookmarkEnd w:id="6"/>
    </w:p>
    <w:p w:rsidR="004A192E" w:rsidRPr="00E65A58" w:rsidRDefault="004A192E" w:rsidP="00C87C08">
      <w:pPr>
        <w:tabs>
          <w:tab w:val="clear" w:pos="567"/>
          <w:tab w:val="clear" w:pos="1134"/>
          <w:tab w:val="clear" w:pos="1701"/>
          <w:tab w:val="clear" w:pos="2268"/>
          <w:tab w:val="clear" w:pos="2835"/>
        </w:tabs>
        <w:overflowPunct/>
        <w:autoSpaceDE/>
        <w:autoSpaceDN/>
        <w:adjustRightInd/>
        <w:spacing w:before="0" w:line="480" w:lineRule="auto"/>
        <w:textAlignment w:val="auto"/>
        <w:rPr>
          <w:rFonts w:asciiTheme="minorHAnsi" w:hAnsiTheme="minorHAnsi"/>
        </w:rPr>
      </w:pPr>
      <w:r w:rsidRPr="00E65A58">
        <w:rPr>
          <w:rFonts w:asciiTheme="minorHAnsi" w:hAnsiTheme="minorHAnsi"/>
        </w:rPr>
        <w:br w:type="page"/>
      </w:r>
    </w:p>
    <w:p w:rsidR="004A192E" w:rsidRPr="00E65A58" w:rsidRDefault="004A192E" w:rsidP="00CC1115">
      <w:pPr>
        <w:pStyle w:val="Heading1"/>
        <w:rPr>
          <w:rFonts w:asciiTheme="minorHAnsi" w:hAnsiTheme="minorHAnsi"/>
          <w:b w:val="0"/>
          <w:szCs w:val="28"/>
        </w:rPr>
      </w:pPr>
      <w:r w:rsidRPr="00E65A58">
        <w:rPr>
          <w:rFonts w:asciiTheme="minorHAnsi" w:hAnsiTheme="minorHAnsi"/>
          <w:szCs w:val="28"/>
        </w:rPr>
        <w:lastRenderedPageBreak/>
        <w:t>1</w:t>
      </w:r>
      <w:r w:rsidRPr="00E65A58">
        <w:rPr>
          <w:rFonts w:asciiTheme="minorHAnsi" w:hAnsiTheme="minorHAnsi"/>
          <w:szCs w:val="28"/>
        </w:rPr>
        <w:tab/>
      </w:r>
      <w:r w:rsidR="00B10BB0">
        <w:rPr>
          <w:rFonts w:asciiTheme="minorHAnsi" w:hAnsiTheme="minorHAnsi"/>
          <w:szCs w:val="28"/>
        </w:rPr>
        <w:t>Twelfth</w:t>
      </w:r>
      <w:r w:rsidR="00B10BB0" w:rsidRPr="00B10BB0">
        <w:rPr>
          <w:rFonts w:asciiTheme="minorHAnsi" w:hAnsiTheme="minorHAnsi"/>
          <w:szCs w:val="28"/>
        </w:rPr>
        <w:t xml:space="preserve"> series of texts submitted by the Editorial Committee for first reading (</w:t>
      </w:r>
      <w:r w:rsidR="00B10BB0" w:rsidRPr="00F44A55">
        <w:rPr>
          <w:rFonts w:asciiTheme="minorHAnsi" w:hAnsiTheme="minorHAnsi"/>
          <w:szCs w:val="28"/>
        </w:rPr>
        <w:t>B1</w:t>
      </w:r>
      <w:r w:rsidR="00E55397" w:rsidRPr="00F44A55">
        <w:rPr>
          <w:rFonts w:asciiTheme="minorHAnsi" w:hAnsiTheme="minorHAnsi"/>
          <w:szCs w:val="28"/>
        </w:rPr>
        <w:t>2</w:t>
      </w:r>
      <w:r w:rsidR="00B10BB0">
        <w:rPr>
          <w:rFonts w:asciiTheme="minorHAnsi" w:hAnsiTheme="minorHAnsi"/>
          <w:szCs w:val="28"/>
        </w:rPr>
        <w:t>)</w:t>
      </w:r>
      <w:r w:rsidR="00B10BB0" w:rsidRPr="00B10BB0">
        <w:rPr>
          <w:rFonts w:asciiTheme="minorHAnsi" w:hAnsiTheme="minorHAnsi"/>
          <w:szCs w:val="28"/>
        </w:rPr>
        <w:t xml:space="preserve"> </w:t>
      </w:r>
      <w:r w:rsidR="00B10BB0">
        <w:rPr>
          <w:rFonts w:asciiTheme="minorHAnsi" w:hAnsiTheme="minorHAnsi"/>
          <w:szCs w:val="28"/>
        </w:rPr>
        <w:t xml:space="preserve">(Document </w:t>
      </w:r>
      <w:r w:rsidR="0042060E">
        <w:rPr>
          <w:rFonts w:asciiTheme="minorHAnsi" w:hAnsiTheme="minorHAnsi"/>
          <w:szCs w:val="28"/>
        </w:rPr>
        <w:t>165</w:t>
      </w:r>
      <w:r w:rsidRPr="00E65A58">
        <w:rPr>
          <w:rFonts w:asciiTheme="minorHAnsi" w:hAnsiTheme="minorHAnsi"/>
          <w:szCs w:val="28"/>
        </w:rPr>
        <w:t>)</w:t>
      </w:r>
    </w:p>
    <w:p w:rsidR="00ED6CE5" w:rsidRDefault="00A14539" w:rsidP="00CC1115">
      <w:pPr>
        <w:rPr>
          <w:rFonts w:asciiTheme="minorHAnsi" w:hAnsiTheme="minorHAnsi"/>
        </w:rPr>
      </w:pPr>
      <w:r>
        <w:rPr>
          <w:rFonts w:asciiTheme="minorHAnsi" w:hAnsiTheme="minorHAnsi"/>
          <w:b/>
          <w:bCs/>
        </w:rPr>
        <w:t xml:space="preserve">Draft </w:t>
      </w:r>
      <w:r w:rsidR="00ED6CE5" w:rsidRPr="00ED6CE5">
        <w:rPr>
          <w:rFonts w:asciiTheme="minorHAnsi" w:hAnsiTheme="minorHAnsi"/>
          <w:b/>
          <w:bCs/>
        </w:rPr>
        <w:t>Decision 11</w:t>
      </w:r>
      <w:r w:rsidR="00B54FF6">
        <w:rPr>
          <w:rFonts w:asciiTheme="minorHAnsi" w:hAnsiTheme="minorHAnsi"/>
          <w:b/>
          <w:bCs/>
        </w:rPr>
        <w:t xml:space="preserve"> (Rev. Busan, 2014) – Creation and management of Council working groups</w:t>
      </w:r>
    </w:p>
    <w:p w:rsidR="00B54FF6" w:rsidRDefault="00604548" w:rsidP="00CC1115">
      <w:pPr>
        <w:rPr>
          <w:rFonts w:asciiTheme="minorHAnsi" w:hAnsiTheme="minorHAnsi"/>
        </w:rPr>
      </w:pPr>
      <w:r>
        <w:rPr>
          <w:rFonts w:asciiTheme="minorHAnsi" w:hAnsiTheme="minorHAnsi"/>
        </w:rPr>
        <w:t>1</w:t>
      </w:r>
      <w:r w:rsidR="001902B0">
        <w:rPr>
          <w:rFonts w:asciiTheme="minorHAnsi" w:hAnsiTheme="minorHAnsi"/>
        </w:rPr>
        <w:t>.1</w:t>
      </w:r>
      <w:r w:rsidR="00F354C9">
        <w:rPr>
          <w:rFonts w:asciiTheme="minorHAnsi" w:hAnsiTheme="minorHAnsi"/>
        </w:rPr>
        <w:tab/>
      </w:r>
      <w:r w:rsidR="00F354C9">
        <w:rPr>
          <w:rFonts w:asciiTheme="minorHAnsi" w:hAnsiTheme="minorHAnsi"/>
          <w:b/>
          <w:bCs/>
        </w:rPr>
        <w:t>Adopted</w:t>
      </w:r>
      <w:r w:rsidR="00F354C9">
        <w:rPr>
          <w:rFonts w:asciiTheme="minorHAnsi" w:hAnsiTheme="minorHAnsi"/>
        </w:rPr>
        <w:t>.</w:t>
      </w:r>
    </w:p>
    <w:p w:rsidR="003267FC" w:rsidRDefault="001902B0" w:rsidP="00CC1115">
      <w:pPr>
        <w:rPr>
          <w:rFonts w:asciiTheme="minorHAnsi" w:hAnsiTheme="minorHAnsi"/>
        </w:rPr>
      </w:pPr>
      <w:r>
        <w:rPr>
          <w:rFonts w:asciiTheme="minorHAnsi" w:hAnsiTheme="minorHAnsi"/>
        </w:rPr>
        <w:t>1.2</w:t>
      </w:r>
      <w:r w:rsidR="00F354C9">
        <w:rPr>
          <w:rFonts w:asciiTheme="minorHAnsi" w:hAnsiTheme="minorHAnsi"/>
        </w:rPr>
        <w:tab/>
      </w:r>
      <w:r w:rsidR="00E00B9D">
        <w:rPr>
          <w:rFonts w:asciiTheme="minorHAnsi" w:hAnsiTheme="minorHAnsi"/>
        </w:rPr>
        <w:t xml:space="preserve">The </w:t>
      </w:r>
      <w:r w:rsidR="00E00B9D" w:rsidRPr="00E00B9D">
        <w:rPr>
          <w:rFonts w:asciiTheme="minorHAnsi" w:hAnsiTheme="minorHAnsi"/>
          <w:b/>
          <w:bCs/>
        </w:rPr>
        <w:t>Chairman of the Working Group of the Plenary</w:t>
      </w:r>
      <w:r w:rsidR="00E00B9D">
        <w:rPr>
          <w:rFonts w:asciiTheme="minorHAnsi" w:hAnsiTheme="minorHAnsi"/>
        </w:rPr>
        <w:t xml:space="preserve"> </w:t>
      </w:r>
      <w:r w:rsidR="00D662CB" w:rsidRPr="003E4BA0">
        <w:rPr>
          <w:rFonts w:asciiTheme="minorHAnsi" w:hAnsiTheme="minorHAnsi"/>
        </w:rPr>
        <w:t xml:space="preserve">drew attention to the </w:t>
      </w:r>
      <w:r w:rsidR="00A14539">
        <w:rPr>
          <w:rFonts w:asciiTheme="minorHAnsi" w:hAnsiTheme="minorHAnsi"/>
        </w:rPr>
        <w:t xml:space="preserve">following </w:t>
      </w:r>
      <w:r w:rsidR="00D662CB" w:rsidRPr="003E4BA0">
        <w:rPr>
          <w:rFonts w:asciiTheme="minorHAnsi" w:hAnsiTheme="minorHAnsi"/>
        </w:rPr>
        <w:t xml:space="preserve">statement made at the </w:t>
      </w:r>
      <w:r w:rsidR="003E4BA0">
        <w:rPr>
          <w:rFonts w:asciiTheme="minorHAnsi" w:hAnsiTheme="minorHAnsi"/>
        </w:rPr>
        <w:t>twelfth</w:t>
      </w:r>
      <w:r w:rsidR="00D662CB" w:rsidRPr="003E4BA0">
        <w:rPr>
          <w:rFonts w:asciiTheme="minorHAnsi" w:hAnsiTheme="minorHAnsi"/>
        </w:rPr>
        <w:t xml:space="preserve"> session of the Working Group of the Plenary by the delegate of Australia, who had chaired </w:t>
      </w:r>
      <w:r w:rsidR="00A14539">
        <w:rPr>
          <w:rFonts w:asciiTheme="minorHAnsi" w:hAnsiTheme="minorHAnsi"/>
        </w:rPr>
        <w:t xml:space="preserve">the </w:t>
      </w:r>
      <w:r w:rsidR="00D662CB" w:rsidRPr="003E4BA0">
        <w:rPr>
          <w:rFonts w:asciiTheme="minorHAnsi" w:hAnsiTheme="minorHAnsi"/>
        </w:rPr>
        <w:t>Working Group of the Plenary</w:t>
      </w:r>
      <w:r w:rsidR="00A14539">
        <w:rPr>
          <w:rFonts w:asciiTheme="minorHAnsi" w:hAnsiTheme="minorHAnsi"/>
        </w:rPr>
        <w:t>’s ad hoc group</w:t>
      </w:r>
      <w:r w:rsidR="00D662CB" w:rsidRPr="003E4BA0">
        <w:rPr>
          <w:rFonts w:asciiTheme="minorHAnsi" w:hAnsiTheme="minorHAnsi"/>
        </w:rPr>
        <w:t xml:space="preserve"> on Decision 11</w:t>
      </w:r>
      <w:r w:rsidR="00A14539">
        <w:rPr>
          <w:rFonts w:asciiTheme="minorHAnsi" w:hAnsiTheme="minorHAnsi"/>
        </w:rPr>
        <w:t xml:space="preserve">: “The approved revision of Decision 11 should not be understood as a request to Council to amend Council Resolution 1333”. </w:t>
      </w:r>
      <w:r w:rsidR="00D662CB" w:rsidRPr="003E4BA0">
        <w:rPr>
          <w:rFonts w:asciiTheme="minorHAnsi" w:hAnsiTheme="minorHAnsi"/>
        </w:rPr>
        <w:t>Th</w:t>
      </w:r>
      <w:r w:rsidR="00A14539">
        <w:rPr>
          <w:rFonts w:asciiTheme="minorHAnsi" w:hAnsiTheme="minorHAnsi"/>
        </w:rPr>
        <w:t xml:space="preserve">at </w:t>
      </w:r>
      <w:r w:rsidR="00D662CB" w:rsidRPr="003E4BA0">
        <w:rPr>
          <w:rFonts w:asciiTheme="minorHAnsi" w:hAnsiTheme="minorHAnsi"/>
        </w:rPr>
        <w:t>statement</w:t>
      </w:r>
      <w:r w:rsidR="00A14539">
        <w:rPr>
          <w:rFonts w:asciiTheme="minorHAnsi" w:hAnsiTheme="minorHAnsi"/>
        </w:rPr>
        <w:t xml:space="preserve"> </w:t>
      </w:r>
      <w:r w:rsidR="00E54824">
        <w:rPr>
          <w:rFonts w:asciiTheme="minorHAnsi" w:hAnsiTheme="minorHAnsi"/>
        </w:rPr>
        <w:t>formed part of the ou</w:t>
      </w:r>
      <w:r w:rsidR="002404ED">
        <w:rPr>
          <w:rFonts w:asciiTheme="minorHAnsi" w:hAnsiTheme="minorHAnsi"/>
        </w:rPr>
        <w:t>tcome of the ad hoc group’s work.</w:t>
      </w:r>
    </w:p>
    <w:p w:rsidR="00E54824" w:rsidRPr="00E54824" w:rsidRDefault="001902B0" w:rsidP="00CC1115">
      <w:pPr>
        <w:rPr>
          <w:rFonts w:asciiTheme="minorHAnsi" w:hAnsiTheme="minorHAnsi"/>
        </w:rPr>
      </w:pPr>
      <w:r>
        <w:rPr>
          <w:rFonts w:asciiTheme="minorHAnsi" w:hAnsiTheme="minorHAnsi"/>
        </w:rPr>
        <w:t>1.3</w:t>
      </w:r>
      <w:r w:rsidR="00E54824">
        <w:rPr>
          <w:rFonts w:asciiTheme="minorHAnsi" w:hAnsiTheme="minorHAnsi"/>
        </w:rPr>
        <w:tab/>
        <w:t xml:space="preserve">The statement was </w:t>
      </w:r>
      <w:r w:rsidR="00E54824">
        <w:rPr>
          <w:rFonts w:asciiTheme="minorHAnsi" w:hAnsiTheme="minorHAnsi"/>
          <w:b/>
          <w:bCs/>
        </w:rPr>
        <w:t>noted</w:t>
      </w:r>
      <w:r w:rsidR="00E54824">
        <w:rPr>
          <w:rFonts w:asciiTheme="minorHAnsi" w:hAnsiTheme="minorHAnsi"/>
        </w:rPr>
        <w:t>.</w:t>
      </w:r>
    </w:p>
    <w:p w:rsidR="00B54FF6" w:rsidRDefault="00A14539" w:rsidP="00CC1115">
      <w:pPr>
        <w:rPr>
          <w:rFonts w:asciiTheme="minorHAnsi" w:hAnsiTheme="minorHAnsi"/>
        </w:rPr>
      </w:pPr>
      <w:r>
        <w:rPr>
          <w:rFonts w:asciiTheme="minorHAnsi" w:hAnsiTheme="minorHAnsi"/>
          <w:b/>
          <w:bCs/>
        </w:rPr>
        <w:t xml:space="preserve">Draft </w:t>
      </w:r>
      <w:r w:rsidR="00B54FF6">
        <w:rPr>
          <w:rFonts w:asciiTheme="minorHAnsi" w:hAnsiTheme="minorHAnsi"/>
          <w:b/>
          <w:bCs/>
        </w:rPr>
        <w:t>Resolution 101 (Rev. Busan, 2014) – Internet Protocol-based networks</w:t>
      </w:r>
    </w:p>
    <w:p w:rsidR="0029653B" w:rsidRPr="0029653B" w:rsidRDefault="00604548" w:rsidP="00CC1115">
      <w:pPr>
        <w:rPr>
          <w:rFonts w:asciiTheme="minorHAnsi" w:hAnsiTheme="minorHAnsi"/>
        </w:rPr>
      </w:pPr>
      <w:r>
        <w:rPr>
          <w:rFonts w:asciiTheme="minorHAnsi" w:hAnsiTheme="minorHAnsi"/>
        </w:rPr>
        <w:t>1.</w:t>
      </w:r>
      <w:r w:rsidR="001902B0">
        <w:rPr>
          <w:rFonts w:asciiTheme="minorHAnsi" w:hAnsiTheme="minorHAnsi"/>
        </w:rPr>
        <w:t>4</w:t>
      </w:r>
      <w:r w:rsidR="0029653B">
        <w:rPr>
          <w:rFonts w:asciiTheme="minorHAnsi" w:hAnsiTheme="minorHAnsi"/>
        </w:rPr>
        <w:tab/>
      </w:r>
      <w:r w:rsidR="00A14539" w:rsidRPr="00A14539">
        <w:rPr>
          <w:rFonts w:asciiTheme="minorHAnsi" w:hAnsiTheme="minorHAnsi"/>
          <w:b/>
          <w:bCs/>
        </w:rPr>
        <w:t>A</w:t>
      </w:r>
      <w:r w:rsidR="0029653B">
        <w:rPr>
          <w:rFonts w:asciiTheme="minorHAnsi" w:hAnsiTheme="minorHAnsi"/>
          <w:b/>
          <w:bCs/>
        </w:rPr>
        <w:t>dopted</w:t>
      </w:r>
      <w:r w:rsidR="0029653B">
        <w:rPr>
          <w:rFonts w:asciiTheme="minorHAnsi" w:hAnsiTheme="minorHAnsi"/>
        </w:rPr>
        <w:t>.</w:t>
      </w:r>
    </w:p>
    <w:p w:rsidR="00B54FF6" w:rsidRDefault="00A14539" w:rsidP="00CC1115">
      <w:pPr>
        <w:rPr>
          <w:rFonts w:asciiTheme="minorHAnsi" w:hAnsiTheme="minorHAnsi"/>
        </w:rPr>
      </w:pPr>
      <w:r>
        <w:rPr>
          <w:rFonts w:asciiTheme="minorHAnsi" w:hAnsiTheme="minorHAnsi"/>
          <w:b/>
          <w:bCs/>
        </w:rPr>
        <w:t xml:space="preserve">Draft </w:t>
      </w:r>
      <w:r w:rsidR="00B54FF6">
        <w:rPr>
          <w:rFonts w:asciiTheme="minorHAnsi" w:hAnsiTheme="minorHAnsi"/>
          <w:b/>
          <w:bCs/>
        </w:rPr>
        <w:t>Resolution 102 (Rev. Busan, 2014) – ITU’s role with regard to international public policy issues pertaining to the Internet and the management of Internet resources, including domain names and addresses</w:t>
      </w:r>
    </w:p>
    <w:p w:rsidR="002E3B7E" w:rsidRPr="0029653B" w:rsidRDefault="001902B0" w:rsidP="00CC1115">
      <w:pPr>
        <w:rPr>
          <w:rFonts w:asciiTheme="minorHAnsi" w:hAnsiTheme="minorHAnsi"/>
        </w:rPr>
      </w:pPr>
      <w:r>
        <w:rPr>
          <w:rFonts w:asciiTheme="minorHAnsi" w:hAnsiTheme="minorHAnsi"/>
        </w:rPr>
        <w:t>1.5</w:t>
      </w:r>
      <w:r w:rsidR="002E3B7E">
        <w:rPr>
          <w:rFonts w:asciiTheme="minorHAnsi" w:hAnsiTheme="minorHAnsi"/>
        </w:rPr>
        <w:tab/>
        <w:t xml:space="preserve">The </w:t>
      </w:r>
      <w:r w:rsidR="002E3B7E">
        <w:rPr>
          <w:rFonts w:asciiTheme="minorHAnsi" w:hAnsiTheme="minorHAnsi"/>
          <w:b/>
          <w:bCs/>
        </w:rPr>
        <w:t>delegate of the Russian Federation</w:t>
      </w:r>
      <w:r w:rsidR="002E3B7E">
        <w:rPr>
          <w:rFonts w:asciiTheme="minorHAnsi" w:hAnsiTheme="minorHAnsi"/>
        </w:rPr>
        <w:t xml:space="preserve"> </w:t>
      </w:r>
      <w:r w:rsidR="002E3B7E" w:rsidRPr="003E4BA0">
        <w:rPr>
          <w:rFonts w:asciiTheme="minorHAnsi" w:hAnsiTheme="minorHAnsi"/>
        </w:rPr>
        <w:t>said that, in view of</w:t>
      </w:r>
      <w:r>
        <w:rPr>
          <w:rFonts w:asciiTheme="minorHAnsi" w:hAnsiTheme="minorHAnsi"/>
        </w:rPr>
        <w:t xml:space="preserve"> the importance of the Council working g</w:t>
      </w:r>
      <w:r w:rsidR="002E3B7E" w:rsidRPr="003E4BA0">
        <w:rPr>
          <w:rFonts w:asciiTheme="minorHAnsi" w:hAnsiTheme="minorHAnsi"/>
        </w:rPr>
        <w:t>roup on international Internet-related public policy issues, it should report annually on its activities</w:t>
      </w:r>
      <w:r w:rsidR="002E3B7E">
        <w:rPr>
          <w:rFonts w:asciiTheme="minorHAnsi" w:hAnsiTheme="minorHAnsi"/>
        </w:rPr>
        <w:t>.</w:t>
      </w:r>
    </w:p>
    <w:p w:rsidR="0029653B" w:rsidRDefault="00604548" w:rsidP="00CC1115">
      <w:pPr>
        <w:rPr>
          <w:rFonts w:asciiTheme="minorHAnsi" w:hAnsiTheme="minorHAnsi"/>
        </w:rPr>
      </w:pPr>
      <w:r>
        <w:rPr>
          <w:rFonts w:asciiTheme="minorHAnsi" w:hAnsiTheme="minorHAnsi"/>
        </w:rPr>
        <w:t>1.</w:t>
      </w:r>
      <w:r w:rsidR="001902B0">
        <w:rPr>
          <w:rFonts w:asciiTheme="minorHAnsi" w:hAnsiTheme="minorHAnsi"/>
        </w:rPr>
        <w:t>6</w:t>
      </w:r>
      <w:r w:rsidR="0029653B">
        <w:rPr>
          <w:rFonts w:asciiTheme="minorHAnsi" w:hAnsiTheme="minorHAnsi"/>
        </w:rPr>
        <w:tab/>
        <w:t xml:space="preserve">On that understanding, Resolution 102 (Rev. Busan, 2014) was </w:t>
      </w:r>
      <w:r w:rsidR="0029653B">
        <w:rPr>
          <w:rFonts w:asciiTheme="minorHAnsi" w:hAnsiTheme="minorHAnsi"/>
          <w:b/>
          <w:bCs/>
        </w:rPr>
        <w:t>adopted</w:t>
      </w:r>
      <w:r w:rsidR="0029653B">
        <w:rPr>
          <w:rFonts w:asciiTheme="minorHAnsi" w:hAnsiTheme="minorHAnsi"/>
        </w:rPr>
        <w:t>.</w:t>
      </w:r>
    </w:p>
    <w:p w:rsidR="00B54FF6" w:rsidRDefault="00A14539" w:rsidP="00CC1115">
      <w:pPr>
        <w:rPr>
          <w:rFonts w:asciiTheme="minorHAnsi" w:hAnsiTheme="minorHAnsi"/>
        </w:rPr>
      </w:pPr>
      <w:r>
        <w:rPr>
          <w:rFonts w:asciiTheme="minorHAnsi" w:hAnsiTheme="minorHAnsi"/>
          <w:b/>
          <w:bCs/>
        </w:rPr>
        <w:t xml:space="preserve">Draft </w:t>
      </w:r>
      <w:r w:rsidR="00B54FF6">
        <w:rPr>
          <w:rFonts w:asciiTheme="minorHAnsi" w:hAnsiTheme="minorHAnsi"/>
          <w:b/>
          <w:bCs/>
        </w:rPr>
        <w:t>Resolution 133 (Rev. Busan, 2014) – Role of administrations of Member States in the management of internationalized (multilingual) domain names</w:t>
      </w:r>
    </w:p>
    <w:p w:rsidR="00B54FF6" w:rsidRDefault="00A14539" w:rsidP="00CC1115">
      <w:pPr>
        <w:rPr>
          <w:rFonts w:asciiTheme="minorHAnsi" w:hAnsiTheme="minorHAnsi"/>
        </w:rPr>
      </w:pPr>
      <w:r>
        <w:rPr>
          <w:rFonts w:asciiTheme="minorHAnsi" w:hAnsiTheme="minorHAnsi"/>
          <w:b/>
          <w:bCs/>
        </w:rPr>
        <w:t xml:space="preserve">Draft </w:t>
      </w:r>
      <w:r w:rsidR="00B54FF6">
        <w:rPr>
          <w:rFonts w:asciiTheme="minorHAnsi" w:hAnsiTheme="minorHAnsi"/>
          <w:b/>
          <w:bCs/>
        </w:rPr>
        <w:t>Resolution 180 (Rev. Busan, 2014) – Facilitating the transition from IPv4 to IPv6</w:t>
      </w:r>
    </w:p>
    <w:p w:rsidR="00B54FF6" w:rsidRDefault="00604548" w:rsidP="00CC1115">
      <w:pPr>
        <w:rPr>
          <w:rFonts w:asciiTheme="minorHAnsi" w:hAnsiTheme="minorHAnsi"/>
        </w:rPr>
      </w:pPr>
      <w:r>
        <w:rPr>
          <w:rFonts w:asciiTheme="minorHAnsi" w:hAnsiTheme="minorHAnsi"/>
        </w:rPr>
        <w:t>1.</w:t>
      </w:r>
      <w:r w:rsidR="001902B0">
        <w:rPr>
          <w:rFonts w:asciiTheme="minorHAnsi" w:hAnsiTheme="minorHAnsi"/>
        </w:rPr>
        <w:t>7</w:t>
      </w:r>
      <w:r w:rsidR="0029653B">
        <w:rPr>
          <w:rFonts w:asciiTheme="minorHAnsi" w:hAnsiTheme="minorHAnsi"/>
        </w:rPr>
        <w:tab/>
      </w:r>
      <w:r w:rsidR="0029653B">
        <w:rPr>
          <w:rFonts w:asciiTheme="minorHAnsi" w:hAnsiTheme="minorHAnsi"/>
          <w:b/>
          <w:bCs/>
        </w:rPr>
        <w:t>Adopted</w:t>
      </w:r>
      <w:r w:rsidR="0029653B">
        <w:rPr>
          <w:rFonts w:asciiTheme="minorHAnsi" w:hAnsiTheme="minorHAnsi"/>
        </w:rPr>
        <w:t>.</w:t>
      </w:r>
    </w:p>
    <w:p w:rsidR="0029653B" w:rsidRPr="0029653B" w:rsidRDefault="00604548" w:rsidP="00CC1115">
      <w:pPr>
        <w:rPr>
          <w:rFonts w:asciiTheme="minorHAnsi" w:hAnsiTheme="minorHAnsi"/>
        </w:rPr>
      </w:pPr>
      <w:r>
        <w:rPr>
          <w:rFonts w:asciiTheme="minorHAnsi" w:hAnsiTheme="minorHAnsi"/>
        </w:rPr>
        <w:t>1.</w:t>
      </w:r>
      <w:r w:rsidR="001902B0">
        <w:rPr>
          <w:rFonts w:asciiTheme="minorHAnsi" w:hAnsiTheme="minorHAnsi"/>
        </w:rPr>
        <w:t>8</w:t>
      </w:r>
      <w:r w:rsidR="0029653B">
        <w:rPr>
          <w:rFonts w:asciiTheme="minorHAnsi" w:hAnsiTheme="minorHAnsi"/>
        </w:rPr>
        <w:tab/>
        <w:t xml:space="preserve">The </w:t>
      </w:r>
      <w:r w:rsidR="0029653B">
        <w:rPr>
          <w:rFonts w:asciiTheme="minorHAnsi" w:hAnsiTheme="minorHAnsi"/>
          <w:b/>
          <w:bCs/>
        </w:rPr>
        <w:t>Chairman of the Working Group of the Plenary</w:t>
      </w:r>
      <w:r w:rsidR="0029653B">
        <w:rPr>
          <w:rFonts w:asciiTheme="minorHAnsi" w:hAnsiTheme="minorHAnsi"/>
        </w:rPr>
        <w:t xml:space="preserve"> </w:t>
      </w:r>
      <w:r w:rsidR="0029653B" w:rsidRPr="003E4BA0">
        <w:rPr>
          <w:rFonts w:asciiTheme="minorHAnsi" w:hAnsiTheme="minorHAnsi"/>
        </w:rPr>
        <w:t>drew attention to</w:t>
      </w:r>
      <w:r w:rsidR="00F72DE6" w:rsidRPr="003E4BA0">
        <w:rPr>
          <w:rFonts w:asciiTheme="minorHAnsi" w:hAnsiTheme="minorHAnsi"/>
        </w:rPr>
        <w:t xml:space="preserve"> </w:t>
      </w:r>
      <w:r w:rsidR="000C4E74" w:rsidRPr="003E4BA0">
        <w:rPr>
          <w:rFonts w:asciiTheme="minorHAnsi" w:hAnsiTheme="minorHAnsi"/>
        </w:rPr>
        <w:t xml:space="preserve">the statement made by the delegate of India at the </w:t>
      </w:r>
      <w:r w:rsidR="003E4BA0">
        <w:rPr>
          <w:rFonts w:asciiTheme="minorHAnsi" w:hAnsiTheme="minorHAnsi"/>
        </w:rPr>
        <w:t>twelfth</w:t>
      </w:r>
      <w:r w:rsidR="000C4E74" w:rsidRPr="003E4BA0">
        <w:rPr>
          <w:rFonts w:asciiTheme="minorHAnsi" w:hAnsiTheme="minorHAnsi"/>
        </w:rPr>
        <w:t xml:space="preserve"> session of the Working Group of the Plenary concerning the approval of</w:t>
      </w:r>
      <w:r w:rsidR="00A14539">
        <w:rPr>
          <w:rFonts w:asciiTheme="minorHAnsi" w:hAnsiTheme="minorHAnsi"/>
        </w:rPr>
        <w:t xml:space="preserve"> </w:t>
      </w:r>
      <w:r w:rsidR="000C4E74" w:rsidRPr="003E4BA0">
        <w:rPr>
          <w:rFonts w:asciiTheme="minorHAnsi" w:hAnsiTheme="minorHAnsi"/>
        </w:rPr>
        <w:t>Resolutions 101</w:t>
      </w:r>
      <w:r w:rsidR="00A14539">
        <w:rPr>
          <w:rFonts w:asciiTheme="minorHAnsi" w:hAnsiTheme="minorHAnsi"/>
        </w:rPr>
        <w:t xml:space="preserve"> (Rev. Busan, 2014)</w:t>
      </w:r>
      <w:r w:rsidR="000C4E74" w:rsidRPr="003E4BA0">
        <w:rPr>
          <w:rFonts w:asciiTheme="minorHAnsi" w:hAnsiTheme="minorHAnsi"/>
        </w:rPr>
        <w:t>, 102</w:t>
      </w:r>
      <w:r w:rsidR="00A14539">
        <w:rPr>
          <w:rFonts w:asciiTheme="minorHAnsi" w:hAnsiTheme="minorHAnsi"/>
        </w:rPr>
        <w:t xml:space="preserve"> (Rev. Busan, 2014)</w:t>
      </w:r>
      <w:r w:rsidR="000C4E74" w:rsidRPr="003E4BA0">
        <w:rPr>
          <w:rFonts w:asciiTheme="minorHAnsi" w:hAnsiTheme="minorHAnsi"/>
        </w:rPr>
        <w:t>, 133</w:t>
      </w:r>
      <w:r w:rsidR="00A14539">
        <w:rPr>
          <w:rFonts w:asciiTheme="minorHAnsi" w:hAnsiTheme="minorHAnsi"/>
        </w:rPr>
        <w:t xml:space="preserve"> (Rev. Busan, 2014)</w:t>
      </w:r>
      <w:r w:rsidR="000C4E74" w:rsidRPr="003E4BA0">
        <w:rPr>
          <w:rFonts w:asciiTheme="minorHAnsi" w:hAnsiTheme="minorHAnsi"/>
        </w:rPr>
        <w:t xml:space="preserve"> and 180 (Rev. Busan, 2014)</w:t>
      </w:r>
      <w:r w:rsidR="00D41863" w:rsidRPr="003E4BA0">
        <w:rPr>
          <w:rFonts w:asciiTheme="minorHAnsi" w:hAnsiTheme="minorHAnsi"/>
        </w:rPr>
        <w:t xml:space="preserve">, which is reproduced in Annex </w:t>
      </w:r>
      <w:r w:rsidR="00D41863">
        <w:rPr>
          <w:rFonts w:asciiTheme="minorHAnsi" w:hAnsiTheme="minorHAnsi"/>
        </w:rPr>
        <w:t>A</w:t>
      </w:r>
      <w:r w:rsidR="002E3B7E">
        <w:rPr>
          <w:rFonts w:asciiTheme="minorHAnsi" w:hAnsiTheme="minorHAnsi"/>
        </w:rPr>
        <w:t xml:space="preserve"> in accordance with the request that it be </w:t>
      </w:r>
      <w:r w:rsidR="001902B0">
        <w:rPr>
          <w:rFonts w:asciiTheme="minorHAnsi" w:hAnsiTheme="minorHAnsi"/>
        </w:rPr>
        <w:t>included in the minutes of the P</w:t>
      </w:r>
      <w:r w:rsidR="002E3B7E">
        <w:rPr>
          <w:rFonts w:asciiTheme="minorHAnsi" w:hAnsiTheme="minorHAnsi"/>
        </w:rPr>
        <w:t>lenary</w:t>
      </w:r>
      <w:r w:rsidR="000C4E74">
        <w:rPr>
          <w:rFonts w:asciiTheme="minorHAnsi" w:hAnsiTheme="minorHAnsi"/>
        </w:rPr>
        <w:t>.</w:t>
      </w:r>
    </w:p>
    <w:p w:rsidR="00B54FF6" w:rsidRDefault="00B54FF6" w:rsidP="00CC1115">
      <w:pPr>
        <w:rPr>
          <w:rFonts w:asciiTheme="minorHAnsi" w:hAnsiTheme="minorHAnsi"/>
        </w:rPr>
      </w:pPr>
      <w:r>
        <w:rPr>
          <w:rFonts w:asciiTheme="minorHAnsi" w:hAnsiTheme="minorHAnsi"/>
          <w:b/>
          <w:bCs/>
        </w:rPr>
        <w:t>Draft Resolution WG-PL/6 (Busan, 2014) – Creating an enabling environment for the deployment and use of information and communication technology applications</w:t>
      </w:r>
    </w:p>
    <w:p w:rsidR="00B54FF6" w:rsidRDefault="00B54FF6" w:rsidP="00CC1115">
      <w:pPr>
        <w:rPr>
          <w:rFonts w:asciiTheme="minorHAnsi" w:hAnsiTheme="minorHAnsi"/>
        </w:rPr>
      </w:pPr>
      <w:r>
        <w:rPr>
          <w:rFonts w:asciiTheme="minorHAnsi" w:hAnsiTheme="minorHAnsi"/>
          <w:b/>
          <w:bCs/>
        </w:rPr>
        <w:t>Draft Resolution WG-PL/9 (Busan, 2014) – Connect 2020 Agenda for global telecommunication/information and communication technology development</w:t>
      </w:r>
    </w:p>
    <w:p w:rsidR="00F72DE6" w:rsidRPr="00F72DE6" w:rsidRDefault="001902B0" w:rsidP="00CC1115">
      <w:pPr>
        <w:rPr>
          <w:rFonts w:asciiTheme="minorHAnsi" w:hAnsiTheme="minorHAnsi"/>
        </w:rPr>
      </w:pPr>
      <w:r>
        <w:rPr>
          <w:rFonts w:asciiTheme="minorHAnsi" w:hAnsiTheme="minorHAnsi"/>
        </w:rPr>
        <w:t>1.9</w:t>
      </w:r>
      <w:r w:rsidR="00A14539">
        <w:rPr>
          <w:rFonts w:asciiTheme="minorHAnsi" w:hAnsiTheme="minorHAnsi"/>
        </w:rPr>
        <w:tab/>
      </w:r>
      <w:r w:rsidR="00A14539" w:rsidRPr="00A14539">
        <w:rPr>
          <w:rFonts w:asciiTheme="minorHAnsi" w:hAnsiTheme="minorHAnsi"/>
          <w:b/>
          <w:bCs/>
        </w:rPr>
        <w:t>A</w:t>
      </w:r>
      <w:r w:rsidR="00F72DE6">
        <w:rPr>
          <w:rFonts w:asciiTheme="minorHAnsi" w:hAnsiTheme="minorHAnsi"/>
          <w:b/>
          <w:bCs/>
        </w:rPr>
        <w:t>dopted</w:t>
      </w:r>
      <w:r w:rsidR="00F72DE6">
        <w:rPr>
          <w:rFonts w:asciiTheme="minorHAnsi" w:hAnsiTheme="minorHAnsi"/>
        </w:rPr>
        <w:t>.</w:t>
      </w:r>
    </w:p>
    <w:p w:rsidR="00147149" w:rsidRPr="00147149" w:rsidRDefault="00604548" w:rsidP="00CC1115">
      <w:pPr>
        <w:rPr>
          <w:rFonts w:asciiTheme="minorHAnsi" w:hAnsiTheme="minorHAnsi"/>
        </w:rPr>
      </w:pPr>
      <w:r>
        <w:rPr>
          <w:rFonts w:asciiTheme="minorHAnsi" w:hAnsiTheme="minorHAnsi"/>
        </w:rPr>
        <w:t>1.</w:t>
      </w:r>
      <w:r w:rsidR="001902B0">
        <w:rPr>
          <w:rFonts w:asciiTheme="minorHAnsi" w:hAnsiTheme="minorHAnsi"/>
        </w:rPr>
        <w:t>10</w:t>
      </w:r>
      <w:r w:rsidR="00147149">
        <w:rPr>
          <w:rFonts w:asciiTheme="minorHAnsi" w:hAnsiTheme="minorHAnsi"/>
        </w:rPr>
        <w:tab/>
        <w:t xml:space="preserve">The twelfth series of texts submitted by the Editorial Committee </w:t>
      </w:r>
      <w:r w:rsidR="00A14539">
        <w:rPr>
          <w:rFonts w:asciiTheme="minorHAnsi" w:hAnsiTheme="minorHAnsi"/>
        </w:rPr>
        <w:t xml:space="preserve">for first reading (B12) (Document 165) </w:t>
      </w:r>
      <w:r w:rsidR="00147149">
        <w:rPr>
          <w:rFonts w:asciiTheme="minorHAnsi" w:hAnsiTheme="minorHAnsi"/>
        </w:rPr>
        <w:t xml:space="preserve">was </w:t>
      </w:r>
      <w:r w:rsidR="00147149">
        <w:rPr>
          <w:rFonts w:asciiTheme="minorHAnsi" w:hAnsiTheme="minorHAnsi"/>
          <w:b/>
          <w:bCs/>
        </w:rPr>
        <w:t>approved</w:t>
      </w:r>
      <w:r w:rsidR="00147149">
        <w:rPr>
          <w:rFonts w:asciiTheme="minorHAnsi" w:hAnsiTheme="minorHAnsi"/>
        </w:rPr>
        <w:t>.</w:t>
      </w:r>
    </w:p>
    <w:p w:rsidR="004A192E" w:rsidRPr="00E65A58" w:rsidRDefault="004A192E" w:rsidP="00CC1115">
      <w:pPr>
        <w:pStyle w:val="Heading1"/>
        <w:rPr>
          <w:rFonts w:asciiTheme="minorHAnsi" w:hAnsiTheme="minorHAnsi"/>
          <w:szCs w:val="28"/>
        </w:rPr>
      </w:pPr>
      <w:r w:rsidRPr="00E65A58">
        <w:rPr>
          <w:rFonts w:asciiTheme="minorHAnsi" w:hAnsiTheme="minorHAnsi"/>
          <w:szCs w:val="28"/>
        </w:rPr>
        <w:lastRenderedPageBreak/>
        <w:t>2</w:t>
      </w:r>
      <w:r w:rsidRPr="00E65A58">
        <w:rPr>
          <w:rFonts w:asciiTheme="minorHAnsi" w:hAnsiTheme="minorHAnsi"/>
          <w:szCs w:val="28"/>
        </w:rPr>
        <w:tab/>
      </w:r>
      <w:r w:rsidR="0042060E">
        <w:rPr>
          <w:rFonts w:asciiTheme="minorHAnsi" w:hAnsiTheme="minorHAnsi"/>
          <w:szCs w:val="28"/>
        </w:rPr>
        <w:t>Twelfth</w:t>
      </w:r>
      <w:r w:rsidR="0042060E" w:rsidRPr="00B10BB0">
        <w:rPr>
          <w:rFonts w:asciiTheme="minorHAnsi" w:hAnsiTheme="minorHAnsi"/>
          <w:szCs w:val="28"/>
        </w:rPr>
        <w:t xml:space="preserve"> series of texts submitted by the Editorial Committee </w:t>
      </w:r>
      <w:r w:rsidR="00AB0F6E">
        <w:rPr>
          <w:rFonts w:asciiTheme="minorHAnsi" w:hAnsiTheme="minorHAnsi"/>
          <w:szCs w:val="28"/>
        </w:rPr>
        <w:t>–</w:t>
      </w:r>
      <w:r w:rsidR="0042060E" w:rsidRPr="00B10BB0">
        <w:rPr>
          <w:rFonts w:asciiTheme="minorHAnsi" w:hAnsiTheme="minorHAnsi"/>
          <w:szCs w:val="28"/>
        </w:rPr>
        <w:t xml:space="preserve"> </w:t>
      </w:r>
      <w:r w:rsidR="0042060E">
        <w:rPr>
          <w:rFonts w:asciiTheme="minorHAnsi" w:hAnsiTheme="minorHAnsi"/>
          <w:szCs w:val="28"/>
        </w:rPr>
        <w:t>second</w:t>
      </w:r>
      <w:r w:rsidR="0042060E" w:rsidRPr="00B10BB0">
        <w:rPr>
          <w:rFonts w:asciiTheme="minorHAnsi" w:hAnsiTheme="minorHAnsi"/>
          <w:szCs w:val="28"/>
        </w:rPr>
        <w:t xml:space="preserve"> reading </w:t>
      </w:r>
      <w:r w:rsidR="0042060E">
        <w:rPr>
          <w:rFonts w:asciiTheme="minorHAnsi" w:hAnsiTheme="minorHAnsi"/>
          <w:szCs w:val="28"/>
        </w:rPr>
        <w:t>(Document 165)</w:t>
      </w:r>
    </w:p>
    <w:p w:rsidR="004A192E" w:rsidRPr="00E65A58" w:rsidRDefault="004A192E" w:rsidP="00CC1115">
      <w:pPr>
        <w:rPr>
          <w:rFonts w:asciiTheme="minorHAnsi" w:hAnsiTheme="minorHAnsi"/>
          <w:b/>
        </w:rPr>
      </w:pPr>
      <w:r w:rsidRPr="00E65A58">
        <w:rPr>
          <w:rFonts w:asciiTheme="minorHAnsi" w:hAnsiTheme="minorHAnsi"/>
        </w:rPr>
        <w:t>2.1</w:t>
      </w:r>
      <w:r w:rsidRPr="00E65A58">
        <w:rPr>
          <w:rFonts w:asciiTheme="minorHAnsi" w:hAnsiTheme="minorHAnsi"/>
        </w:rPr>
        <w:tab/>
      </w:r>
      <w:r w:rsidR="0042060E" w:rsidRPr="0042060E">
        <w:rPr>
          <w:rFonts w:asciiTheme="minorHAnsi" w:hAnsiTheme="minorHAnsi"/>
        </w:rPr>
        <w:t xml:space="preserve">The </w:t>
      </w:r>
      <w:r w:rsidR="0042060E" w:rsidRPr="007C3899">
        <w:rPr>
          <w:rFonts w:asciiTheme="minorHAnsi" w:hAnsiTheme="minorHAnsi"/>
          <w:bCs/>
        </w:rPr>
        <w:t>twelfth</w:t>
      </w:r>
      <w:r w:rsidR="0042060E" w:rsidRPr="0042060E">
        <w:rPr>
          <w:rFonts w:asciiTheme="minorHAnsi" w:hAnsiTheme="minorHAnsi"/>
        </w:rPr>
        <w:t xml:space="preserve"> series of texts submitted by the </w:t>
      </w:r>
      <w:r w:rsidR="0042060E" w:rsidRPr="007C3899">
        <w:rPr>
          <w:rFonts w:asciiTheme="minorHAnsi" w:hAnsiTheme="minorHAnsi"/>
        </w:rPr>
        <w:t>Editorial Committee (Document 165</w:t>
      </w:r>
      <w:r w:rsidR="005F2AD6">
        <w:rPr>
          <w:rFonts w:asciiTheme="minorHAnsi" w:hAnsiTheme="minorHAnsi"/>
        </w:rPr>
        <w:t xml:space="preserve">) </w:t>
      </w:r>
      <w:r w:rsidR="0042060E" w:rsidRPr="0042060E">
        <w:rPr>
          <w:rFonts w:asciiTheme="minorHAnsi" w:hAnsiTheme="minorHAnsi"/>
        </w:rPr>
        <w:t xml:space="preserve">was </w:t>
      </w:r>
      <w:r w:rsidR="0042060E" w:rsidRPr="007C3899">
        <w:rPr>
          <w:rFonts w:asciiTheme="minorHAnsi" w:hAnsiTheme="minorHAnsi"/>
          <w:b/>
        </w:rPr>
        <w:t>approved</w:t>
      </w:r>
      <w:r w:rsidR="0042060E" w:rsidRPr="0042060E">
        <w:rPr>
          <w:rFonts w:asciiTheme="minorHAnsi" w:hAnsiTheme="minorHAnsi"/>
        </w:rPr>
        <w:t xml:space="preserve"> on second reading</w:t>
      </w:r>
      <w:r w:rsidR="0042060E">
        <w:rPr>
          <w:rFonts w:asciiTheme="minorHAnsi" w:hAnsiTheme="minorHAnsi"/>
          <w:b/>
        </w:rPr>
        <w:t>.</w:t>
      </w:r>
    </w:p>
    <w:p w:rsidR="004A192E" w:rsidRPr="00E65A58" w:rsidRDefault="004A192E" w:rsidP="00CC1115">
      <w:pPr>
        <w:pStyle w:val="Heading1"/>
        <w:rPr>
          <w:rFonts w:asciiTheme="minorHAnsi" w:hAnsiTheme="minorHAnsi"/>
          <w:szCs w:val="28"/>
        </w:rPr>
      </w:pPr>
      <w:r w:rsidRPr="00E65A58">
        <w:rPr>
          <w:rFonts w:asciiTheme="minorHAnsi" w:hAnsiTheme="minorHAnsi"/>
          <w:szCs w:val="28"/>
        </w:rPr>
        <w:t>3</w:t>
      </w:r>
      <w:r w:rsidRPr="00E65A58">
        <w:rPr>
          <w:rFonts w:asciiTheme="minorHAnsi" w:hAnsiTheme="minorHAnsi"/>
          <w:szCs w:val="28"/>
        </w:rPr>
        <w:tab/>
      </w:r>
      <w:r w:rsidR="0042060E">
        <w:rPr>
          <w:rFonts w:asciiTheme="minorHAnsi" w:hAnsiTheme="minorHAnsi"/>
          <w:szCs w:val="28"/>
        </w:rPr>
        <w:t>Thirteenth</w:t>
      </w:r>
      <w:r w:rsidR="0042060E" w:rsidRPr="00B10BB0">
        <w:rPr>
          <w:rFonts w:asciiTheme="minorHAnsi" w:hAnsiTheme="minorHAnsi"/>
          <w:szCs w:val="28"/>
        </w:rPr>
        <w:t xml:space="preserve"> series of texts submitted by the Editorial Committee for first reading</w:t>
      </w:r>
      <w:r w:rsidR="00E55397">
        <w:rPr>
          <w:rFonts w:asciiTheme="minorHAnsi" w:hAnsiTheme="minorHAnsi"/>
          <w:szCs w:val="28"/>
        </w:rPr>
        <w:t xml:space="preserve"> (</w:t>
      </w:r>
      <w:r w:rsidR="00E55397" w:rsidRPr="00F44A55">
        <w:rPr>
          <w:rFonts w:asciiTheme="minorHAnsi" w:hAnsiTheme="minorHAnsi"/>
          <w:szCs w:val="28"/>
        </w:rPr>
        <w:t>B13</w:t>
      </w:r>
      <w:r w:rsidR="00E55397">
        <w:rPr>
          <w:rFonts w:asciiTheme="minorHAnsi" w:hAnsiTheme="minorHAnsi"/>
          <w:szCs w:val="28"/>
        </w:rPr>
        <w:t>)</w:t>
      </w:r>
      <w:r w:rsidR="0042060E" w:rsidRPr="00B10BB0">
        <w:rPr>
          <w:rFonts w:asciiTheme="minorHAnsi" w:hAnsiTheme="minorHAnsi"/>
          <w:szCs w:val="28"/>
        </w:rPr>
        <w:t xml:space="preserve"> </w:t>
      </w:r>
      <w:r w:rsidRPr="00E65A58">
        <w:rPr>
          <w:rFonts w:asciiTheme="minorHAnsi" w:hAnsiTheme="minorHAnsi"/>
          <w:szCs w:val="28"/>
        </w:rPr>
        <w:t>(Document</w:t>
      </w:r>
      <w:r w:rsidR="0042060E">
        <w:rPr>
          <w:rFonts w:asciiTheme="minorHAnsi" w:hAnsiTheme="minorHAnsi"/>
          <w:szCs w:val="28"/>
        </w:rPr>
        <w:t xml:space="preserve"> 166</w:t>
      </w:r>
      <w:r w:rsidRPr="00E65A58">
        <w:rPr>
          <w:rFonts w:asciiTheme="minorHAnsi" w:hAnsiTheme="minorHAnsi"/>
          <w:szCs w:val="28"/>
        </w:rPr>
        <w:t>)</w:t>
      </w:r>
    </w:p>
    <w:p w:rsidR="00B54FF6" w:rsidRDefault="00A14539" w:rsidP="00CC1115">
      <w:pPr>
        <w:rPr>
          <w:rFonts w:asciiTheme="minorHAnsi" w:hAnsiTheme="minorHAnsi"/>
          <w:bCs/>
        </w:rPr>
      </w:pPr>
      <w:r>
        <w:rPr>
          <w:rFonts w:asciiTheme="minorHAnsi" w:hAnsiTheme="minorHAnsi"/>
          <w:b/>
        </w:rPr>
        <w:t xml:space="preserve">Draft </w:t>
      </w:r>
      <w:r w:rsidR="00B54FF6">
        <w:rPr>
          <w:rFonts w:asciiTheme="minorHAnsi" w:hAnsiTheme="minorHAnsi"/>
          <w:b/>
        </w:rPr>
        <w:t>Resolution 21 (Rev. Busan, 2014) – Measures concerning alternative calling procedures on international telecommunication networks</w:t>
      </w:r>
    </w:p>
    <w:p w:rsidR="001700B6" w:rsidRPr="001700B6" w:rsidRDefault="001902B0" w:rsidP="00CC1115">
      <w:pPr>
        <w:rPr>
          <w:rFonts w:asciiTheme="minorHAnsi" w:hAnsiTheme="minorHAnsi"/>
          <w:bCs/>
        </w:rPr>
      </w:pPr>
      <w:r>
        <w:rPr>
          <w:rFonts w:asciiTheme="minorHAnsi" w:hAnsiTheme="minorHAnsi"/>
          <w:bCs/>
        </w:rPr>
        <w:t>3.1</w:t>
      </w:r>
      <w:r w:rsidR="0068204B">
        <w:rPr>
          <w:rFonts w:asciiTheme="minorHAnsi" w:hAnsiTheme="minorHAnsi"/>
          <w:bCs/>
        </w:rPr>
        <w:tab/>
      </w:r>
      <w:r w:rsidR="00A14539" w:rsidRPr="00A14539">
        <w:rPr>
          <w:rFonts w:asciiTheme="minorHAnsi" w:hAnsiTheme="minorHAnsi"/>
          <w:b/>
        </w:rPr>
        <w:t>A</w:t>
      </w:r>
      <w:r w:rsidR="001700B6">
        <w:rPr>
          <w:rFonts w:asciiTheme="minorHAnsi" w:hAnsiTheme="minorHAnsi"/>
          <w:b/>
        </w:rPr>
        <w:t>dopted</w:t>
      </w:r>
      <w:r w:rsidR="001700B6">
        <w:rPr>
          <w:rFonts w:asciiTheme="minorHAnsi" w:hAnsiTheme="minorHAnsi"/>
          <w:bCs/>
        </w:rPr>
        <w:t xml:space="preserve">. </w:t>
      </w:r>
    </w:p>
    <w:p w:rsidR="00B54FF6" w:rsidRDefault="00A14539" w:rsidP="00CC1115">
      <w:pPr>
        <w:rPr>
          <w:rFonts w:asciiTheme="minorHAnsi" w:hAnsiTheme="minorHAnsi"/>
          <w:bCs/>
        </w:rPr>
      </w:pPr>
      <w:r>
        <w:rPr>
          <w:rFonts w:asciiTheme="minorHAnsi" w:hAnsiTheme="minorHAnsi"/>
          <w:b/>
        </w:rPr>
        <w:t xml:space="preserve">Draft </w:t>
      </w:r>
      <w:r w:rsidR="00284892">
        <w:rPr>
          <w:rFonts w:asciiTheme="minorHAnsi" w:hAnsiTheme="minorHAnsi"/>
          <w:b/>
        </w:rPr>
        <w:t>Resolution 166 (Rev. Busan, 2014) – Number of vice-chairmen of Sector advisory groups, study groups and other groups</w:t>
      </w:r>
    </w:p>
    <w:p w:rsidR="00284892" w:rsidRDefault="001902B0" w:rsidP="00CC1115">
      <w:pPr>
        <w:rPr>
          <w:rFonts w:asciiTheme="minorHAnsi" w:hAnsiTheme="minorHAnsi"/>
          <w:bCs/>
        </w:rPr>
      </w:pPr>
      <w:r>
        <w:rPr>
          <w:rFonts w:asciiTheme="minorHAnsi" w:hAnsiTheme="minorHAnsi"/>
          <w:bCs/>
        </w:rPr>
        <w:t>3.2</w:t>
      </w:r>
      <w:r w:rsidR="0068204B">
        <w:rPr>
          <w:rFonts w:asciiTheme="minorHAnsi" w:hAnsiTheme="minorHAnsi"/>
          <w:bCs/>
        </w:rPr>
        <w:tab/>
        <w:t xml:space="preserve">The </w:t>
      </w:r>
      <w:r w:rsidR="0068204B">
        <w:rPr>
          <w:rFonts w:asciiTheme="minorHAnsi" w:hAnsiTheme="minorHAnsi"/>
          <w:b/>
        </w:rPr>
        <w:t>delegate of Guyana</w:t>
      </w:r>
      <w:r w:rsidR="0068204B">
        <w:rPr>
          <w:rFonts w:asciiTheme="minorHAnsi" w:hAnsiTheme="minorHAnsi"/>
          <w:bCs/>
        </w:rPr>
        <w:t xml:space="preserve"> </w:t>
      </w:r>
      <w:r w:rsidR="001700B6">
        <w:rPr>
          <w:rFonts w:asciiTheme="minorHAnsi" w:hAnsiTheme="minorHAnsi"/>
          <w:bCs/>
        </w:rPr>
        <w:t>queried whether guideline 6 in</w:t>
      </w:r>
      <w:r>
        <w:rPr>
          <w:rFonts w:asciiTheme="minorHAnsi" w:hAnsiTheme="minorHAnsi"/>
          <w:bCs/>
        </w:rPr>
        <w:t xml:space="preserve"> the</w:t>
      </w:r>
      <w:r w:rsidR="001700B6">
        <w:rPr>
          <w:rFonts w:asciiTheme="minorHAnsi" w:hAnsiTheme="minorHAnsi"/>
          <w:bCs/>
        </w:rPr>
        <w:t xml:space="preserve"> </w:t>
      </w:r>
      <w:r w:rsidR="001700B6">
        <w:rPr>
          <w:rFonts w:asciiTheme="minorHAnsi" w:hAnsiTheme="minorHAnsi"/>
          <w:bCs/>
          <w:i/>
          <w:iCs/>
        </w:rPr>
        <w:t>resolves to invite</w:t>
      </w:r>
      <w:r w:rsidR="00A14539">
        <w:rPr>
          <w:rFonts w:asciiTheme="minorHAnsi" w:hAnsiTheme="minorHAnsi"/>
          <w:bCs/>
        </w:rPr>
        <w:t xml:space="preserve"> </w:t>
      </w:r>
      <w:r>
        <w:rPr>
          <w:rFonts w:asciiTheme="minorHAnsi" w:hAnsiTheme="minorHAnsi"/>
          <w:bCs/>
        </w:rPr>
        <w:t xml:space="preserve">section of the draft resolution </w:t>
      </w:r>
      <w:r w:rsidR="001700B6">
        <w:rPr>
          <w:rFonts w:asciiTheme="minorHAnsi" w:hAnsiTheme="minorHAnsi"/>
          <w:bCs/>
        </w:rPr>
        <w:t xml:space="preserve">should </w:t>
      </w:r>
      <w:r w:rsidR="002E3B7E">
        <w:rPr>
          <w:rFonts w:asciiTheme="minorHAnsi" w:hAnsiTheme="minorHAnsi"/>
          <w:bCs/>
        </w:rPr>
        <w:t xml:space="preserve">be changed to </w:t>
      </w:r>
      <w:r w:rsidR="001700B6">
        <w:rPr>
          <w:rFonts w:asciiTheme="minorHAnsi" w:hAnsiTheme="minorHAnsi"/>
          <w:bCs/>
        </w:rPr>
        <w:t xml:space="preserve">refer to equitable geographical distribution </w:t>
      </w:r>
      <w:r w:rsidR="00A14539">
        <w:rPr>
          <w:rFonts w:asciiTheme="minorHAnsi" w:hAnsiTheme="minorHAnsi"/>
          <w:bCs/>
        </w:rPr>
        <w:t>“</w:t>
      </w:r>
      <w:r w:rsidR="001700B6">
        <w:rPr>
          <w:rFonts w:asciiTheme="minorHAnsi" w:hAnsiTheme="minorHAnsi"/>
          <w:bCs/>
        </w:rPr>
        <w:t>within</w:t>
      </w:r>
      <w:r w:rsidR="00A14539">
        <w:rPr>
          <w:rFonts w:asciiTheme="minorHAnsi" w:hAnsiTheme="minorHAnsi"/>
          <w:bCs/>
        </w:rPr>
        <w:t>”</w:t>
      </w:r>
      <w:r w:rsidR="001700B6">
        <w:rPr>
          <w:rFonts w:asciiTheme="minorHAnsi" w:hAnsiTheme="minorHAnsi"/>
          <w:bCs/>
        </w:rPr>
        <w:t xml:space="preserve">, rather than </w:t>
      </w:r>
      <w:r w:rsidR="00A14539">
        <w:rPr>
          <w:rFonts w:asciiTheme="minorHAnsi" w:hAnsiTheme="minorHAnsi"/>
          <w:bCs/>
        </w:rPr>
        <w:t>“</w:t>
      </w:r>
      <w:r w:rsidR="001700B6">
        <w:rPr>
          <w:rFonts w:asciiTheme="minorHAnsi" w:hAnsiTheme="minorHAnsi"/>
          <w:bCs/>
        </w:rPr>
        <w:t>among</w:t>
      </w:r>
      <w:r w:rsidR="00A14539">
        <w:rPr>
          <w:rFonts w:asciiTheme="minorHAnsi" w:hAnsiTheme="minorHAnsi"/>
          <w:bCs/>
        </w:rPr>
        <w:t>”</w:t>
      </w:r>
      <w:r w:rsidR="001700B6">
        <w:rPr>
          <w:rFonts w:asciiTheme="minorHAnsi" w:hAnsiTheme="minorHAnsi"/>
          <w:bCs/>
        </w:rPr>
        <w:t>, ITU regions, as the existing formulation seemed redundant.</w:t>
      </w:r>
    </w:p>
    <w:p w:rsidR="001700B6" w:rsidRDefault="001902B0" w:rsidP="00CC1115">
      <w:pPr>
        <w:rPr>
          <w:rFonts w:asciiTheme="minorHAnsi" w:hAnsiTheme="minorHAnsi"/>
          <w:bCs/>
        </w:rPr>
      </w:pPr>
      <w:r>
        <w:rPr>
          <w:rFonts w:asciiTheme="minorHAnsi" w:hAnsiTheme="minorHAnsi"/>
          <w:bCs/>
        </w:rPr>
        <w:t>3.3</w:t>
      </w:r>
      <w:r w:rsidR="001700B6">
        <w:rPr>
          <w:rFonts w:asciiTheme="minorHAnsi" w:hAnsiTheme="minorHAnsi"/>
          <w:bCs/>
        </w:rPr>
        <w:tab/>
        <w:t xml:space="preserve">The </w:t>
      </w:r>
      <w:r w:rsidR="001700B6">
        <w:rPr>
          <w:rFonts w:asciiTheme="minorHAnsi" w:hAnsiTheme="minorHAnsi"/>
          <w:b/>
        </w:rPr>
        <w:t>Chairman of Committee 5</w:t>
      </w:r>
      <w:r w:rsidR="001700B6">
        <w:rPr>
          <w:rFonts w:asciiTheme="minorHAnsi" w:hAnsiTheme="minorHAnsi"/>
          <w:bCs/>
        </w:rPr>
        <w:t xml:space="preserve"> explained that the text submitted represented the broad consensus achieved within Committee 5 and urged delegations to leave it unaltered.</w:t>
      </w:r>
    </w:p>
    <w:p w:rsidR="00E62126" w:rsidRPr="00E62126" w:rsidRDefault="001902B0" w:rsidP="00CC1115">
      <w:pPr>
        <w:rPr>
          <w:rFonts w:asciiTheme="minorHAnsi" w:hAnsiTheme="minorHAnsi"/>
          <w:bCs/>
        </w:rPr>
      </w:pPr>
      <w:r>
        <w:rPr>
          <w:rFonts w:asciiTheme="minorHAnsi" w:hAnsiTheme="minorHAnsi"/>
          <w:bCs/>
        </w:rPr>
        <w:t>3.4</w:t>
      </w:r>
      <w:r w:rsidR="00E62126">
        <w:rPr>
          <w:rFonts w:asciiTheme="minorHAnsi" w:hAnsiTheme="minorHAnsi"/>
          <w:bCs/>
        </w:rPr>
        <w:tab/>
      </w:r>
      <w:r w:rsidR="00A14539">
        <w:rPr>
          <w:rFonts w:asciiTheme="minorHAnsi" w:hAnsiTheme="minorHAnsi"/>
          <w:bCs/>
        </w:rPr>
        <w:t xml:space="preserve">Draft </w:t>
      </w:r>
      <w:r w:rsidR="00E62126">
        <w:rPr>
          <w:rFonts w:asciiTheme="minorHAnsi" w:hAnsiTheme="minorHAnsi"/>
          <w:bCs/>
        </w:rPr>
        <w:t xml:space="preserve">Resolution 166 (Rev. Busan, 2014) was </w:t>
      </w:r>
      <w:r w:rsidR="00E62126">
        <w:rPr>
          <w:rFonts w:asciiTheme="minorHAnsi" w:hAnsiTheme="minorHAnsi"/>
          <w:b/>
        </w:rPr>
        <w:t>adopted</w:t>
      </w:r>
      <w:r w:rsidR="00E62126">
        <w:rPr>
          <w:rFonts w:asciiTheme="minorHAnsi" w:hAnsiTheme="minorHAnsi"/>
          <w:bCs/>
        </w:rPr>
        <w:t>.</w:t>
      </w:r>
    </w:p>
    <w:p w:rsidR="00284892" w:rsidRDefault="00A14539" w:rsidP="00CC1115">
      <w:pPr>
        <w:rPr>
          <w:rFonts w:asciiTheme="minorHAnsi" w:hAnsiTheme="minorHAnsi"/>
          <w:bCs/>
        </w:rPr>
      </w:pPr>
      <w:r>
        <w:rPr>
          <w:rFonts w:asciiTheme="minorHAnsi" w:hAnsiTheme="minorHAnsi"/>
          <w:b/>
        </w:rPr>
        <w:t xml:space="preserve">Draft </w:t>
      </w:r>
      <w:r w:rsidR="00284892">
        <w:rPr>
          <w:rFonts w:asciiTheme="minorHAnsi" w:hAnsiTheme="minorHAnsi"/>
          <w:b/>
        </w:rPr>
        <w:t xml:space="preserve">Resolution 169 (Rev. Busan, 2014) – Admission of </w:t>
      </w:r>
      <w:r w:rsidR="00284892" w:rsidRPr="009D7761">
        <w:rPr>
          <w:rFonts w:asciiTheme="minorHAnsi" w:hAnsiTheme="minorHAnsi"/>
          <w:b/>
        </w:rPr>
        <w:t>academia</w:t>
      </w:r>
      <w:r w:rsidR="00284892">
        <w:rPr>
          <w:rFonts w:asciiTheme="minorHAnsi" w:hAnsiTheme="minorHAnsi"/>
          <w:b/>
        </w:rPr>
        <w:t xml:space="preserve"> to participate in the work of the Union</w:t>
      </w:r>
    </w:p>
    <w:p w:rsidR="00284892" w:rsidRPr="00E62126" w:rsidRDefault="001902B0" w:rsidP="00CC1115">
      <w:pPr>
        <w:rPr>
          <w:rFonts w:asciiTheme="minorHAnsi" w:hAnsiTheme="minorHAnsi"/>
          <w:bCs/>
        </w:rPr>
      </w:pPr>
      <w:r>
        <w:rPr>
          <w:rFonts w:asciiTheme="minorHAnsi" w:hAnsiTheme="minorHAnsi"/>
          <w:bCs/>
        </w:rPr>
        <w:t>3.5</w:t>
      </w:r>
      <w:r w:rsidR="00284892">
        <w:rPr>
          <w:rFonts w:asciiTheme="minorHAnsi" w:hAnsiTheme="minorHAnsi"/>
          <w:bCs/>
        </w:rPr>
        <w:tab/>
      </w:r>
      <w:r w:rsidR="00E62126">
        <w:rPr>
          <w:rFonts w:asciiTheme="minorHAnsi" w:hAnsiTheme="minorHAnsi"/>
          <w:b/>
        </w:rPr>
        <w:t>Adopted</w:t>
      </w:r>
      <w:r w:rsidR="00E62126">
        <w:rPr>
          <w:rFonts w:asciiTheme="minorHAnsi" w:hAnsiTheme="minorHAnsi"/>
          <w:bCs/>
        </w:rPr>
        <w:t>.</w:t>
      </w:r>
    </w:p>
    <w:p w:rsidR="00284892" w:rsidRDefault="00284892" w:rsidP="00CC1115">
      <w:pPr>
        <w:rPr>
          <w:rFonts w:asciiTheme="minorHAnsi" w:hAnsiTheme="minorHAnsi"/>
          <w:bCs/>
        </w:rPr>
      </w:pPr>
      <w:r>
        <w:rPr>
          <w:rFonts w:asciiTheme="minorHAnsi" w:hAnsiTheme="minorHAnsi"/>
          <w:b/>
        </w:rPr>
        <w:t>Draft Resolution COM5/5 (Busan, 2014) – Assisting Member States to combat and deter mobile device theft</w:t>
      </w:r>
    </w:p>
    <w:p w:rsidR="00F1207D" w:rsidRPr="00B919E2" w:rsidRDefault="001902B0" w:rsidP="00CC1115">
      <w:r>
        <w:rPr>
          <w:rFonts w:asciiTheme="minorHAnsi" w:hAnsiTheme="minorHAnsi"/>
          <w:bCs/>
        </w:rPr>
        <w:t>3.6</w:t>
      </w:r>
      <w:r w:rsidR="00284892">
        <w:rPr>
          <w:rFonts w:asciiTheme="minorHAnsi" w:hAnsiTheme="minorHAnsi"/>
          <w:bCs/>
        </w:rPr>
        <w:tab/>
      </w:r>
      <w:r w:rsidR="00B919E2">
        <w:rPr>
          <w:rFonts w:asciiTheme="minorHAnsi" w:hAnsiTheme="minorHAnsi"/>
          <w:bCs/>
        </w:rPr>
        <w:t xml:space="preserve">The </w:t>
      </w:r>
      <w:r w:rsidR="00B919E2">
        <w:rPr>
          <w:rFonts w:asciiTheme="minorHAnsi" w:hAnsiTheme="minorHAnsi"/>
          <w:b/>
        </w:rPr>
        <w:t>delegate of the Russian Federation</w:t>
      </w:r>
      <w:r w:rsidR="00BE50B6">
        <w:t xml:space="preserve"> said that d</w:t>
      </w:r>
      <w:r w:rsidR="00B919E2">
        <w:t>raft Resolution COM5/5 (Busa</w:t>
      </w:r>
      <w:r w:rsidR="00BE50B6">
        <w:t>n, 2014) was closely linked to d</w:t>
      </w:r>
      <w:r w:rsidR="00B919E2">
        <w:t>raft Resolution COM5/4 (Busan, 2014), on combating counterfeit telecommunication/information and communication technology devices (Document 158)</w:t>
      </w:r>
      <w:r w:rsidR="00BE50B6">
        <w:t xml:space="preserve">, which had been discussed at the </w:t>
      </w:r>
      <w:r w:rsidR="003E4BA0">
        <w:t>fifteenth</w:t>
      </w:r>
      <w:r w:rsidR="00BE50B6">
        <w:t xml:space="preserve"> plenary meeting and referred back to Committee 5</w:t>
      </w:r>
      <w:r w:rsidR="00B919E2">
        <w:t>. He suggested that consideration of the former</w:t>
      </w:r>
      <w:r w:rsidR="00BE50B6">
        <w:t xml:space="preserve"> draft resolution</w:t>
      </w:r>
      <w:r w:rsidR="00B919E2">
        <w:t xml:space="preserve"> be deferred until consensus had been reached on the latter.</w:t>
      </w:r>
    </w:p>
    <w:p w:rsidR="002C7575" w:rsidRDefault="002C7575" w:rsidP="00CC1115">
      <w:pPr>
        <w:rPr>
          <w:rFonts w:asciiTheme="minorHAnsi" w:hAnsiTheme="minorHAnsi"/>
          <w:bCs/>
        </w:rPr>
      </w:pPr>
      <w:r>
        <w:rPr>
          <w:rFonts w:asciiTheme="minorHAnsi" w:hAnsiTheme="minorHAnsi"/>
          <w:bCs/>
        </w:rPr>
        <w:t>3.</w:t>
      </w:r>
      <w:r w:rsidR="001902B0">
        <w:rPr>
          <w:rFonts w:asciiTheme="minorHAnsi" w:hAnsiTheme="minorHAnsi"/>
          <w:bCs/>
        </w:rPr>
        <w:t>7</w:t>
      </w:r>
      <w:r>
        <w:rPr>
          <w:rFonts w:asciiTheme="minorHAnsi" w:hAnsiTheme="minorHAnsi"/>
          <w:bCs/>
        </w:rPr>
        <w:tab/>
      </w:r>
      <w:r w:rsidR="00B919E2">
        <w:rPr>
          <w:rFonts w:asciiTheme="minorHAnsi" w:hAnsiTheme="minorHAnsi"/>
          <w:bCs/>
        </w:rPr>
        <w:t xml:space="preserve">The </w:t>
      </w:r>
      <w:r w:rsidR="00B919E2">
        <w:rPr>
          <w:rFonts w:asciiTheme="minorHAnsi" w:hAnsiTheme="minorHAnsi"/>
          <w:b/>
        </w:rPr>
        <w:t>delegate of the United Kingdom</w:t>
      </w:r>
      <w:r w:rsidR="00BE50B6">
        <w:rPr>
          <w:rFonts w:asciiTheme="minorHAnsi" w:hAnsiTheme="minorHAnsi"/>
          <w:bCs/>
        </w:rPr>
        <w:t xml:space="preserve"> suggested that, in d</w:t>
      </w:r>
      <w:r w:rsidR="00B919E2">
        <w:rPr>
          <w:rFonts w:asciiTheme="minorHAnsi" w:hAnsiTheme="minorHAnsi"/>
          <w:bCs/>
        </w:rPr>
        <w:t>raft</w:t>
      </w:r>
      <w:r w:rsidR="00A641DC">
        <w:rPr>
          <w:rFonts w:asciiTheme="minorHAnsi" w:hAnsiTheme="minorHAnsi"/>
          <w:bCs/>
        </w:rPr>
        <w:t xml:space="preserve"> Resolution COM5/4</w:t>
      </w:r>
      <w:r w:rsidR="00B919E2">
        <w:rPr>
          <w:rFonts w:asciiTheme="minorHAnsi" w:hAnsiTheme="minorHAnsi"/>
          <w:bCs/>
        </w:rPr>
        <w:t xml:space="preserve">, </w:t>
      </w:r>
      <w:r w:rsidR="00BE50B6">
        <w:rPr>
          <w:rFonts w:asciiTheme="minorHAnsi" w:hAnsiTheme="minorHAnsi"/>
          <w:bCs/>
        </w:rPr>
        <w:t xml:space="preserve">the text of </w:t>
      </w:r>
      <w:r w:rsidR="002A3877">
        <w:rPr>
          <w:rFonts w:asciiTheme="minorHAnsi" w:hAnsiTheme="minorHAnsi"/>
          <w:bCs/>
          <w:i/>
          <w:iCs/>
        </w:rPr>
        <w:t>recognizing</w:t>
      </w:r>
      <w:r w:rsidR="002A3877">
        <w:rPr>
          <w:rFonts w:asciiTheme="minorHAnsi" w:hAnsiTheme="minorHAnsi"/>
          <w:bCs/>
        </w:rPr>
        <w:t xml:space="preserve"> </w:t>
      </w:r>
      <w:r w:rsidR="002A3877" w:rsidRPr="00C50153">
        <w:rPr>
          <w:rFonts w:asciiTheme="minorHAnsi" w:hAnsiTheme="minorHAnsi"/>
          <w:bCs/>
          <w:i/>
          <w:iCs/>
        </w:rPr>
        <w:t>e)</w:t>
      </w:r>
      <w:r w:rsidR="002A3877">
        <w:rPr>
          <w:rFonts w:asciiTheme="minorHAnsi" w:hAnsiTheme="minorHAnsi"/>
          <w:bCs/>
        </w:rPr>
        <w:t xml:space="preserve">, which referred to </w:t>
      </w:r>
      <w:r w:rsidR="002A3877" w:rsidRPr="00ED689D">
        <w:rPr>
          <w:rFonts w:eastAsia="MS Mincho"/>
        </w:rPr>
        <w:t>Recommendation ITU</w:t>
      </w:r>
      <w:r w:rsidR="002A3877" w:rsidRPr="00ED689D">
        <w:rPr>
          <w:rFonts w:eastAsia="MS Mincho"/>
        </w:rPr>
        <w:noBreakHyphen/>
        <w:t>T X.1255</w:t>
      </w:r>
      <w:r w:rsidR="002A3877">
        <w:rPr>
          <w:rFonts w:eastAsia="MS Mincho"/>
        </w:rPr>
        <w:t>,</w:t>
      </w:r>
      <w:r w:rsidR="002A3877">
        <w:rPr>
          <w:rFonts w:asciiTheme="minorHAnsi" w:hAnsiTheme="minorHAnsi"/>
          <w:bCs/>
        </w:rPr>
        <w:t xml:space="preserve"> could be moved to</w:t>
      </w:r>
      <w:r w:rsidR="001902B0">
        <w:rPr>
          <w:rFonts w:asciiTheme="minorHAnsi" w:hAnsiTheme="minorHAnsi"/>
          <w:bCs/>
        </w:rPr>
        <w:t xml:space="preserve"> the</w:t>
      </w:r>
      <w:r w:rsidR="002A3877">
        <w:rPr>
          <w:rFonts w:asciiTheme="minorHAnsi" w:hAnsiTheme="minorHAnsi"/>
          <w:bCs/>
        </w:rPr>
        <w:t xml:space="preserve"> </w:t>
      </w:r>
      <w:r w:rsidR="002A3877">
        <w:rPr>
          <w:rFonts w:asciiTheme="minorHAnsi" w:hAnsiTheme="minorHAnsi"/>
          <w:bCs/>
          <w:i/>
          <w:iCs/>
        </w:rPr>
        <w:t>recalling</w:t>
      </w:r>
      <w:r w:rsidR="002A3877">
        <w:rPr>
          <w:rFonts w:asciiTheme="minorHAnsi" w:hAnsiTheme="minorHAnsi"/>
          <w:bCs/>
        </w:rPr>
        <w:t xml:space="preserve"> </w:t>
      </w:r>
      <w:r w:rsidR="001902B0">
        <w:rPr>
          <w:rFonts w:asciiTheme="minorHAnsi" w:hAnsiTheme="minorHAnsi"/>
          <w:bCs/>
        </w:rPr>
        <w:t xml:space="preserve">section </w:t>
      </w:r>
      <w:r w:rsidR="002A3877">
        <w:rPr>
          <w:rFonts w:asciiTheme="minorHAnsi" w:hAnsiTheme="minorHAnsi"/>
          <w:bCs/>
        </w:rPr>
        <w:t>so as to accommodate certain concerns expressed</w:t>
      </w:r>
      <w:r w:rsidR="001902B0">
        <w:rPr>
          <w:rFonts w:asciiTheme="minorHAnsi" w:hAnsiTheme="minorHAnsi"/>
          <w:bCs/>
        </w:rPr>
        <w:t xml:space="preserve">, including </w:t>
      </w:r>
      <w:r w:rsidR="00A14539">
        <w:rPr>
          <w:rFonts w:asciiTheme="minorHAnsi" w:hAnsiTheme="minorHAnsi"/>
          <w:bCs/>
        </w:rPr>
        <w:t>by the delegate</w:t>
      </w:r>
      <w:r w:rsidR="002A3877">
        <w:rPr>
          <w:rFonts w:asciiTheme="minorHAnsi" w:hAnsiTheme="minorHAnsi"/>
          <w:bCs/>
        </w:rPr>
        <w:t xml:space="preserve"> of the Islamic Republic of Iran</w:t>
      </w:r>
      <w:r w:rsidR="001902B0">
        <w:rPr>
          <w:rFonts w:asciiTheme="minorHAnsi" w:hAnsiTheme="minorHAnsi"/>
          <w:bCs/>
        </w:rPr>
        <w:t>.</w:t>
      </w:r>
      <w:r w:rsidR="002A3877">
        <w:rPr>
          <w:rFonts w:asciiTheme="minorHAnsi" w:hAnsiTheme="minorHAnsi"/>
          <w:bCs/>
        </w:rPr>
        <w:t xml:space="preserve"> That </w:t>
      </w:r>
      <w:r w:rsidR="009B7630">
        <w:rPr>
          <w:rFonts w:asciiTheme="minorHAnsi" w:hAnsiTheme="minorHAnsi"/>
          <w:bCs/>
        </w:rPr>
        <w:t>might</w:t>
      </w:r>
      <w:r w:rsidR="002A3877">
        <w:rPr>
          <w:rFonts w:asciiTheme="minorHAnsi" w:hAnsiTheme="minorHAnsi"/>
          <w:bCs/>
        </w:rPr>
        <w:t xml:space="preserve"> enable consensus to be achieved on </w:t>
      </w:r>
      <w:r w:rsidR="00BE50B6">
        <w:rPr>
          <w:rFonts w:asciiTheme="minorHAnsi" w:hAnsiTheme="minorHAnsi"/>
          <w:bCs/>
        </w:rPr>
        <w:t>d</w:t>
      </w:r>
      <w:r w:rsidR="002A3877">
        <w:rPr>
          <w:rFonts w:asciiTheme="minorHAnsi" w:hAnsiTheme="minorHAnsi"/>
          <w:bCs/>
        </w:rPr>
        <w:t xml:space="preserve">raft Resolution COM5/4, allowing progress to be made on </w:t>
      </w:r>
      <w:r w:rsidR="00C50153">
        <w:rPr>
          <w:rFonts w:asciiTheme="minorHAnsi" w:hAnsiTheme="minorHAnsi"/>
          <w:bCs/>
        </w:rPr>
        <w:t xml:space="preserve">that and </w:t>
      </w:r>
      <w:r w:rsidR="002A3877">
        <w:rPr>
          <w:rFonts w:asciiTheme="minorHAnsi" w:hAnsiTheme="minorHAnsi"/>
          <w:bCs/>
        </w:rPr>
        <w:t>other resolutions.</w:t>
      </w:r>
    </w:p>
    <w:p w:rsidR="002A3877" w:rsidRDefault="002A3877" w:rsidP="00CC1115">
      <w:pPr>
        <w:rPr>
          <w:rFonts w:eastAsia="MS Mincho"/>
        </w:rPr>
      </w:pPr>
      <w:r>
        <w:rPr>
          <w:rFonts w:asciiTheme="minorHAnsi" w:hAnsiTheme="minorHAnsi"/>
          <w:bCs/>
        </w:rPr>
        <w:t>3.</w:t>
      </w:r>
      <w:r w:rsidR="001902B0">
        <w:rPr>
          <w:rFonts w:asciiTheme="minorHAnsi" w:hAnsiTheme="minorHAnsi"/>
          <w:bCs/>
        </w:rPr>
        <w:t>8</w:t>
      </w:r>
      <w:r>
        <w:rPr>
          <w:rFonts w:asciiTheme="minorHAnsi" w:hAnsiTheme="minorHAnsi"/>
          <w:bCs/>
        </w:rPr>
        <w:tab/>
        <w:t xml:space="preserve">The </w:t>
      </w:r>
      <w:r>
        <w:rPr>
          <w:rFonts w:asciiTheme="minorHAnsi" w:hAnsiTheme="minorHAnsi"/>
          <w:b/>
        </w:rPr>
        <w:t>delegate of the Islamic Republic of Iran</w:t>
      </w:r>
      <w:r>
        <w:t xml:space="preserve"> said that, after examining various </w:t>
      </w:r>
      <w:r w:rsidR="00D96E88">
        <w:t xml:space="preserve">other </w:t>
      </w:r>
      <w:r>
        <w:t xml:space="preserve">resolutions in which </w:t>
      </w:r>
      <w:r w:rsidRPr="00ED689D">
        <w:rPr>
          <w:rFonts w:eastAsia="MS Mincho"/>
        </w:rPr>
        <w:t>Recommendation ITU</w:t>
      </w:r>
      <w:r w:rsidRPr="00ED689D">
        <w:rPr>
          <w:rFonts w:eastAsia="MS Mincho"/>
        </w:rPr>
        <w:noBreakHyphen/>
        <w:t>T X.1255</w:t>
      </w:r>
      <w:r>
        <w:rPr>
          <w:rFonts w:eastAsia="MS Mincho"/>
        </w:rPr>
        <w:t xml:space="preserve"> was also referred to </w:t>
      </w:r>
      <w:r w:rsidR="001902B0">
        <w:rPr>
          <w:rFonts w:eastAsia="MS Mincho"/>
        </w:rPr>
        <w:t xml:space="preserve">in the </w:t>
      </w:r>
      <w:r>
        <w:rPr>
          <w:rFonts w:eastAsia="MS Mincho"/>
          <w:i/>
          <w:iCs/>
        </w:rPr>
        <w:t>recognizing</w:t>
      </w:r>
      <w:r w:rsidR="001902B0">
        <w:rPr>
          <w:rFonts w:eastAsia="MS Mincho"/>
        </w:rPr>
        <w:t xml:space="preserve"> section</w:t>
      </w:r>
      <w:r>
        <w:rPr>
          <w:rFonts w:eastAsia="MS Mincho"/>
        </w:rPr>
        <w:t xml:space="preserve">, </w:t>
      </w:r>
      <w:r w:rsidR="001902B0">
        <w:rPr>
          <w:rFonts w:eastAsia="MS Mincho"/>
        </w:rPr>
        <w:t>h</w:t>
      </w:r>
      <w:r>
        <w:rPr>
          <w:rFonts w:eastAsia="MS Mincho"/>
        </w:rPr>
        <w:t xml:space="preserve">is delegation </w:t>
      </w:r>
      <w:r w:rsidR="00BE50B6">
        <w:rPr>
          <w:rFonts w:eastAsia="MS Mincho"/>
        </w:rPr>
        <w:t>was satisfied with the text of d</w:t>
      </w:r>
      <w:r>
        <w:rPr>
          <w:rFonts w:eastAsia="MS Mincho"/>
        </w:rPr>
        <w:t>raft Resolution COM5/4 as it stood.</w:t>
      </w:r>
    </w:p>
    <w:p w:rsidR="002A3877" w:rsidRDefault="002A3877" w:rsidP="00CC1115">
      <w:pPr>
        <w:rPr>
          <w:rFonts w:eastAsia="MS Mincho"/>
        </w:rPr>
      </w:pPr>
      <w:r>
        <w:rPr>
          <w:rFonts w:eastAsia="MS Mincho"/>
        </w:rPr>
        <w:t>3.</w:t>
      </w:r>
      <w:r w:rsidR="001902B0">
        <w:rPr>
          <w:rFonts w:eastAsia="MS Mincho"/>
        </w:rPr>
        <w:t>9</w:t>
      </w:r>
      <w:r>
        <w:rPr>
          <w:rFonts w:eastAsia="MS Mincho"/>
        </w:rPr>
        <w:tab/>
        <w:t xml:space="preserve">The </w:t>
      </w:r>
      <w:r>
        <w:rPr>
          <w:rFonts w:eastAsia="MS Mincho"/>
          <w:b/>
          <w:bCs/>
        </w:rPr>
        <w:t>delegate of Saudi Arabia,</w:t>
      </w:r>
      <w:r>
        <w:rPr>
          <w:rFonts w:eastAsia="MS Mincho"/>
        </w:rPr>
        <w:t xml:space="preserve"> e</w:t>
      </w:r>
      <w:r w:rsidR="001902B0">
        <w:rPr>
          <w:rFonts w:eastAsia="MS Mincho"/>
        </w:rPr>
        <w:t xml:space="preserve">ndorsing the </w:t>
      </w:r>
      <w:r>
        <w:rPr>
          <w:rFonts w:eastAsia="MS Mincho"/>
        </w:rPr>
        <w:t xml:space="preserve">comments </w:t>
      </w:r>
      <w:r w:rsidR="001902B0">
        <w:rPr>
          <w:rFonts w:eastAsia="MS Mincho"/>
        </w:rPr>
        <w:t xml:space="preserve">by </w:t>
      </w:r>
      <w:r>
        <w:rPr>
          <w:rFonts w:eastAsia="MS Mincho"/>
        </w:rPr>
        <w:t xml:space="preserve">the delegate of the Islamic Republic of Iran, suggested </w:t>
      </w:r>
      <w:r w:rsidRPr="005F2AD6">
        <w:rPr>
          <w:rFonts w:eastAsia="MS Mincho"/>
        </w:rPr>
        <w:t xml:space="preserve">that </w:t>
      </w:r>
      <w:r w:rsidR="00D91362" w:rsidRPr="005F2AD6">
        <w:rPr>
          <w:rFonts w:eastAsia="MS Mincho"/>
        </w:rPr>
        <w:t xml:space="preserve">the </w:t>
      </w:r>
      <w:r w:rsidRPr="005F2AD6">
        <w:rPr>
          <w:rFonts w:eastAsia="MS Mincho"/>
        </w:rPr>
        <w:t xml:space="preserve">text </w:t>
      </w:r>
      <w:r w:rsidR="00D96E88" w:rsidRPr="005F2AD6">
        <w:rPr>
          <w:rFonts w:eastAsia="MS Mincho"/>
        </w:rPr>
        <w:t>of</w:t>
      </w:r>
      <w:r w:rsidR="00D96E88">
        <w:rPr>
          <w:rFonts w:eastAsia="MS Mincho"/>
        </w:rPr>
        <w:t xml:space="preserve"> draft Resolution </w:t>
      </w:r>
      <w:r w:rsidR="001902B0">
        <w:rPr>
          <w:rFonts w:eastAsia="MS Mincho"/>
        </w:rPr>
        <w:t>COM</w:t>
      </w:r>
      <w:r w:rsidR="00D96E88">
        <w:rPr>
          <w:rFonts w:eastAsia="MS Mincho"/>
        </w:rPr>
        <w:t xml:space="preserve">5/4 </w:t>
      </w:r>
      <w:r w:rsidR="001902B0">
        <w:rPr>
          <w:rFonts w:eastAsia="MS Mincho"/>
        </w:rPr>
        <w:t>submitted to the P</w:t>
      </w:r>
      <w:r>
        <w:rPr>
          <w:rFonts w:eastAsia="MS Mincho"/>
        </w:rPr>
        <w:t xml:space="preserve">lenary </w:t>
      </w:r>
      <w:r w:rsidR="00D96E88">
        <w:rPr>
          <w:rFonts w:eastAsia="MS Mincho"/>
        </w:rPr>
        <w:t xml:space="preserve">in Document 158 </w:t>
      </w:r>
      <w:r>
        <w:rPr>
          <w:rFonts w:eastAsia="MS Mincho"/>
        </w:rPr>
        <w:t>should not be altered.</w:t>
      </w:r>
    </w:p>
    <w:p w:rsidR="002A3877" w:rsidRDefault="002A3877" w:rsidP="00CC1115">
      <w:pPr>
        <w:rPr>
          <w:rFonts w:eastAsia="MS Mincho"/>
        </w:rPr>
      </w:pPr>
      <w:r>
        <w:rPr>
          <w:rFonts w:eastAsia="MS Mincho"/>
        </w:rPr>
        <w:lastRenderedPageBreak/>
        <w:t>3.</w:t>
      </w:r>
      <w:r w:rsidR="001902B0">
        <w:rPr>
          <w:rFonts w:eastAsia="MS Mincho"/>
        </w:rPr>
        <w:t>10</w:t>
      </w:r>
      <w:r>
        <w:rPr>
          <w:rFonts w:eastAsia="MS Mincho"/>
        </w:rPr>
        <w:tab/>
        <w:t xml:space="preserve">At the request of the </w:t>
      </w:r>
      <w:r>
        <w:rPr>
          <w:rFonts w:eastAsia="MS Mincho"/>
          <w:b/>
          <w:bCs/>
        </w:rPr>
        <w:t>Chairman</w:t>
      </w:r>
      <w:r>
        <w:rPr>
          <w:rFonts w:eastAsia="MS Mincho"/>
        </w:rPr>
        <w:t xml:space="preserve">, the </w:t>
      </w:r>
      <w:r>
        <w:rPr>
          <w:rFonts w:eastAsia="MS Mincho"/>
          <w:b/>
          <w:bCs/>
        </w:rPr>
        <w:t>Chairman of Committee 5</w:t>
      </w:r>
      <w:r>
        <w:rPr>
          <w:rFonts w:eastAsia="MS Mincho"/>
        </w:rPr>
        <w:t xml:space="preserve"> explained that ad hoc </w:t>
      </w:r>
      <w:r w:rsidR="00233ED4">
        <w:rPr>
          <w:rFonts w:eastAsia="MS Mincho"/>
        </w:rPr>
        <w:t xml:space="preserve">group </w:t>
      </w:r>
      <w:r>
        <w:rPr>
          <w:rFonts w:eastAsia="MS Mincho"/>
        </w:rPr>
        <w:t>d</w:t>
      </w:r>
      <w:r w:rsidR="00BE50B6">
        <w:rPr>
          <w:rFonts w:eastAsia="MS Mincho"/>
        </w:rPr>
        <w:t>iscussions of d</w:t>
      </w:r>
      <w:r>
        <w:rPr>
          <w:rFonts w:eastAsia="MS Mincho"/>
        </w:rPr>
        <w:t>raft Resolution COM5/4 had not yet resulted in consensus.</w:t>
      </w:r>
      <w:r w:rsidR="00E54524">
        <w:rPr>
          <w:rFonts w:eastAsia="MS Mincho"/>
        </w:rPr>
        <w:t xml:space="preserve"> Of the two compromise solutions </w:t>
      </w:r>
      <w:r w:rsidR="009B7630">
        <w:rPr>
          <w:rFonts w:eastAsia="MS Mincho"/>
        </w:rPr>
        <w:t>that had emerged</w:t>
      </w:r>
      <w:r w:rsidR="00E54524">
        <w:rPr>
          <w:rFonts w:eastAsia="MS Mincho"/>
        </w:rPr>
        <w:t xml:space="preserve"> – one </w:t>
      </w:r>
      <w:r w:rsidR="009B7630">
        <w:rPr>
          <w:rFonts w:eastAsia="MS Mincho"/>
        </w:rPr>
        <w:t>from</w:t>
      </w:r>
      <w:r w:rsidR="00E54524">
        <w:rPr>
          <w:rFonts w:eastAsia="MS Mincho"/>
        </w:rPr>
        <w:t xml:space="preserve"> the ad hoc group and one </w:t>
      </w:r>
      <w:r w:rsidR="009B7630">
        <w:rPr>
          <w:rFonts w:eastAsia="MS Mincho"/>
        </w:rPr>
        <w:t>from</w:t>
      </w:r>
      <w:r w:rsidR="00E54524">
        <w:rPr>
          <w:rFonts w:eastAsia="MS Mincho"/>
        </w:rPr>
        <w:t xml:space="preserve"> Committee 5 – </w:t>
      </w:r>
      <w:r w:rsidR="00B5069D">
        <w:rPr>
          <w:rFonts w:eastAsia="MS Mincho"/>
        </w:rPr>
        <w:t>it was his</w:t>
      </w:r>
      <w:r w:rsidR="00E54524">
        <w:rPr>
          <w:rFonts w:eastAsia="MS Mincho"/>
        </w:rPr>
        <w:t xml:space="preserve"> view that the latter should take precedence.</w:t>
      </w:r>
    </w:p>
    <w:p w:rsidR="00E54524" w:rsidRDefault="00E54524" w:rsidP="00CC1115">
      <w:pPr>
        <w:rPr>
          <w:rFonts w:eastAsia="MS Mincho"/>
        </w:rPr>
      </w:pPr>
      <w:r>
        <w:rPr>
          <w:rFonts w:eastAsia="MS Mincho"/>
        </w:rPr>
        <w:t>3.</w:t>
      </w:r>
      <w:r w:rsidR="001902B0">
        <w:rPr>
          <w:rFonts w:eastAsia="MS Mincho"/>
        </w:rPr>
        <w:t>11</w:t>
      </w:r>
      <w:r>
        <w:rPr>
          <w:rFonts w:eastAsia="MS Mincho"/>
        </w:rPr>
        <w:tab/>
        <w:t xml:space="preserve">The </w:t>
      </w:r>
      <w:r>
        <w:rPr>
          <w:rFonts w:eastAsia="MS Mincho"/>
          <w:b/>
          <w:bCs/>
        </w:rPr>
        <w:t>delegate of the United Kingdom</w:t>
      </w:r>
      <w:r>
        <w:rPr>
          <w:rFonts w:eastAsia="MS Mincho"/>
        </w:rPr>
        <w:t xml:space="preserve">, </w:t>
      </w:r>
      <w:r w:rsidR="00B5069D">
        <w:rPr>
          <w:rFonts w:eastAsia="MS Mincho"/>
        </w:rPr>
        <w:t>observing that</w:t>
      </w:r>
      <w:r>
        <w:rPr>
          <w:rFonts w:eastAsia="MS Mincho"/>
        </w:rPr>
        <w:t xml:space="preserve"> the delegation of the Islamic Republic of Iran appeared to have withdrawn an earlier suggestion </w:t>
      </w:r>
      <w:r w:rsidR="00A641DC">
        <w:rPr>
          <w:rFonts w:eastAsia="MS Mincho"/>
        </w:rPr>
        <w:t>to move</w:t>
      </w:r>
      <w:r w:rsidR="00BE50B6">
        <w:rPr>
          <w:rFonts w:eastAsia="MS Mincho"/>
        </w:rPr>
        <w:t xml:space="preserve"> the text of</w:t>
      </w:r>
      <w:r>
        <w:rPr>
          <w:rFonts w:eastAsia="MS Mincho"/>
        </w:rPr>
        <w:t xml:space="preserve"> </w:t>
      </w:r>
      <w:r w:rsidR="00A641DC">
        <w:rPr>
          <w:rFonts w:eastAsia="MS Mincho"/>
          <w:i/>
          <w:iCs/>
        </w:rPr>
        <w:t>recognizing</w:t>
      </w:r>
      <w:r w:rsidR="00A641DC">
        <w:rPr>
          <w:rFonts w:eastAsia="MS Mincho"/>
        </w:rPr>
        <w:t xml:space="preserve"> </w:t>
      </w:r>
      <w:r w:rsidR="00A641DC" w:rsidRPr="00C50153">
        <w:rPr>
          <w:rFonts w:eastAsia="MS Mincho"/>
          <w:i/>
          <w:iCs/>
        </w:rPr>
        <w:t>e)</w:t>
      </w:r>
      <w:r w:rsidR="00A641DC">
        <w:rPr>
          <w:rFonts w:eastAsia="MS Mincho"/>
        </w:rPr>
        <w:t xml:space="preserve"> </w:t>
      </w:r>
      <w:r w:rsidR="00233ED4">
        <w:rPr>
          <w:rFonts w:eastAsia="MS Mincho"/>
        </w:rPr>
        <w:t>in d</w:t>
      </w:r>
      <w:r>
        <w:rPr>
          <w:rFonts w:eastAsia="MS Mincho"/>
        </w:rPr>
        <w:t>raft Resolution COM5/4 to</w:t>
      </w:r>
      <w:r w:rsidR="001902B0">
        <w:rPr>
          <w:rFonts w:eastAsia="MS Mincho"/>
        </w:rPr>
        <w:t xml:space="preserve"> the</w:t>
      </w:r>
      <w:r>
        <w:rPr>
          <w:rFonts w:eastAsia="MS Mincho"/>
        </w:rPr>
        <w:t xml:space="preserve"> </w:t>
      </w:r>
      <w:r>
        <w:rPr>
          <w:rFonts w:eastAsia="MS Mincho"/>
          <w:i/>
          <w:iCs/>
        </w:rPr>
        <w:t>considering</w:t>
      </w:r>
      <w:r w:rsidR="001902B0">
        <w:rPr>
          <w:rFonts w:eastAsia="MS Mincho"/>
        </w:rPr>
        <w:t xml:space="preserve"> section</w:t>
      </w:r>
      <w:r>
        <w:rPr>
          <w:rFonts w:eastAsia="MS Mincho"/>
        </w:rPr>
        <w:t xml:space="preserve">, </w:t>
      </w:r>
      <w:r w:rsidR="00B5069D">
        <w:rPr>
          <w:rFonts w:eastAsia="MS Mincho"/>
        </w:rPr>
        <w:t xml:space="preserve">said that </w:t>
      </w:r>
      <w:r>
        <w:rPr>
          <w:rFonts w:eastAsia="MS Mincho"/>
        </w:rPr>
        <w:t xml:space="preserve">he would be willing to accept the text of that </w:t>
      </w:r>
      <w:r w:rsidR="00233ED4">
        <w:rPr>
          <w:rFonts w:eastAsia="MS Mincho"/>
        </w:rPr>
        <w:t>d</w:t>
      </w:r>
      <w:r w:rsidR="00A641DC">
        <w:rPr>
          <w:rFonts w:eastAsia="MS Mincho"/>
        </w:rPr>
        <w:t xml:space="preserve">raft </w:t>
      </w:r>
      <w:r w:rsidR="00C50153">
        <w:rPr>
          <w:rFonts w:eastAsia="MS Mincho"/>
        </w:rPr>
        <w:t>r</w:t>
      </w:r>
      <w:r>
        <w:rPr>
          <w:rFonts w:eastAsia="MS Mincho"/>
        </w:rPr>
        <w:t xml:space="preserve">esolution as </w:t>
      </w:r>
      <w:r w:rsidR="00A641DC">
        <w:rPr>
          <w:rFonts w:eastAsia="MS Mincho"/>
        </w:rPr>
        <w:t>it stood</w:t>
      </w:r>
      <w:r>
        <w:rPr>
          <w:rFonts w:eastAsia="MS Mincho"/>
        </w:rPr>
        <w:t>, in a spirit of compromise.</w:t>
      </w:r>
    </w:p>
    <w:p w:rsidR="00284892" w:rsidRPr="00E54524" w:rsidRDefault="00E54524" w:rsidP="00CC1115">
      <w:r>
        <w:rPr>
          <w:rFonts w:eastAsia="MS Mincho"/>
        </w:rPr>
        <w:t>3.</w:t>
      </w:r>
      <w:r w:rsidR="001902B0">
        <w:rPr>
          <w:rFonts w:eastAsia="MS Mincho"/>
        </w:rPr>
        <w:t>12</w:t>
      </w:r>
      <w:r>
        <w:rPr>
          <w:rFonts w:eastAsia="MS Mincho"/>
        </w:rPr>
        <w:tab/>
        <w:t xml:space="preserve">The </w:t>
      </w:r>
      <w:r>
        <w:rPr>
          <w:rFonts w:eastAsia="MS Mincho"/>
          <w:b/>
          <w:bCs/>
        </w:rPr>
        <w:t>Chairman</w:t>
      </w:r>
      <w:r>
        <w:rPr>
          <w:rFonts w:eastAsia="MS Mincho"/>
        </w:rPr>
        <w:t xml:space="preserve">, welcoming that </w:t>
      </w:r>
      <w:r w:rsidR="00082395">
        <w:rPr>
          <w:rFonts w:eastAsia="MS Mincho"/>
        </w:rPr>
        <w:t xml:space="preserve">spirit of </w:t>
      </w:r>
      <w:r>
        <w:rPr>
          <w:rFonts w:eastAsia="MS Mincho"/>
        </w:rPr>
        <w:t xml:space="preserve">compromise, </w:t>
      </w:r>
      <w:r w:rsidR="00A641DC">
        <w:rPr>
          <w:rFonts w:eastAsia="MS Mincho"/>
        </w:rPr>
        <w:t>said</w:t>
      </w:r>
      <w:r>
        <w:rPr>
          <w:rFonts w:eastAsia="MS Mincho"/>
        </w:rPr>
        <w:t xml:space="preserve"> that ther</w:t>
      </w:r>
      <w:r w:rsidR="00233ED4">
        <w:rPr>
          <w:rFonts w:eastAsia="MS Mincho"/>
        </w:rPr>
        <w:t>e now seemed to be consensus on d</w:t>
      </w:r>
      <w:r>
        <w:rPr>
          <w:rFonts w:eastAsia="MS Mincho"/>
        </w:rPr>
        <w:t>raft Resolution COM5/4, as a result of which con</w:t>
      </w:r>
      <w:r w:rsidR="00233ED4">
        <w:rPr>
          <w:rFonts w:eastAsia="MS Mincho"/>
        </w:rPr>
        <w:t>sideration of d</w:t>
      </w:r>
      <w:r>
        <w:rPr>
          <w:rFonts w:eastAsia="MS Mincho"/>
        </w:rPr>
        <w:t>raft Resolution COM5/5 could be completed</w:t>
      </w:r>
      <w:r w:rsidRPr="000C545F">
        <w:rPr>
          <w:rFonts w:eastAsia="MS Mincho"/>
        </w:rPr>
        <w:t>.</w:t>
      </w:r>
      <w:r w:rsidR="000C545F" w:rsidRPr="005761BE">
        <w:rPr>
          <w:rFonts w:eastAsia="MS Mincho"/>
        </w:rPr>
        <w:t xml:space="preserve"> He said that the Plenary would proceed with the formal adoption of Resolution COM5/4 once it had completed its consideration of the texts in Document 166</w:t>
      </w:r>
      <w:r w:rsidR="000C545F" w:rsidRPr="000C545F">
        <w:rPr>
          <w:rFonts w:eastAsia="MS Mincho"/>
        </w:rPr>
        <w:t>.</w:t>
      </w:r>
    </w:p>
    <w:p w:rsidR="007D2E6D" w:rsidRPr="007D2E6D" w:rsidRDefault="007D2E6D">
      <w:pPr>
        <w:rPr>
          <w:rFonts w:asciiTheme="minorHAnsi" w:hAnsiTheme="minorHAnsi"/>
          <w:bCs/>
        </w:rPr>
      </w:pPr>
      <w:r>
        <w:rPr>
          <w:rFonts w:asciiTheme="minorHAnsi" w:hAnsiTheme="minorHAnsi"/>
          <w:bCs/>
        </w:rPr>
        <w:t>3.</w:t>
      </w:r>
      <w:r w:rsidR="001902B0">
        <w:rPr>
          <w:rFonts w:asciiTheme="minorHAnsi" w:hAnsiTheme="minorHAnsi"/>
          <w:bCs/>
        </w:rPr>
        <w:t>1</w:t>
      </w:r>
      <w:r w:rsidR="000C545F">
        <w:rPr>
          <w:rFonts w:asciiTheme="minorHAnsi" w:hAnsiTheme="minorHAnsi"/>
          <w:bCs/>
        </w:rPr>
        <w:t>3</w:t>
      </w:r>
      <w:r>
        <w:rPr>
          <w:rFonts w:asciiTheme="minorHAnsi" w:hAnsiTheme="minorHAnsi"/>
          <w:bCs/>
        </w:rPr>
        <w:tab/>
        <w:t xml:space="preserve">The </w:t>
      </w:r>
      <w:r>
        <w:rPr>
          <w:rFonts w:asciiTheme="minorHAnsi" w:hAnsiTheme="minorHAnsi"/>
          <w:b/>
        </w:rPr>
        <w:t>Chairman of Committee 5</w:t>
      </w:r>
      <w:r>
        <w:rPr>
          <w:rFonts w:asciiTheme="minorHAnsi" w:hAnsiTheme="minorHAnsi"/>
          <w:bCs/>
        </w:rPr>
        <w:t xml:space="preserve"> </w:t>
      </w:r>
      <w:r w:rsidR="00D96E88">
        <w:rPr>
          <w:rFonts w:asciiTheme="minorHAnsi" w:hAnsiTheme="minorHAnsi"/>
          <w:bCs/>
        </w:rPr>
        <w:t xml:space="preserve">made a </w:t>
      </w:r>
      <w:r>
        <w:rPr>
          <w:rFonts w:asciiTheme="minorHAnsi" w:hAnsiTheme="minorHAnsi"/>
          <w:bCs/>
        </w:rPr>
        <w:t>plea to leave the</w:t>
      </w:r>
      <w:r w:rsidR="00E54524">
        <w:rPr>
          <w:rFonts w:asciiTheme="minorHAnsi" w:hAnsiTheme="minorHAnsi"/>
          <w:bCs/>
        </w:rPr>
        <w:t xml:space="preserve"> compromise</w:t>
      </w:r>
      <w:r>
        <w:rPr>
          <w:rFonts w:asciiTheme="minorHAnsi" w:hAnsiTheme="minorHAnsi"/>
          <w:bCs/>
        </w:rPr>
        <w:t xml:space="preserve"> text</w:t>
      </w:r>
      <w:r w:rsidR="000C545F">
        <w:rPr>
          <w:rFonts w:asciiTheme="minorHAnsi" w:hAnsiTheme="minorHAnsi"/>
          <w:bCs/>
        </w:rPr>
        <w:t xml:space="preserve"> of Resolution COM5/5</w:t>
      </w:r>
      <w:r w:rsidR="001902B0">
        <w:rPr>
          <w:rFonts w:asciiTheme="minorHAnsi" w:hAnsiTheme="minorHAnsi"/>
          <w:bCs/>
        </w:rPr>
        <w:t xml:space="preserve"> submitted to the P</w:t>
      </w:r>
      <w:r w:rsidR="00E54524">
        <w:rPr>
          <w:rFonts w:asciiTheme="minorHAnsi" w:hAnsiTheme="minorHAnsi"/>
          <w:bCs/>
        </w:rPr>
        <w:t>lenary</w:t>
      </w:r>
      <w:r>
        <w:rPr>
          <w:rFonts w:asciiTheme="minorHAnsi" w:hAnsiTheme="minorHAnsi"/>
          <w:bCs/>
        </w:rPr>
        <w:t xml:space="preserve"> as drafted.</w:t>
      </w:r>
    </w:p>
    <w:p w:rsidR="00E62126" w:rsidRDefault="00E62126" w:rsidP="00CC1115">
      <w:pPr>
        <w:rPr>
          <w:rFonts w:asciiTheme="minorHAnsi" w:hAnsiTheme="minorHAnsi"/>
          <w:bCs/>
        </w:rPr>
      </w:pPr>
      <w:r>
        <w:rPr>
          <w:rFonts w:asciiTheme="minorHAnsi" w:hAnsiTheme="minorHAnsi"/>
          <w:bCs/>
        </w:rPr>
        <w:t>3.</w:t>
      </w:r>
      <w:r w:rsidR="001902B0">
        <w:rPr>
          <w:rFonts w:asciiTheme="minorHAnsi" w:hAnsiTheme="minorHAnsi"/>
          <w:bCs/>
        </w:rPr>
        <w:t>1</w:t>
      </w:r>
      <w:r w:rsidR="000C545F">
        <w:rPr>
          <w:rFonts w:asciiTheme="minorHAnsi" w:hAnsiTheme="minorHAnsi"/>
          <w:bCs/>
        </w:rPr>
        <w:t>4</w:t>
      </w:r>
      <w:r>
        <w:rPr>
          <w:rFonts w:asciiTheme="minorHAnsi" w:hAnsiTheme="minorHAnsi"/>
          <w:bCs/>
        </w:rPr>
        <w:tab/>
        <w:t xml:space="preserve">Draft Resolution COM5/5 (Busan, 2014) was </w:t>
      </w:r>
      <w:r>
        <w:rPr>
          <w:rFonts w:asciiTheme="minorHAnsi" w:hAnsiTheme="minorHAnsi"/>
          <w:b/>
        </w:rPr>
        <w:t>adopted</w:t>
      </w:r>
      <w:r>
        <w:rPr>
          <w:rFonts w:asciiTheme="minorHAnsi" w:hAnsiTheme="minorHAnsi"/>
          <w:bCs/>
        </w:rPr>
        <w:t>.</w:t>
      </w:r>
    </w:p>
    <w:p w:rsidR="00284892" w:rsidRDefault="00284892" w:rsidP="00CC1115">
      <w:pPr>
        <w:rPr>
          <w:rFonts w:asciiTheme="minorHAnsi" w:hAnsiTheme="minorHAnsi"/>
          <w:bCs/>
        </w:rPr>
      </w:pPr>
      <w:r>
        <w:rPr>
          <w:rFonts w:asciiTheme="minorHAnsi" w:hAnsiTheme="minorHAnsi"/>
          <w:b/>
        </w:rPr>
        <w:t>Draft Resolution COM5/6 (Busan, 2014) – Countering misappropriation and misuse of international telecommunication numbering resources</w:t>
      </w:r>
    </w:p>
    <w:p w:rsidR="00E62126" w:rsidRPr="001B2AA2" w:rsidRDefault="00E62126">
      <w:pPr>
        <w:rPr>
          <w:rFonts w:asciiTheme="minorHAnsi" w:hAnsiTheme="minorHAnsi"/>
          <w:bCs/>
        </w:rPr>
      </w:pPr>
      <w:r>
        <w:rPr>
          <w:rFonts w:asciiTheme="minorHAnsi" w:hAnsiTheme="minorHAnsi"/>
          <w:bCs/>
        </w:rPr>
        <w:t>3.</w:t>
      </w:r>
      <w:r w:rsidR="001902B0">
        <w:rPr>
          <w:rFonts w:asciiTheme="minorHAnsi" w:hAnsiTheme="minorHAnsi"/>
          <w:bCs/>
        </w:rPr>
        <w:t>1</w:t>
      </w:r>
      <w:r w:rsidR="000C545F">
        <w:rPr>
          <w:rFonts w:asciiTheme="minorHAnsi" w:hAnsiTheme="minorHAnsi"/>
          <w:bCs/>
        </w:rPr>
        <w:t>5</w:t>
      </w:r>
      <w:r w:rsidR="00284892">
        <w:rPr>
          <w:rFonts w:asciiTheme="minorHAnsi" w:hAnsiTheme="minorHAnsi"/>
          <w:bCs/>
        </w:rPr>
        <w:tab/>
      </w:r>
      <w:r w:rsidR="001B2AA2">
        <w:rPr>
          <w:rFonts w:asciiTheme="minorHAnsi" w:hAnsiTheme="minorHAnsi"/>
          <w:b/>
        </w:rPr>
        <w:t>Adopted</w:t>
      </w:r>
      <w:r w:rsidR="001B2AA2">
        <w:rPr>
          <w:rFonts w:asciiTheme="minorHAnsi" w:hAnsiTheme="minorHAnsi"/>
          <w:bCs/>
        </w:rPr>
        <w:t>.</w:t>
      </w:r>
    </w:p>
    <w:p w:rsidR="00147149" w:rsidRPr="00284892" w:rsidRDefault="00E62126">
      <w:pPr>
        <w:rPr>
          <w:rFonts w:asciiTheme="minorHAnsi" w:hAnsiTheme="minorHAnsi"/>
          <w:bCs/>
        </w:rPr>
      </w:pPr>
      <w:r>
        <w:rPr>
          <w:rFonts w:asciiTheme="minorHAnsi" w:hAnsiTheme="minorHAnsi"/>
          <w:bCs/>
        </w:rPr>
        <w:t>3.</w:t>
      </w:r>
      <w:r w:rsidR="001902B0">
        <w:rPr>
          <w:rFonts w:asciiTheme="minorHAnsi" w:hAnsiTheme="minorHAnsi"/>
          <w:bCs/>
        </w:rPr>
        <w:t>1</w:t>
      </w:r>
      <w:r w:rsidR="000C545F">
        <w:rPr>
          <w:rFonts w:asciiTheme="minorHAnsi" w:hAnsiTheme="minorHAnsi"/>
          <w:bCs/>
        </w:rPr>
        <w:t>6</w:t>
      </w:r>
      <w:r w:rsidR="00147149">
        <w:rPr>
          <w:rFonts w:asciiTheme="minorHAnsi" w:hAnsiTheme="minorHAnsi"/>
          <w:bCs/>
        </w:rPr>
        <w:tab/>
      </w:r>
      <w:r w:rsidR="00147149">
        <w:rPr>
          <w:rFonts w:asciiTheme="minorHAnsi" w:hAnsiTheme="minorHAnsi"/>
        </w:rPr>
        <w:t xml:space="preserve">The thirteenth series of texts submitted by the Editorial Committee </w:t>
      </w:r>
      <w:r w:rsidR="00D96E88">
        <w:rPr>
          <w:rFonts w:asciiTheme="minorHAnsi" w:hAnsiTheme="minorHAnsi"/>
        </w:rPr>
        <w:t xml:space="preserve">for first reading </w:t>
      </w:r>
      <w:r w:rsidR="001902B0">
        <w:rPr>
          <w:rFonts w:asciiTheme="minorHAnsi" w:hAnsiTheme="minorHAnsi"/>
        </w:rPr>
        <w:t xml:space="preserve">(B13) (Document 166) </w:t>
      </w:r>
      <w:r w:rsidR="00147149">
        <w:rPr>
          <w:rFonts w:asciiTheme="minorHAnsi" w:hAnsiTheme="minorHAnsi"/>
        </w:rPr>
        <w:t xml:space="preserve">was </w:t>
      </w:r>
      <w:r w:rsidR="00147149">
        <w:rPr>
          <w:rFonts w:asciiTheme="minorHAnsi" w:hAnsiTheme="minorHAnsi"/>
          <w:b/>
          <w:bCs/>
        </w:rPr>
        <w:t>approved</w:t>
      </w:r>
      <w:r w:rsidR="00147149">
        <w:rPr>
          <w:rFonts w:asciiTheme="minorHAnsi" w:hAnsiTheme="minorHAnsi"/>
        </w:rPr>
        <w:t>.</w:t>
      </w:r>
    </w:p>
    <w:p w:rsidR="0042060E" w:rsidRDefault="0042060E" w:rsidP="00CC1115">
      <w:pPr>
        <w:pStyle w:val="Heading1"/>
        <w:rPr>
          <w:rFonts w:asciiTheme="minorHAnsi" w:hAnsiTheme="minorHAnsi"/>
          <w:bCs/>
        </w:rPr>
      </w:pPr>
      <w:r w:rsidRPr="0042060E">
        <w:rPr>
          <w:rFonts w:asciiTheme="minorHAnsi" w:hAnsiTheme="minorHAnsi"/>
          <w:bCs/>
        </w:rPr>
        <w:t>4</w:t>
      </w:r>
      <w:r w:rsidRPr="0042060E">
        <w:rPr>
          <w:rFonts w:asciiTheme="minorHAnsi" w:hAnsiTheme="minorHAnsi"/>
          <w:bCs/>
        </w:rPr>
        <w:tab/>
        <w:t xml:space="preserve">Thirteenth series of texts submitted by the Editorial Committee </w:t>
      </w:r>
      <w:r w:rsidR="00AB0F6E">
        <w:rPr>
          <w:rFonts w:asciiTheme="minorHAnsi" w:hAnsiTheme="minorHAnsi"/>
          <w:bCs/>
        </w:rPr>
        <w:t>–</w:t>
      </w:r>
      <w:r w:rsidRPr="0042060E">
        <w:rPr>
          <w:rFonts w:asciiTheme="minorHAnsi" w:hAnsiTheme="minorHAnsi"/>
          <w:bCs/>
        </w:rPr>
        <w:t xml:space="preserve"> second reading</w:t>
      </w:r>
      <w:r w:rsidR="00E55397">
        <w:rPr>
          <w:rFonts w:asciiTheme="minorHAnsi" w:hAnsiTheme="minorHAnsi"/>
          <w:bCs/>
        </w:rPr>
        <w:t xml:space="preserve"> </w:t>
      </w:r>
      <w:r w:rsidRPr="0042060E">
        <w:rPr>
          <w:rFonts w:asciiTheme="minorHAnsi" w:hAnsiTheme="minorHAnsi"/>
          <w:bCs/>
        </w:rPr>
        <w:t>(Document 166)</w:t>
      </w:r>
    </w:p>
    <w:p w:rsidR="0042060E" w:rsidRDefault="0042060E" w:rsidP="00CC1115">
      <w:pPr>
        <w:rPr>
          <w:rFonts w:asciiTheme="minorHAnsi" w:hAnsiTheme="minorHAnsi"/>
        </w:rPr>
      </w:pPr>
      <w:r>
        <w:t>4.1</w:t>
      </w:r>
      <w:r>
        <w:tab/>
      </w:r>
      <w:r w:rsidR="007C3899">
        <w:t xml:space="preserve">The thirteenth </w:t>
      </w:r>
      <w:r w:rsidR="007C3899" w:rsidRPr="0042060E">
        <w:rPr>
          <w:rFonts w:asciiTheme="minorHAnsi" w:hAnsiTheme="minorHAnsi"/>
        </w:rPr>
        <w:t xml:space="preserve">series of texts submitted by the </w:t>
      </w:r>
      <w:r w:rsidR="007C3899" w:rsidRPr="007C3899">
        <w:rPr>
          <w:rFonts w:asciiTheme="minorHAnsi" w:hAnsiTheme="minorHAnsi"/>
        </w:rPr>
        <w:t>Editorial Committee (Document 16</w:t>
      </w:r>
      <w:r w:rsidR="00E55397">
        <w:rPr>
          <w:rFonts w:asciiTheme="minorHAnsi" w:hAnsiTheme="minorHAnsi"/>
        </w:rPr>
        <w:t>6</w:t>
      </w:r>
      <w:r w:rsidR="007C3899" w:rsidRPr="0042060E">
        <w:rPr>
          <w:rFonts w:asciiTheme="minorHAnsi" w:hAnsiTheme="minorHAnsi"/>
        </w:rPr>
        <w:t xml:space="preserve">) was </w:t>
      </w:r>
      <w:r w:rsidR="007C3899" w:rsidRPr="007C3899">
        <w:rPr>
          <w:rFonts w:asciiTheme="minorHAnsi" w:hAnsiTheme="minorHAnsi"/>
          <w:b/>
        </w:rPr>
        <w:t>approved</w:t>
      </w:r>
      <w:r w:rsidR="007C3899" w:rsidRPr="0042060E">
        <w:rPr>
          <w:rFonts w:asciiTheme="minorHAnsi" w:hAnsiTheme="minorHAnsi"/>
        </w:rPr>
        <w:t xml:space="preserve"> on second reading</w:t>
      </w:r>
      <w:r w:rsidR="007C3899">
        <w:rPr>
          <w:rFonts w:asciiTheme="minorHAnsi" w:hAnsiTheme="minorHAnsi"/>
        </w:rPr>
        <w:t>.</w:t>
      </w:r>
    </w:p>
    <w:p w:rsidR="007C3899" w:rsidRDefault="007C3899" w:rsidP="00CC1115">
      <w:pPr>
        <w:pStyle w:val="Heading1"/>
        <w:rPr>
          <w:rFonts w:asciiTheme="minorHAnsi" w:hAnsiTheme="minorHAnsi"/>
        </w:rPr>
      </w:pPr>
      <w:r>
        <w:rPr>
          <w:rFonts w:asciiTheme="minorHAnsi" w:hAnsiTheme="minorHAnsi"/>
        </w:rPr>
        <w:t>5</w:t>
      </w:r>
      <w:r>
        <w:rPr>
          <w:rFonts w:asciiTheme="minorHAnsi" w:hAnsiTheme="minorHAnsi"/>
        </w:rPr>
        <w:tab/>
      </w:r>
      <w:r w:rsidR="002071B5" w:rsidRPr="002071B5">
        <w:rPr>
          <w:rFonts w:asciiTheme="minorHAnsi" w:hAnsiTheme="minorHAnsi"/>
        </w:rPr>
        <w:t>Draft Resolution COM5/4 (Busan, 2014)</w:t>
      </w:r>
      <w:r w:rsidR="00D96E88">
        <w:rPr>
          <w:rFonts w:asciiTheme="minorHAnsi" w:hAnsiTheme="minorHAnsi"/>
        </w:rPr>
        <w:t xml:space="preserve"> – Combating counterfeit telecommunication/information and communication technology devices</w:t>
      </w:r>
      <w:r w:rsidR="002071B5" w:rsidRPr="002071B5">
        <w:rPr>
          <w:rFonts w:asciiTheme="minorHAnsi" w:hAnsiTheme="minorHAnsi"/>
        </w:rPr>
        <w:t xml:space="preserve"> – </w:t>
      </w:r>
      <w:r w:rsidR="002071B5">
        <w:rPr>
          <w:rFonts w:asciiTheme="minorHAnsi" w:hAnsiTheme="minorHAnsi"/>
        </w:rPr>
        <w:t>first and second reading</w:t>
      </w:r>
      <w:r w:rsidR="002071B5" w:rsidRPr="002071B5">
        <w:rPr>
          <w:rFonts w:asciiTheme="minorHAnsi" w:hAnsiTheme="minorHAnsi"/>
        </w:rPr>
        <w:t xml:space="preserve"> </w:t>
      </w:r>
      <w:r w:rsidR="002071B5">
        <w:rPr>
          <w:rFonts w:asciiTheme="minorHAnsi" w:hAnsiTheme="minorHAnsi"/>
        </w:rPr>
        <w:t>(Document </w:t>
      </w:r>
      <w:r w:rsidR="007212E4">
        <w:rPr>
          <w:rFonts w:asciiTheme="minorHAnsi" w:hAnsiTheme="minorHAnsi"/>
        </w:rPr>
        <w:t>158)</w:t>
      </w:r>
    </w:p>
    <w:p w:rsidR="002071B5" w:rsidRDefault="002071B5" w:rsidP="00CC1115">
      <w:pPr>
        <w:rPr>
          <w:rFonts w:asciiTheme="minorHAnsi" w:hAnsiTheme="minorHAnsi"/>
        </w:rPr>
      </w:pPr>
      <w:r>
        <w:rPr>
          <w:rFonts w:asciiTheme="minorHAnsi" w:hAnsiTheme="minorHAnsi"/>
        </w:rPr>
        <w:t>5.1</w:t>
      </w:r>
      <w:r>
        <w:rPr>
          <w:rFonts w:asciiTheme="minorHAnsi" w:hAnsiTheme="minorHAnsi"/>
        </w:rPr>
        <w:tab/>
      </w:r>
      <w:r w:rsidRPr="00E97A21">
        <w:rPr>
          <w:rFonts w:asciiTheme="minorHAnsi" w:hAnsiTheme="minorHAnsi"/>
        </w:rPr>
        <w:t xml:space="preserve">The </w:t>
      </w:r>
      <w:r w:rsidRPr="00E97A21">
        <w:rPr>
          <w:rFonts w:asciiTheme="minorHAnsi" w:hAnsiTheme="minorHAnsi"/>
          <w:b/>
          <w:bCs/>
        </w:rPr>
        <w:t>Chairman of Committee 5</w:t>
      </w:r>
      <w:r w:rsidR="001902B0">
        <w:rPr>
          <w:rFonts w:asciiTheme="minorHAnsi" w:hAnsiTheme="minorHAnsi"/>
        </w:rPr>
        <w:t xml:space="preserve"> suggested that the P</w:t>
      </w:r>
      <w:r w:rsidRPr="00E97A21">
        <w:rPr>
          <w:rFonts w:asciiTheme="minorHAnsi" w:hAnsiTheme="minorHAnsi"/>
        </w:rPr>
        <w:t xml:space="preserve">lenary immediately proceed to consider draft Resolution COM5/4 (Busan, 2014), </w:t>
      </w:r>
      <w:r w:rsidR="00C50153" w:rsidRPr="002071B5">
        <w:t>on combating counterfeit telecommunication/information and communication technology devices</w:t>
      </w:r>
      <w:r w:rsidR="001902B0">
        <w:t xml:space="preserve"> (Document 158</w:t>
      </w:r>
      <w:r w:rsidR="00D96E88">
        <w:t>)</w:t>
      </w:r>
      <w:r w:rsidR="00C50153" w:rsidRPr="002071B5">
        <w:t xml:space="preserve">, </w:t>
      </w:r>
      <w:r w:rsidRPr="00E97A21">
        <w:rPr>
          <w:rFonts w:asciiTheme="minorHAnsi" w:hAnsiTheme="minorHAnsi"/>
        </w:rPr>
        <w:t>as the views expressed during the first reading of the thirteenth series of texts seemed to indicate that agreement had been reached on the text of that draft resolution as it stood</w:t>
      </w:r>
      <w:r>
        <w:rPr>
          <w:rFonts w:asciiTheme="minorHAnsi" w:hAnsiTheme="minorHAnsi"/>
        </w:rPr>
        <w:t>.</w:t>
      </w:r>
    </w:p>
    <w:p w:rsidR="002071B5" w:rsidRPr="007A7EA1" w:rsidRDefault="002071B5" w:rsidP="00CC1115">
      <w:pPr>
        <w:rPr>
          <w:rFonts w:asciiTheme="minorHAnsi" w:hAnsiTheme="minorHAnsi"/>
        </w:rPr>
      </w:pPr>
      <w:r>
        <w:rPr>
          <w:rFonts w:asciiTheme="minorHAnsi" w:hAnsiTheme="minorHAnsi"/>
        </w:rPr>
        <w:t>5.2</w:t>
      </w:r>
      <w:r>
        <w:rPr>
          <w:rFonts w:asciiTheme="minorHAnsi" w:hAnsiTheme="minorHAnsi"/>
        </w:rPr>
        <w:tab/>
        <w:t xml:space="preserve">It was so </w:t>
      </w:r>
      <w:r>
        <w:rPr>
          <w:rFonts w:asciiTheme="minorHAnsi" w:hAnsiTheme="minorHAnsi"/>
          <w:b/>
          <w:bCs/>
        </w:rPr>
        <w:t>agreed</w:t>
      </w:r>
      <w:r>
        <w:rPr>
          <w:rFonts w:asciiTheme="minorHAnsi" w:hAnsiTheme="minorHAnsi"/>
        </w:rPr>
        <w:t>.</w:t>
      </w:r>
    </w:p>
    <w:p w:rsidR="00320957" w:rsidRDefault="002071B5" w:rsidP="00CC1115">
      <w:r>
        <w:t>5.3</w:t>
      </w:r>
      <w:r w:rsidR="007C3899">
        <w:tab/>
      </w:r>
      <w:r w:rsidRPr="002071B5">
        <w:t xml:space="preserve">Draft Resolution COM5/4 (Busan, 2014) was </w:t>
      </w:r>
      <w:r w:rsidRPr="002071B5">
        <w:rPr>
          <w:b/>
          <w:bCs/>
        </w:rPr>
        <w:t>a</w:t>
      </w:r>
      <w:r w:rsidR="00320957" w:rsidRPr="002071B5">
        <w:rPr>
          <w:b/>
          <w:bCs/>
        </w:rPr>
        <w:t>dopted</w:t>
      </w:r>
      <w:r w:rsidRPr="002071B5">
        <w:t xml:space="preserve"> on first and second reading</w:t>
      </w:r>
      <w:r w:rsidR="00320957">
        <w:rPr>
          <w:rFonts w:asciiTheme="minorHAnsi" w:hAnsiTheme="minorHAnsi"/>
        </w:rPr>
        <w:t>.</w:t>
      </w:r>
    </w:p>
    <w:p w:rsidR="007C3899" w:rsidRDefault="002071B5" w:rsidP="00CC1115">
      <w:pPr>
        <w:pStyle w:val="Heading1"/>
      </w:pPr>
      <w:r>
        <w:lastRenderedPageBreak/>
        <w:t>6</w:t>
      </w:r>
      <w:r w:rsidR="00195645">
        <w:tab/>
      </w:r>
      <w:r w:rsidR="007C3899" w:rsidRPr="00195645">
        <w:t>Approval of minutes</w:t>
      </w:r>
      <w:r w:rsidR="00195645">
        <w:t xml:space="preserve"> (Documents </w:t>
      </w:r>
      <w:r w:rsidR="00195645" w:rsidRPr="00CF4B7F">
        <w:t>119 and 128</w:t>
      </w:r>
      <w:r w:rsidR="00195645">
        <w:t>)</w:t>
      </w:r>
    </w:p>
    <w:p w:rsidR="007C3899" w:rsidRPr="007C3899" w:rsidRDefault="002071B5" w:rsidP="00CC1115">
      <w:r>
        <w:t>6</w:t>
      </w:r>
      <w:r w:rsidR="007C3899">
        <w:t>.1</w:t>
      </w:r>
      <w:r w:rsidR="007C3899">
        <w:tab/>
      </w:r>
      <w:r w:rsidR="00B217EA">
        <w:t xml:space="preserve">The minutes of the seventh plenary meeting (Document 119) and the eighth plenary meeting (Document 128) were </w:t>
      </w:r>
      <w:r w:rsidR="00B217EA">
        <w:rPr>
          <w:b/>
          <w:bCs/>
        </w:rPr>
        <w:t>approved</w:t>
      </w:r>
      <w:r w:rsidR="00B217EA">
        <w:t>.</w:t>
      </w:r>
    </w:p>
    <w:p w:rsidR="005F46D6" w:rsidRDefault="005F46D6" w:rsidP="00CC1115">
      <w:pPr>
        <w:rPr>
          <w:rFonts w:asciiTheme="minorHAnsi" w:hAnsiTheme="minorHAnsi"/>
        </w:rPr>
      </w:pPr>
      <w:r>
        <w:rPr>
          <w:rFonts w:asciiTheme="minorHAnsi" w:hAnsiTheme="minorHAnsi"/>
          <w:b/>
          <w:bCs/>
        </w:rPr>
        <w:t xml:space="preserve">The meeting was suspended at 1605 </w:t>
      </w:r>
      <w:r w:rsidR="00082395">
        <w:rPr>
          <w:rFonts w:asciiTheme="minorHAnsi" w:hAnsiTheme="minorHAnsi"/>
          <w:b/>
          <w:bCs/>
        </w:rPr>
        <w:t xml:space="preserve">hours </w:t>
      </w:r>
      <w:r>
        <w:rPr>
          <w:rFonts w:asciiTheme="minorHAnsi" w:hAnsiTheme="minorHAnsi"/>
          <w:b/>
          <w:bCs/>
        </w:rPr>
        <w:t>and resumed at 1855 hours.</w:t>
      </w:r>
    </w:p>
    <w:p w:rsidR="00632363" w:rsidRPr="00632363" w:rsidRDefault="002071B5" w:rsidP="00CC1115">
      <w:pPr>
        <w:pStyle w:val="Heading1"/>
        <w:rPr>
          <w:rFonts w:asciiTheme="minorHAnsi" w:hAnsiTheme="minorHAnsi"/>
        </w:rPr>
      </w:pPr>
      <w:r>
        <w:rPr>
          <w:rFonts w:asciiTheme="minorHAnsi" w:hAnsiTheme="minorHAnsi"/>
        </w:rPr>
        <w:t>7</w:t>
      </w:r>
      <w:r w:rsidR="00632363">
        <w:rPr>
          <w:rFonts w:asciiTheme="minorHAnsi" w:hAnsiTheme="minorHAnsi"/>
        </w:rPr>
        <w:tab/>
      </w:r>
      <w:r w:rsidR="001C116E">
        <w:rPr>
          <w:bCs/>
          <w:szCs w:val="28"/>
        </w:rPr>
        <w:t>Draft new resolution</w:t>
      </w:r>
      <w:r w:rsidR="00D96E88">
        <w:rPr>
          <w:bCs/>
          <w:szCs w:val="28"/>
        </w:rPr>
        <w:t xml:space="preserve"> proposed by Ukraine on “</w:t>
      </w:r>
      <w:r w:rsidR="001C116E" w:rsidRPr="007F0167">
        <w:rPr>
          <w:bCs/>
          <w:szCs w:val="28"/>
        </w:rPr>
        <w:t>Assistance and support to Ukraine for guaranteeing the use of frequency and numbering resources in the territories of the Autonomous Republic of Crimea and the city of Sevastopol</w:t>
      </w:r>
      <w:r w:rsidR="00D96E88">
        <w:rPr>
          <w:bCs/>
          <w:szCs w:val="28"/>
        </w:rPr>
        <w:t>”</w:t>
      </w:r>
      <w:r w:rsidR="001C116E" w:rsidRPr="007F0167">
        <w:rPr>
          <w:bCs/>
          <w:szCs w:val="28"/>
        </w:rPr>
        <w:t xml:space="preserve"> (Document 84(Rev.2)</w:t>
      </w:r>
      <w:r w:rsidR="001C116E">
        <w:rPr>
          <w:bCs/>
          <w:szCs w:val="28"/>
        </w:rPr>
        <w:t>)</w:t>
      </w:r>
    </w:p>
    <w:p w:rsidR="000C231A" w:rsidRDefault="002071B5" w:rsidP="00CC1115">
      <w:pPr>
        <w:rPr>
          <w:rFonts w:asciiTheme="minorHAnsi" w:hAnsiTheme="minorHAnsi"/>
        </w:rPr>
      </w:pPr>
      <w:r>
        <w:rPr>
          <w:rFonts w:asciiTheme="minorHAnsi" w:hAnsiTheme="minorHAnsi"/>
        </w:rPr>
        <w:t>7</w:t>
      </w:r>
      <w:r w:rsidR="001C116E">
        <w:rPr>
          <w:rFonts w:asciiTheme="minorHAnsi" w:hAnsiTheme="minorHAnsi"/>
        </w:rPr>
        <w:t>.1</w:t>
      </w:r>
      <w:r w:rsidR="001C116E">
        <w:rPr>
          <w:rFonts w:asciiTheme="minorHAnsi" w:hAnsiTheme="minorHAnsi"/>
        </w:rPr>
        <w:tab/>
      </w:r>
      <w:r w:rsidR="001C116E" w:rsidRPr="001C116E">
        <w:rPr>
          <w:rFonts w:asciiTheme="minorHAnsi" w:hAnsiTheme="minorHAnsi"/>
        </w:rPr>
        <w:t xml:space="preserve">The </w:t>
      </w:r>
      <w:r w:rsidR="001C116E" w:rsidRPr="001C116E">
        <w:rPr>
          <w:rFonts w:asciiTheme="minorHAnsi" w:hAnsiTheme="minorHAnsi"/>
          <w:b/>
          <w:bCs/>
        </w:rPr>
        <w:t>Chairman</w:t>
      </w:r>
      <w:r w:rsidR="001C116E" w:rsidRPr="001C116E">
        <w:rPr>
          <w:rFonts w:asciiTheme="minorHAnsi" w:hAnsiTheme="minorHAnsi"/>
        </w:rPr>
        <w:t xml:space="preserve"> expressed appreciation to the delegations of </w:t>
      </w:r>
      <w:r w:rsidR="00D96E88">
        <w:rPr>
          <w:rFonts w:asciiTheme="minorHAnsi" w:hAnsiTheme="minorHAnsi"/>
        </w:rPr>
        <w:t xml:space="preserve">Ukraine and </w:t>
      </w:r>
      <w:r w:rsidR="001C116E" w:rsidRPr="001C116E">
        <w:rPr>
          <w:rFonts w:asciiTheme="minorHAnsi" w:hAnsiTheme="minorHAnsi"/>
        </w:rPr>
        <w:t xml:space="preserve">the Russian Federation for their spirit of cooperation in working </w:t>
      </w:r>
      <w:r w:rsidR="001902B0">
        <w:rPr>
          <w:rFonts w:asciiTheme="minorHAnsi" w:hAnsiTheme="minorHAnsi"/>
        </w:rPr>
        <w:t xml:space="preserve">to find </w:t>
      </w:r>
      <w:r w:rsidR="001C116E" w:rsidRPr="001C116E">
        <w:rPr>
          <w:rFonts w:asciiTheme="minorHAnsi" w:hAnsiTheme="minorHAnsi"/>
        </w:rPr>
        <w:t xml:space="preserve">a compromise solution to the issues raised in connection with the proposal </w:t>
      </w:r>
      <w:r w:rsidR="00D96E88">
        <w:rPr>
          <w:rFonts w:asciiTheme="minorHAnsi" w:hAnsiTheme="minorHAnsi"/>
        </w:rPr>
        <w:t xml:space="preserve">by Ukraine </w:t>
      </w:r>
      <w:r w:rsidR="001C116E" w:rsidRPr="001C116E">
        <w:rPr>
          <w:rFonts w:asciiTheme="minorHAnsi" w:hAnsiTheme="minorHAnsi"/>
        </w:rPr>
        <w:t xml:space="preserve">contained in Document 84(Rev.2) and </w:t>
      </w:r>
      <w:r w:rsidR="001902B0">
        <w:rPr>
          <w:rFonts w:asciiTheme="minorHAnsi" w:hAnsiTheme="minorHAnsi"/>
        </w:rPr>
        <w:t xml:space="preserve">the </w:t>
      </w:r>
      <w:r w:rsidR="001C116E" w:rsidRPr="001C116E">
        <w:rPr>
          <w:rFonts w:asciiTheme="minorHAnsi" w:hAnsiTheme="minorHAnsi"/>
        </w:rPr>
        <w:t xml:space="preserve">supporting information in Document INF/13. He informed participants that the Secretary-General would read out a statement reflecting the agreement reached by the concerned parties for resolving those issues. The delegates of Ukraine and the Russian Federation would then each be given the floor in order to </w:t>
      </w:r>
      <w:r w:rsidR="00082395">
        <w:rPr>
          <w:rFonts w:asciiTheme="minorHAnsi" w:hAnsiTheme="minorHAnsi"/>
        </w:rPr>
        <w:t>make</w:t>
      </w:r>
      <w:r w:rsidR="001C116E" w:rsidRPr="001C116E">
        <w:rPr>
          <w:rFonts w:asciiTheme="minorHAnsi" w:hAnsiTheme="minorHAnsi"/>
        </w:rPr>
        <w:t xml:space="preserve"> statement</w:t>
      </w:r>
      <w:r w:rsidR="00082395">
        <w:rPr>
          <w:rFonts w:asciiTheme="minorHAnsi" w:hAnsiTheme="minorHAnsi"/>
        </w:rPr>
        <w:t>s</w:t>
      </w:r>
      <w:r w:rsidR="001C116E" w:rsidRPr="001C116E">
        <w:rPr>
          <w:rFonts w:asciiTheme="minorHAnsi" w:hAnsiTheme="minorHAnsi"/>
        </w:rPr>
        <w:t>, following which there would be no further d</w:t>
      </w:r>
      <w:r w:rsidR="001902B0">
        <w:rPr>
          <w:rFonts w:asciiTheme="minorHAnsi" w:hAnsiTheme="minorHAnsi"/>
        </w:rPr>
        <w:t xml:space="preserve">ebate </w:t>
      </w:r>
      <w:r w:rsidR="001C116E" w:rsidRPr="001C116E">
        <w:rPr>
          <w:rFonts w:asciiTheme="minorHAnsi" w:hAnsiTheme="minorHAnsi"/>
        </w:rPr>
        <w:t>of the matter</w:t>
      </w:r>
      <w:r w:rsidR="001C116E">
        <w:rPr>
          <w:rFonts w:asciiTheme="minorHAnsi" w:hAnsiTheme="minorHAnsi"/>
        </w:rPr>
        <w:t>.</w:t>
      </w:r>
    </w:p>
    <w:p w:rsidR="001C116E" w:rsidRDefault="002071B5" w:rsidP="00CC1115">
      <w:pPr>
        <w:rPr>
          <w:rFonts w:asciiTheme="minorHAnsi" w:hAnsiTheme="minorHAnsi"/>
        </w:rPr>
      </w:pPr>
      <w:r>
        <w:rPr>
          <w:rFonts w:asciiTheme="minorHAnsi" w:hAnsiTheme="minorHAnsi"/>
        </w:rPr>
        <w:t>7</w:t>
      </w:r>
      <w:r w:rsidR="001C116E">
        <w:rPr>
          <w:rFonts w:asciiTheme="minorHAnsi" w:hAnsiTheme="minorHAnsi"/>
        </w:rPr>
        <w:t>.2</w:t>
      </w:r>
      <w:r w:rsidR="001C116E">
        <w:rPr>
          <w:rFonts w:asciiTheme="minorHAnsi" w:hAnsiTheme="minorHAnsi"/>
        </w:rPr>
        <w:tab/>
      </w:r>
      <w:r w:rsidR="001C116E" w:rsidRPr="001C116E">
        <w:rPr>
          <w:rFonts w:asciiTheme="minorHAnsi" w:hAnsiTheme="minorHAnsi"/>
        </w:rPr>
        <w:t xml:space="preserve">The </w:t>
      </w:r>
      <w:r w:rsidR="001C116E" w:rsidRPr="001C116E">
        <w:rPr>
          <w:rFonts w:asciiTheme="minorHAnsi" w:hAnsiTheme="minorHAnsi"/>
          <w:b/>
          <w:bCs/>
        </w:rPr>
        <w:t>Secretary-General</w:t>
      </w:r>
      <w:r w:rsidR="001C116E" w:rsidRPr="001C116E">
        <w:rPr>
          <w:rFonts w:asciiTheme="minorHAnsi" w:hAnsiTheme="minorHAnsi"/>
        </w:rPr>
        <w:t xml:space="preserve"> read out the </w:t>
      </w:r>
      <w:r w:rsidR="00D96E88">
        <w:rPr>
          <w:rFonts w:asciiTheme="minorHAnsi" w:hAnsiTheme="minorHAnsi"/>
        </w:rPr>
        <w:t xml:space="preserve">agreed </w:t>
      </w:r>
      <w:r w:rsidR="001C116E" w:rsidRPr="001C116E">
        <w:rPr>
          <w:rFonts w:asciiTheme="minorHAnsi" w:hAnsiTheme="minorHAnsi"/>
        </w:rPr>
        <w:t xml:space="preserve">statement, which is reproduced in </w:t>
      </w:r>
      <w:r w:rsidR="00D662CB" w:rsidRPr="00D91362">
        <w:rPr>
          <w:rFonts w:asciiTheme="minorHAnsi" w:hAnsiTheme="minorHAnsi"/>
        </w:rPr>
        <w:t>A</w:t>
      </w:r>
      <w:r w:rsidR="001C116E" w:rsidRPr="00D91362">
        <w:rPr>
          <w:rFonts w:asciiTheme="minorHAnsi" w:hAnsiTheme="minorHAnsi"/>
        </w:rPr>
        <w:t>nnex</w:t>
      </w:r>
      <w:r w:rsidR="00D662CB" w:rsidRPr="00D91362">
        <w:rPr>
          <w:rFonts w:asciiTheme="minorHAnsi" w:hAnsiTheme="minorHAnsi"/>
        </w:rPr>
        <w:t> B</w:t>
      </w:r>
      <w:r w:rsidR="00082395">
        <w:rPr>
          <w:rFonts w:asciiTheme="minorHAnsi" w:hAnsiTheme="minorHAnsi"/>
        </w:rPr>
        <w:t xml:space="preserve"> to these minutes</w:t>
      </w:r>
      <w:r w:rsidR="001C116E" w:rsidRPr="001C116E">
        <w:rPr>
          <w:rFonts w:asciiTheme="minorHAnsi" w:hAnsiTheme="minorHAnsi"/>
        </w:rPr>
        <w:t>.</w:t>
      </w:r>
      <w:r w:rsidR="00D96E88">
        <w:rPr>
          <w:rFonts w:asciiTheme="minorHAnsi" w:hAnsiTheme="minorHAnsi"/>
        </w:rPr>
        <w:t xml:space="preserve"> He noted that the agreement reached on his statement implied that the pr</w:t>
      </w:r>
      <w:r w:rsidR="00082395">
        <w:rPr>
          <w:rFonts w:asciiTheme="minorHAnsi" w:hAnsiTheme="minorHAnsi"/>
        </w:rPr>
        <w:t>oposal contained in Document 84</w:t>
      </w:r>
      <w:r w:rsidR="00D96E88">
        <w:rPr>
          <w:rFonts w:asciiTheme="minorHAnsi" w:hAnsiTheme="minorHAnsi"/>
        </w:rPr>
        <w:t>(Rev. 2) was withdrawn.</w:t>
      </w:r>
    </w:p>
    <w:p w:rsidR="001C116E" w:rsidRDefault="002071B5" w:rsidP="00CC1115">
      <w:pPr>
        <w:rPr>
          <w:rFonts w:asciiTheme="minorHAnsi" w:hAnsiTheme="minorHAnsi"/>
        </w:rPr>
      </w:pPr>
      <w:r>
        <w:rPr>
          <w:rFonts w:asciiTheme="minorHAnsi" w:hAnsiTheme="minorHAnsi"/>
        </w:rPr>
        <w:t>7</w:t>
      </w:r>
      <w:r w:rsidR="001C116E">
        <w:rPr>
          <w:rFonts w:asciiTheme="minorHAnsi" w:hAnsiTheme="minorHAnsi"/>
        </w:rPr>
        <w:t>.3</w:t>
      </w:r>
      <w:r w:rsidR="001C116E">
        <w:rPr>
          <w:rFonts w:asciiTheme="minorHAnsi" w:hAnsiTheme="minorHAnsi"/>
        </w:rPr>
        <w:tab/>
      </w:r>
      <w:r w:rsidR="001C116E" w:rsidRPr="001C116E">
        <w:rPr>
          <w:rFonts w:asciiTheme="minorHAnsi" w:hAnsiTheme="minorHAnsi"/>
        </w:rPr>
        <w:t xml:space="preserve">The </w:t>
      </w:r>
      <w:r w:rsidR="001C116E" w:rsidRPr="001C116E">
        <w:rPr>
          <w:rFonts w:asciiTheme="minorHAnsi" w:hAnsiTheme="minorHAnsi"/>
          <w:b/>
          <w:bCs/>
        </w:rPr>
        <w:t>delegate of Ukraine</w:t>
      </w:r>
      <w:r w:rsidR="00D96E88">
        <w:rPr>
          <w:rFonts w:asciiTheme="minorHAnsi" w:hAnsiTheme="minorHAnsi"/>
        </w:rPr>
        <w:t xml:space="preserve"> </w:t>
      </w:r>
      <w:r w:rsidR="00082395">
        <w:rPr>
          <w:rFonts w:asciiTheme="minorHAnsi" w:hAnsiTheme="minorHAnsi"/>
        </w:rPr>
        <w:t>made</w:t>
      </w:r>
      <w:r w:rsidR="00D96E88">
        <w:rPr>
          <w:rFonts w:asciiTheme="minorHAnsi" w:hAnsiTheme="minorHAnsi"/>
        </w:rPr>
        <w:t xml:space="preserve"> the</w:t>
      </w:r>
      <w:r w:rsidR="001C116E" w:rsidRPr="001C116E">
        <w:rPr>
          <w:rFonts w:asciiTheme="minorHAnsi" w:hAnsiTheme="minorHAnsi"/>
        </w:rPr>
        <w:t xml:space="preserve"> statement reproduced in </w:t>
      </w:r>
      <w:r w:rsidR="00D662CB" w:rsidRPr="00D91362">
        <w:rPr>
          <w:rFonts w:asciiTheme="minorHAnsi" w:hAnsiTheme="minorHAnsi"/>
        </w:rPr>
        <w:t>Annex C</w:t>
      </w:r>
      <w:r w:rsidR="001C116E" w:rsidRPr="00D91362">
        <w:rPr>
          <w:rFonts w:asciiTheme="minorHAnsi" w:hAnsiTheme="minorHAnsi"/>
        </w:rPr>
        <w:t>.</w:t>
      </w:r>
    </w:p>
    <w:p w:rsidR="001C116E" w:rsidRDefault="002071B5" w:rsidP="00CC1115">
      <w:pPr>
        <w:rPr>
          <w:rFonts w:asciiTheme="minorHAnsi" w:hAnsiTheme="minorHAnsi"/>
        </w:rPr>
      </w:pPr>
      <w:r>
        <w:rPr>
          <w:rFonts w:asciiTheme="minorHAnsi" w:hAnsiTheme="minorHAnsi"/>
        </w:rPr>
        <w:t>7</w:t>
      </w:r>
      <w:r w:rsidR="001C116E">
        <w:rPr>
          <w:rFonts w:asciiTheme="minorHAnsi" w:hAnsiTheme="minorHAnsi"/>
        </w:rPr>
        <w:t>.4</w:t>
      </w:r>
      <w:r w:rsidR="001C116E">
        <w:rPr>
          <w:rFonts w:asciiTheme="minorHAnsi" w:hAnsiTheme="minorHAnsi"/>
        </w:rPr>
        <w:tab/>
      </w:r>
      <w:r w:rsidR="001C116E" w:rsidRPr="001C116E">
        <w:rPr>
          <w:rFonts w:asciiTheme="minorHAnsi" w:hAnsiTheme="minorHAnsi"/>
        </w:rPr>
        <w:t xml:space="preserve">The </w:t>
      </w:r>
      <w:r w:rsidR="001C116E" w:rsidRPr="001C116E">
        <w:rPr>
          <w:rFonts w:asciiTheme="minorHAnsi" w:hAnsiTheme="minorHAnsi"/>
          <w:b/>
          <w:bCs/>
        </w:rPr>
        <w:t>delegate of the Russian Federation</w:t>
      </w:r>
      <w:r w:rsidR="00D96E88">
        <w:rPr>
          <w:rFonts w:asciiTheme="minorHAnsi" w:hAnsiTheme="minorHAnsi"/>
        </w:rPr>
        <w:t xml:space="preserve"> </w:t>
      </w:r>
      <w:r w:rsidR="00082395">
        <w:rPr>
          <w:rFonts w:asciiTheme="minorHAnsi" w:hAnsiTheme="minorHAnsi"/>
        </w:rPr>
        <w:t>made</w:t>
      </w:r>
      <w:r w:rsidR="00D96E88">
        <w:rPr>
          <w:rFonts w:asciiTheme="minorHAnsi" w:hAnsiTheme="minorHAnsi"/>
        </w:rPr>
        <w:t xml:space="preserve"> the</w:t>
      </w:r>
      <w:r w:rsidR="001C116E" w:rsidRPr="001C116E">
        <w:rPr>
          <w:rFonts w:asciiTheme="minorHAnsi" w:hAnsiTheme="minorHAnsi"/>
        </w:rPr>
        <w:t xml:space="preserve"> statement reproduced in </w:t>
      </w:r>
      <w:r w:rsidR="00D662CB" w:rsidRPr="00D91362">
        <w:rPr>
          <w:rFonts w:asciiTheme="minorHAnsi" w:hAnsiTheme="minorHAnsi"/>
        </w:rPr>
        <w:t>A</w:t>
      </w:r>
      <w:r w:rsidR="001C116E" w:rsidRPr="00D91362">
        <w:rPr>
          <w:rFonts w:asciiTheme="minorHAnsi" w:hAnsiTheme="minorHAnsi"/>
        </w:rPr>
        <w:t>nnex</w:t>
      </w:r>
      <w:r w:rsidR="00D662CB" w:rsidRPr="00D91362">
        <w:rPr>
          <w:rFonts w:asciiTheme="minorHAnsi" w:hAnsiTheme="minorHAnsi"/>
        </w:rPr>
        <w:t> D</w:t>
      </w:r>
      <w:r w:rsidR="001C116E" w:rsidRPr="001C116E">
        <w:rPr>
          <w:rFonts w:asciiTheme="minorHAnsi" w:hAnsiTheme="minorHAnsi"/>
        </w:rPr>
        <w:t>.</w:t>
      </w:r>
    </w:p>
    <w:p w:rsidR="001C116E" w:rsidRDefault="002071B5" w:rsidP="00CC1115">
      <w:pPr>
        <w:rPr>
          <w:rFonts w:asciiTheme="minorHAnsi" w:hAnsiTheme="minorHAnsi"/>
        </w:rPr>
      </w:pPr>
      <w:r>
        <w:rPr>
          <w:rFonts w:asciiTheme="minorHAnsi" w:hAnsiTheme="minorHAnsi"/>
        </w:rPr>
        <w:t>7</w:t>
      </w:r>
      <w:r w:rsidR="001C116E">
        <w:rPr>
          <w:rFonts w:asciiTheme="minorHAnsi" w:hAnsiTheme="minorHAnsi"/>
        </w:rPr>
        <w:t>.5</w:t>
      </w:r>
      <w:r w:rsidR="001C116E">
        <w:rPr>
          <w:rFonts w:asciiTheme="minorHAnsi" w:hAnsiTheme="minorHAnsi"/>
        </w:rPr>
        <w:tab/>
      </w:r>
      <w:r w:rsidR="000F0A30" w:rsidRPr="000F0A30">
        <w:rPr>
          <w:rFonts w:asciiTheme="minorHAnsi" w:hAnsiTheme="minorHAnsi"/>
        </w:rPr>
        <w:t xml:space="preserve">The </w:t>
      </w:r>
      <w:r w:rsidR="000F0A30" w:rsidRPr="000F0A30">
        <w:rPr>
          <w:rFonts w:asciiTheme="minorHAnsi" w:hAnsiTheme="minorHAnsi"/>
          <w:b/>
          <w:bCs/>
        </w:rPr>
        <w:t>Chairman</w:t>
      </w:r>
      <w:r w:rsidR="000F0A30" w:rsidRPr="000F0A30">
        <w:rPr>
          <w:rFonts w:asciiTheme="minorHAnsi" w:hAnsiTheme="minorHAnsi"/>
        </w:rPr>
        <w:t xml:space="preserve"> said that, in the light of those statements, the proposal contained in Document 84(Rev.2) was now withdrawn. He expressed profound gratitude to the Secretary-General for his role in achieving that outcome.</w:t>
      </w:r>
    </w:p>
    <w:p w:rsidR="000F0A30" w:rsidRDefault="002071B5" w:rsidP="00CC1115">
      <w:pPr>
        <w:rPr>
          <w:rFonts w:asciiTheme="minorHAnsi" w:hAnsiTheme="minorHAnsi"/>
        </w:rPr>
      </w:pPr>
      <w:r>
        <w:rPr>
          <w:rFonts w:asciiTheme="minorHAnsi" w:hAnsiTheme="minorHAnsi"/>
        </w:rPr>
        <w:t>7</w:t>
      </w:r>
      <w:r w:rsidR="000F0A30">
        <w:rPr>
          <w:rFonts w:asciiTheme="minorHAnsi" w:hAnsiTheme="minorHAnsi"/>
        </w:rPr>
        <w:t>.6</w:t>
      </w:r>
      <w:r w:rsidR="000F0A30">
        <w:rPr>
          <w:rFonts w:asciiTheme="minorHAnsi" w:hAnsiTheme="minorHAnsi"/>
        </w:rPr>
        <w:tab/>
      </w:r>
      <w:r w:rsidR="000F0A30" w:rsidRPr="000F0A30">
        <w:rPr>
          <w:rFonts w:asciiTheme="minorHAnsi" w:hAnsiTheme="minorHAnsi"/>
        </w:rPr>
        <w:t xml:space="preserve">The </w:t>
      </w:r>
      <w:r w:rsidR="000F0A30" w:rsidRPr="000F0A30">
        <w:rPr>
          <w:rFonts w:asciiTheme="minorHAnsi" w:hAnsiTheme="minorHAnsi"/>
          <w:b/>
          <w:bCs/>
        </w:rPr>
        <w:t>Secretary-General</w:t>
      </w:r>
      <w:r w:rsidR="001902B0">
        <w:rPr>
          <w:rFonts w:asciiTheme="minorHAnsi" w:hAnsiTheme="minorHAnsi"/>
        </w:rPr>
        <w:t xml:space="preserve"> </w:t>
      </w:r>
      <w:r w:rsidR="000F0A30" w:rsidRPr="000F0A30">
        <w:rPr>
          <w:rFonts w:asciiTheme="minorHAnsi" w:hAnsiTheme="minorHAnsi"/>
        </w:rPr>
        <w:t>thanked the two delegations for their determined efforts to reach a compromise, which had obviated the need for a vote to resolve the matter. He further thanked all those who had worked so hard to assist his negotiations, in particular the delegation of the United States, led by Ambassador Daniel Sepulveda, and the delegations of various European countries.</w:t>
      </w:r>
    </w:p>
    <w:p w:rsidR="000F0A30" w:rsidRDefault="002071B5" w:rsidP="00CC1115">
      <w:pPr>
        <w:rPr>
          <w:rFonts w:asciiTheme="minorHAnsi" w:hAnsiTheme="minorHAnsi"/>
        </w:rPr>
      </w:pPr>
      <w:r>
        <w:rPr>
          <w:rFonts w:asciiTheme="minorHAnsi" w:hAnsiTheme="minorHAnsi"/>
        </w:rPr>
        <w:t>7</w:t>
      </w:r>
      <w:r w:rsidR="000F0A30">
        <w:rPr>
          <w:rFonts w:asciiTheme="minorHAnsi" w:hAnsiTheme="minorHAnsi"/>
        </w:rPr>
        <w:t>.7</w:t>
      </w:r>
      <w:r w:rsidR="000F0A30">
        <w:rPr>
          <w:rFonts w:asciiTheme="minorHAnsi" w:hAnsiTheme="minorHAnsi"/>
        </w:rPr>
        <w:tab/>
      </w:r>
      <w:r w:rsidR="000F0A30" w:rsidRPr="000F0A30">
        <w:rPr>
          <w:rFonts w:asciiTheme="minorHAnsi" w:hAnsiTheme="minorHAnsi"/>
        </w:rPr>
        <w:t xml:space="preserve">The </w:t>
      </w:r>
      <w:r w:rsidR="000F0A30" w:rsidRPr="000F0A30">
        <w:rPr>
          <w:rFonts w:asciiTheme="minorHAnsi" w:hAnsiTheme="minorHAnsi"/>
          <w:b/>
          <w:bCs/>
        </w:rPr>
        <w:t>Chairman</w:t>
      </w:r>
      <w:r w:rsidR="000F0A30" w:rsidRPr="000F0A30">
        <w:rPr>
          <w:rFonts w:asciiTheme="minorHAnsi" w:hAnsiTheme="minorHAnsi"/>
        </w:rPr>
        <w:t xml:space="preserve"> invited any delegation wishing to submit a statement on the </w:t>
      </w:r>
      <w:r w:rsidR="001902B0">
        <w:rPr>
          <w:rFonts w:asciiTheme="minorHAnsi" w:hAnsiTheme="minorHAnsi"/>
        </w:rPr>
        <w:t xml:space="preserve">subject </w:t>
      </w:r>
      <w:r w:rsidR="000F0A30" w:rsidRPr="000F0A30">
        <w:rPr>
          <w:rFonts w:asciiTheme="minorHAnsi" w:hAnsiTheme="minorHAnsi"/>
        </w:rPr>
        <w:t>for inclusion in the minutes to do so in writing.</w:t>
      </w:r>
      <w:r w:rsidR="000F0A30">
        <w:rPr>
          <w:rStyle w:val="FootnoteReference"/>
        </w:rPr>
        <w:footnoteReference w:id="1"/>
      </w:r>
    </w:p>
    <w:p w:rsidR="00F72DE6" w:rsidRPr="00F72DE6" w:rsidRDefault="00F72DE6" w:rsidP="00CC1115">
      <w:pPr>
        <w:rPr>
          <w:rFonts w:asciiTheme="minorHAnsi" w:hAnsiTheme="minorHAnsi"/>
          <w:b/>
          <w:bCs/>
        </w:rPr>
      </w:pPr>
      <w:r>
        <w:rPr>
          <w:rFonts w:asciiTheme="minorHAnsi" w:hAnsiTheme="minorHAnsi"/>
          <w:b/>
          <w:bCs/>
        </w:rPr>
        <w:t>The meeting was suspended at 1915 hours and resumed at 2010 hours.</w:t>
      </w:r>
    </w:p>
    <w:p w:rsidR="005F46D6" w:rsidRDefault="002071B5" w:rsidP="00CC1115">
      <w:pPr>
        <w:pStyle w:val="Heading1"/>
        <w:rPr>
          <w:rFonts w:asciiTheme="minorHAnsi" w:hAnsiTheme="minorHAnsi"/>
        </w:rPr>
      </w:pPr>
      <w:r>
        <w:rPr>
          <w:rFonts w:asciiTheme="minorHAnsi" w:hAnsiTheme="minorHAnsi"/>
        </w:rPr>
        <w:lastRenderedPageBreak/>
        <w:t>8</w:t>
      </w:r>
      <w:r w:rsidR="005F46D6">
        <w:rPr>
          <w:rFonts w:asciiTheme="minorHAnsi" w:hAnsiTheme="minorHAnsi"/>
        </w:rPr>
        <w:tab/>
        <w:t>Organization of work</w:t>
      </w:r>
    </w:p>
    <w:p w:rsidR="0047619A" w:rsidRPr="0047619A" w:rsidRDefault="002071B5" w:rsidP="00CC1115">
      <w:pPr>
        <w:rPr>
          <w:rFonts w:asciiTheme="minorHAnsi" w:hAnsiTheme="minorHAnsi"/>
        </w:rPr>
      </w:pPr>
      <w:r>
        <w:rPr>
          <w:rFonts w:asciiTheme="minorHAnsi" w:hAnsiTheme="minorHAnsi"/>
        </w:rPr>
        <w:t>8.</w:t>
      </w:r>
      <w:r w:rsidR="005F46D6" w:rsidRPr="007C3899">
        <w:rPr>
          <w:rFonts w:asciiTheme="minorHAnsi" w:hAnsiTheme="minorHAnsi"/>
        </w:rPr>
        <w:t>1</w:t>
      </w:r>
      <w:r w:rsidR="005F46D6" w:rsidRPr="007C3899">
        <w:rPr>
          <w:rFonts w:asciiTheme="minorHAnsi" w:hAnsiTheme="minorHAnsi"/>
        </w:rPr>
        <w:tab/>
      </w:r>
      <w:r w:rsidR="0047619A" w:rsidRPr="00E97A21">
        <w:rPr>
          <w:rFonts w:asciiTheme="minorHAnsi" w:hAnsiTheme="minorHAnsi"/>
        </w:rPr>
        <w:t xml:space="preserve">The </w:t>
      </w:r>
      <w:r w:rsidR="0047619A" w:rsidRPr="00E97A21">
        <w:rPr>
          <w:rFonts w:asciiTheme="minorHAnsi" w:hAnsiTheme="minorHAnsi"/>
          <w:b/>
          <w:bCs/>
        </w:rPr>
        <w:t>Chairman</w:t>
      </w:r>
      <w:r w:rsidR="0047619A" w:rsidRPr="00E97A21">
        <w:rPr>
          <w:rFonts w:asciiTheme="minorHAnsi" w:hAnsiTheme="minorHAnsi"/>
        </w:rPr>
        <w:t xml:space="preserve"> said that the proposed amendments to Resolutions 99 </w:t>
      </w:r>
      <w:r w:rsidR="00D96E88">
        <w:rPr>
          <w:rFonts w:asciiTheme="minorHAnsi" w:hAnsiTheme="minorHAnsi"/>
        </w:rPr>
        <w:t xml:space="preserve">(Rev. Guadalajara, 2010) </w:t>
      </w:r>
      <w:r w:rsidR="0047619A" w:rsidRPr="00E97A21">
        <w:rPr>
          <w:rFonts w:asciiTheme="minorHAnsi" w:hAnsiTheme="minorHAnsi"/>
        </w:rPr>
        <w:t>and 125 (Rev. Guadalajara, 2010) would not be discussed at the present meeting as informal negotiations on the matter were continuing</w:t>
      </w:r>
      <w:r w:rsidR="0047619A">
        <w:rPr>
          <w:rFonts w:asciiTheme="minorHAnsi" w:hAnsiTheme="minorHAnsi"/>
        </w:rPr>
        <w:t>.</w:t>
      </w:r>
    </w:p>
    <w:p w:rsidR="005F46D6" w:rsidRPr="005F46D6" w:rsidRDefault="002071B5" w:rsidP="00CC1115">
      <w:pPr>
        <w:rPr>
          <w:rFonts w:asciiTheme="minorHAnsi" w:hAnsiTheme="minorHAnsi"/>
          <w:b/>
          <w:bCs/>
        </w:rPr>
      </w:pPr>
      <w:r>
        <w:rPr>
          <w:rFonts w:asciiTheme="minorHAnsi" w:hAnsiTheme="minorHAnsi"/>
        </w:rPr>
        <w:t>8</w:t>
      </w:r>
      <w:r w:rsidR="0047619A">
        <w:rPr>
          <w:rFonts w:asciiTheme="minorHAnsi" w:hAnsiTheme="minorHAnsi"/>
        </w:rPr>
        <w:t>.2</w:t>
      </w:r>
      <w:r w:rsidR="0047619A">
        <w:rPr>
          <w:rFonts w:asciiTheme="minorHAnsi" w:hAnsiTheme="minorHAnsi"/>
        </w:rPr>
        <w:tab/>
      </w:r>
      <w:r w:rsidR="005F46D6" w:rsidRPr="007C3899">
        <w:rPr>
          <w:rFonts w:asciiTheme="minorHAnsi" w:hAnsiTheme="minorHAnsi"/>
        </w:rPr>
        <w:t xml:space="preserve">The </w:t>
      </w:r>
      <w:r w:rsidR="002B2D73" w:rsidRPr="007C3899">
        <w:rPr>
          <w:rFonts w:asciiTheme="minorHAnsi" w:hAnsiTheme="minorHAnsi"/>
          <w:b/>
          <w:bCs/>
        </w:rPr>
        <w:t>Secretary</w:t>
      </w:r>
      <w:r w:rsidR="001902B0">
        <w:rPr>
          <w:rFonts w:asciiTheme="minorHAnsi" w:hAnsiTheme="minorHAnsi"/>
          <w:b/>
          <w:bCs/>
        </w:rPr>
        <w:t xml:space="preserve"> of the Plenary</w:t>
      </w:r>
      <w:r w:rsidR="005F46D6" w:rsidRPr="007C3899">
        <w:rPr>
          <w:rFonts w:asciiTheme="minorHAnsi" w:hAnsiTheme="minorHAnsi"/>
        </w:rPr>
        <w:t xml:space="preserve"> announced that delegations could already begin submitting their declarations for inclusion in the final acts and that the final acts could be signed in advance if necessary. A time limit for the submission of declarations would be set once the second and final reading of texts had been completed.</w:t>
      </w:r>
    </w:p>
    <w:p w:rsidR="004A192E" w:rsidRPr="00E65A58" w:rsidRDefault="000C231A" w:rsidP="00CC1115">
      <w:pPr>
        <w:rPr>
          <w:rFonts w:asciiTheme="minorHAnsi" w:hAnsiTheme="minorHAnsi"/>
          <w:b/>
        </w:rPr>
      </w:pPr>
      <w:r>
        <w:rPr>
          <w:rFonts w:asciiTheme="minorHAnsi" w:hAnsiTheme="minorHAnsi"/>
          <w:b/>
        </w:rPr>
        <w:t xml:space="preserve">The meeting rose at </w:t>
      </w:r>
      <w:r w:rsidRPr="009D7761">
        <w:rPr>
          <w:rFonts w:asciiTheme="minorHAnsi" w:hAnsiTheme="minorHAnsi"/>
          <w:b/>
        </w:rPr>
        <w:t>2015</w:t>
      </w:r>
      <w:r w:rsidR="004A192E" w:rsidRPr="00E65A58">
        <w:rPr>
          <w:rFonts w:asciiTheme="minorHAnsi" w:hAnsiTheme="minorHAnsi"/>
          <w:b/>
        </w:rPr>
        <w:t xml:space="preserve"> hours.</w:t>
      </w:r>
    </w:p>
    <w:p w:rsidR="004A192E" w:rsidRPr="00E65A58" w:rsidRDefault="004A192E" w:rsidP="00CC1115">
      <w:pPr>
        <w:rPr>
          <w:rFonts w:asciiTheme="minorHAnsi" w:hAnsiTheme="minorHAnsi"/>
          <w:b/>
        </w:rPr>
      </w:pPr>
    </w:p>
    <w:p w:rsidR="007C3899" w:rsidRPr="00BF40C1" w:rsidRDefault="007C3899" w:rsidP="00CC1115">
      <w:pPr>
        <w:pStyle w:val="Normalpv"/>
        <w:tabs>
          <w:tab w:val="clear" w:pos="1588"/>
          <w:tab w:val="clear" w:pos="1985"/>
          <w:tab w:val="left" w:pos="6804"/>
        </w:tabs>
      </w:pPr>
      <w:r w:rsidRPr="00BF40C1">
        <w:t>The Secretary-General:</w:t>
      </w:r>
      <w:r w:rsidRPr="00BF40C1">
        <w:tab/>
        <w:t>The Chairman</w:t>
      </w:r>
      <w:proofErr w:type="gramStart"/>
      <w:r w:rsidRPr="00BF40C1">
        <w:t>:</w:t>
      </w:r>
      <w:proofErr w:type="gramEnd"/>
      <w:r w:rsidRPr="00BF40C1">
        <w:br/>
      </w:r>
      <w:r w:rsidRPr="00BF40C1">
        <w:rPr>
          <w:szCs w:val="24"/>
        </w:rPr>
        <w:t>H. TOURÉ</w:t>
      </w:r>
      <w:r w:rsidRPr="00BF40C1">
        <w:tab/>
      </w:r>
      <w:r w:rsidRPr="00BF40C1">
        <w:tab/>
      </w:r>
      <w:r>
        <w:rPr>
          <w:szCs w:val="24"/>
        </w:rPr>
        <w:t>W. MIN</w:t>
      </w:r>
    </w:p>
    <w:p w:rsidR="004A192E" w:rsidRPr="007C3899" w:rsidRDefault="004A192E" w:rsidP="00CC1115">
      <w:pPr>
        <w:rPr>
          <w:rFonts w:asciiTheme="minorHAnsi" w:hAnsiTheme="minorHAnsi"/>
        </w:rPr>
      </w:pPr>
    </w:p>
    <w:p w:rsidR="004A192E" w:rsidRPr="005F46D6" w:rsidRDefault="000C231A" w:rsidP="005761BE">
      <w:pPr>
        <w:spacing w:before="720"/>
        <w:rPr>
          <w:rFonts w:asciiTheme="minorHAnsi" w:hAnsiTheme="minorHAnsi"/>
          <w:lang w:val="en-US"/>
        </w:rPr>
      </w:pPr>
      <w:r w:rsidRPr="00D96E88">
        <w:rPr>
          <w:rFonts w:asciiTheme="minorHAnsi" w:hAnsiTheme="minorHAnsi"/>
          <w:b/>
          <w:bCs/>
          <w:lang w:val="en-US"/>
        </w:rPr>
        <w:t>Anne</w:t>
      </w:r>
      <w:bookmarkStart w:id="7" w:name="_GoBack"/>
      <w:bookmarkEnd w:id="7"/>
      <w:r w:rsidRPr="00D96E88">
        <w:rPr>
          <w:rFonts w:asciiTheme="minorHAnsi" w:hAnsiTheme="minorHAnsi"/>
          <w:b/>
          <w:bCs/>
          <w:lang w:val="en-US"/>
        </w:rPr>
        <w:t>xes</w:t>
      </w:r>
      <w:r w:rsidRPr="00D91362">
        <w:rPr>
          <w:rFonts w:asciiTheme="minorHAnsi" w:hAnsiTheme="minorHAnsi"/>
          <w:lang w:val="en-US"/>
        </w:rPr>
        <w:t xml:space="preserve">: </w:t>
      </w:r>
      <w:r w:rsidR="00D662CB" w:rsidRPr="00D91362">
        <w:rPr>
          <w:rFonts w:asciiTheme="minorHAnsi" w:hAnsiTheme="minorHAnsi"/>
          <w:lang w:val="en-US"/>
        </w:rPr>
        <w:t>8</w:t>
      </w:r>
      <w:r w:rsidR="004A192E" w:rsidRPr="005F46D6">
        <w:rPr>
          <w:rFonts w:asciiTheme="minorHAnsi" w:hAnsiTheme="minorHAnsi"/>
          <w:lang w:val="en-US"/>
        </w:rPr>
        <w:br w:type="page"/>
      </w:r>
    </w:p>
    <w:p w:rsidR="004A192E" w:rsidRPr="00E65A58" w:rsidRDefault="004A192E" w:rsidP="00CC1115">
      <w:pPr>
        <w:jc w:val="right"/>
        <w:rPr>
          <w:rFonts w:asciiTheme="minorHAnsi" w:hAnsiTheme="minorHAnsi"/>
          <w:b/>
          <w:bCs/>
        </w:rPr>
      </w:pPr>
      <w:r w:rsidRPr="00E65A58">
        <w:rPr>
          <w:rFonts w:asciiTheme="minorHAnsi" w:hAnsiTheme="minorHAnsi"/>
          <w:b/>
          <w:bCs/>
        </w:rPr>
        <w:lastRenderedPageBreak/>
        <w:t xml:space="preserve">Original: </w:t>
      </w:r>
      <w:r w:rsidRPr="00AB0F6E">
        <w:rPr>
          <w:rFonts w:asciiTheme="minorHAnsi" w:hAnsiTheme="minorHAnsi"/>
          <w:b/>
          <w:bCs/>
        </w:rPr>
        <w:t>English</w:t>
      </w:r>
    </w:p>
    <w:p w:rsidR="00D41863" w:rsidRDefault="004A192E" w:rsidP="00CC1115">
      <w:pPr>
        <w:spacing w:before="480"/>
        <w:jc w:val="center"/>
        <w:rPr>
          <w:rFonts w:asciiTheme="minorHAnsi" w:hAnsiTheme="minorHAnsi"/>
          <w:b/>
          <w:bCs/>
        </w:rPr>
      </w:pPr>
      <w:r w:rsidRPr="00E65A58">
        <w:rPr>
          <w:rFonts w:asciiTheme="minorHAnsi" w:hAnsiTheme="minorHAnsi"/>
          <w:b/>
          <w:bCs/>
        </w:rPr>
        <w:t>Annex A</w:t>
      </w:r>
    </w:p>
    <w:p w:rsidR="00D41863" w:rsidRDefault="00D96E88" w:rsidP="00CC1115">
      <w:pPr>
        <w:jc w:val="center"/>
        <w:rPr>
          <w:rFonts w:asciiTheme="minorHAnsi" w:eastAsia="'宋体" w:hAnsiTheme="minorHAnsi"/>
          <w:b/>
          <w:bCs/>
          <w:szCs w:val="24"/>
        </w:rPr>
      </w:pPr>
      <w:r>
        <w:rPr>
          <w:rFonts w:asciiTheme="minorHAnsi" w:eastAsia="'宋体" w:hAnsiTheme="minorHAnsi"/>
          <w:b/>
          <w:bCs/>
          <w:szCs w:val="24"/>
        </w:rPr>
        <w:t>Statement by the delegate of India (reproduced from Annex 2 to Document 164 (Rev.1)) – Report of the Chairman of the Working Group of the Plenary</w:t>
      </w:r>
    </w:p>
    <w:p w:rsidR="00D41863" w:rsidRDefault="00D41863" w:rsidP="00CC1115">
      <w:pPr>
        <w:jc w:val="center"/>
        <w:rPr>
          <w:rFonts w:asciiTheme="minorHAnsi" w:eastAsia="'宋体" w:hAnsiTheme="minorHAnsi"/>
          <w:b/>
          <w:bCs/>
          <w:szCs w:val="24"/>
        </w:rPr>
      </w:pPr>
    </w:p>
    <w:p w:rsidR="00D41863" w:rsidRPr="005E12F2" w:rsidRDefault="00D41863" w:rsidP="00CC1115">
      <w:pPr>
        <w:spacing w:after="120"/>
        <w:rPr>
          <w:rFonts w:asciiTheme="minorHAnsi" w:hAnsiTheme="minorHAnsi"/>
          <w:szCs w:val="24"/>
        </w:rPr>
      </w:pPr>
      <w:r w:rsidRPr="005E12F2">
        <w:rPr>
          <w:rFonts w:asciiTheme="minorHAnsi" w:hAnsiTheme="minorHAnsi"/>
          <w:szCs w:val="24"/>
        </w:rPr>
        <w:t xml:space="preserve">Chairman of Working Group Plenary, Mr </w:t>
      </w:r>
      <w:proofErr w:type="spellStart"/>
      <w:r w:rsidRPr="005E12F2">
        <w:rPr>
          <w:rFonts w:asciiTheme="minorHAnsi" w:hAnsiTheme="minorHAnsi"/>
          <w:szCs w:val="24"/>
        </w:rPr>
        <w:t>Musab</w:t>
      </w:r>
      <w:proofErr w:type="spellEnd"/>
      <w:r w:rsidRPr="005E12F2">
        <w:rPr>
          <w:rFonts w:asciiTheme="minorHAnsi" w:hAnsiTheme="minorHAnsi"/>
          <w:szCs w:val="24"/>
        </w:rPr>
        <w:t xml:space="preserve"> Abdulla, Head of Delegations, delegates, ladies and gentlemen, good morning to you all. I was indeed impressed with the camaraderie with which discussions were held in</w:t>
      </w:r>
      <w:r>
        <w:rPr>
          <w:rFonts w:asciiTheme="minorHAnsi" w:hAnsiTheme="minorHAnsi"/>
          <w:szCs w:val="24"/>
        </w:rPr>
        <w:t xml:space="preserve"> </w:t>
      </w:r>
      <w:r w:rsidRPr="005E12F2">
        <w:rPr>
          <w:rFonts w:asciiTheme="minorHAnsi" w:hAnsiTheme="minorHAnsi"/>
          <w:szCs w:val="24"/>
        </w:rPr>
        <w:t xml:space="preserve">spite of the fact that delegates discussing the issues have different cultures, languages, nuances, impressions and sometimes, interests. </w:t>
      </w:r>
    </w:p>
    <w:p w:rsidR="00D41863" w:rsidRPr="005E12F2" w:rsidRDefault="00D41863" w:rsidP="00CC1115">
      <w:pPr>
        <w:spacing w:after="120"/>
        <w:rPr>
          <w:rFonts w:asciiTheme="minorHAnsi" w:hAnsiTheme="minorHAnsi"/>
          <w:szCs w:val="24"/>
        </w:rPr>
      </w:pPr>
      <w:r w:rsidRPr="005E12F2">
        <w:rPr>
          <w:rFonts w:asciiTheme="minorHAnsi" w:hAnsiTheme="minorHAnsi"/>
          <w:szCs w:val="24"/>
        </w:rPr>
        <w:t xml:space="preserve">Governance of Packet switched data Telecom Networks based on Internet Protocol (IP), popularly known as Internet, has become an important and contentious issue due to several reasons known to all of us. We proposed a draft resolution to address some of these key issues pertaining to IP based networks. When we put up the proposal, I had thought that the proposal would contribute in diminishing some of the differences. These issues and their probable solutions are given in our draft resolution, document 98, about which we were ready to take constructive inputs.  </w:t>
      </w:r>
    </w:p>
    <w:p w:rsidR="00D41863" w:rsidRPr="005E12F2" w:rsidRDefault="00D41863" w:rsidP="00CC1115">
      <w:pPr>
        <w:spacing w:after="120"/>
        <w:rPr>
          <w:rFonts w:asciiTheme="minorHAnsi" w:hAnsiTheme="minorHAnsi"/>
          <w:szCs w:val="24"/>
        </w:rPr>
      </w:pPr>
      <w:r w:rsidRPr="005E12F2">
        <w:rPr>
          <w:rFonts w:asciiTheme="minorHAnsi" w:hAnsiTheme="minorHAnsi"/>
          <w:szCs w:val="24"/>
        </w:rPr>
        <w:t>Information is power these days. The wise Lord Acton said about hu</w:t>
      </w:r>
      <w:r w:rsidR="00D63E8D">
        <w:rPr>
          <w:rFonts w:asciiTheme="minorHAnsi" w:hAnsiTheme="minorHAnsi"/>
          <w:szCs w:val="24"/>
        </w:rPr>
        <w:t>ndred and fifty years ago that P</w:t>
      </w:r>
      <w:r w:rsidRPr="005E12F2">
        <w:rPr>
          <w:rFonts w:asciiTheme="minorHAnsi" w:hAnsiTheme="minorHAnsi"/>
          <w:szCs w:val="24"/>
        </w:rPr>
        <w:t>ower tends to corrupt and absolute power corrupts absolutely. The countries in modern times have become great on the principles of equality, liberty and justice. As and when these principles were compromised great powers lost their hold. Broadband penetration and connectivity has been the important running theme of this conference. We believe this, like great empires, can only be built on the principles of fairness, justice, and equality. No Telecom Network whether IP based or otherwise can function without naming and numbering, which is the lifeline of a network. Their availability in a fair, just and equitable manner, therefore, is an important public policy issue and needs to be dealt that way. We believe that respecting the principle of sovereignty of information through network functionality and global norms will go a long way in increasing the trust and confidence in use of ICT.</w:t>
      </w:r>
    </w:p>
    <w:p w:rsidR="00D41863" w:rsidRPr="005E12F2" w:rsidRDefault="00D41863" w:rsidP="00CC1115">
      <w:pPr>
        <w:spacing w:after="120"/>
        <w:rPr>
          <w:rFonts w:asciiTheme="minorHAnsi" w:hAnsiTheme="minorHAnsi"/>
          <w:szCs w:val="24"/>
        </w:rPr>
      </w:pPr>
      <w:r w:rsidRPr="005E12F2">
        <w:rPr>
          <w:rFonts w:asciiTheme="minorHAnsi" w:hAnsiTheme="minorHAnsi"/>
          <w:szCs w:val="24"/>
        </w:rPr>
        <w:t>There are number of existing Internet related resolutions, but they only touch the issue in general and, therefore, without focus concrete action does not happen. Our Resolution was with a view to deal with the issues in a focused manner. Some countries supported our draft resolution, while some others were not able to support it. Some stated since the proposal is a comprehensive one, dealing with a number of important issues, more time is needed for them to develop a view on it. Due to the number of proposals with Ad</w:t>
      </w:r>
      <w:r>
        <w:rPr>
          <w:rFonts w:asciiTheme="minorHAnsi" w:hAnsiTheme="minorHAnsi"/>
          <w:szCs w:val="24"/>
        </w:rPr>
        <w:t xml:space="preserve"> </w:t>
      </w:r>
      <w:r w:rsidRPr="005E12F2">
        <w:rPr>
          <w:rFonts w:asciiTheme="minorHAnsi" w:hAnsiTheme="minorHAnsi"/>
          <w:szCs w:val="24"/>
        </w:rPr>
        <w:t>hoc group lined up before our draft resolution, there was no time left for detailed discussion on the proposal. Therefore, India agreed not to press the resolution for discussion due to paucity of time, with an understanding that for these issues of concerns for many Member States, contributions can be made in various fora dealing with development of IP based networks and future networks, including ITU. India would like that discussion should take place on these issues and we look forward to these discussions. We would request that this Statement is included in the records of plenipotentiary-14 meeting.</w:t>
      </w:r>
    </w:p>
    <w:p w:rsidR="00D41863" w:rsidRDefault="00D41863" w:rsidP="00CC1115">
      <w:pPr>
        <w:spacing w:after="120"/>
        <w:rPr>
          <w:rFonts w:asciiTheme="minorHAnsi" w:hAnsiTheme="minorHAnsi"/>
          <w:szCs w:val="24"/>
        </w:rPr>
      </w:pPr>
      <w:r w:rsidRPr="005E12F2">
        <w:rPr>
          <w:rFonts w:asciiTheme="minorHAnsi" w:hAnsiTheme="minorHAnsi"/>
          <w:szCs w:val="24"/>
        </w:rPr>
        <w:t xml:space="preserve">We would like to express our thanks for the cooperation extended by various Member States, particularly USA, for appreciating our concerns and all those who shared our concerns and supported the draft resolution. I would also like to thank Mr Fabio </w:t>
      </w:r>
      <w:proofErr w:type="spellStart"/>
      <w:r w:rsidRPr="005E12F2">
        <w:rPr>
          <w:rFonts w:asciiTheme="minorHAnsi" w:hAnsiTheme="minorHAnsi"/>
          <w:szCs w:val="24"/>
        </w:rPr>
        <w:t>Bigi</w:t>
      </w:r>
      <w:proofErr w:type="spellEnd"/>
      <w:r w:rsidRPr="005E12F2">
        <w:rPr>
          <w:rFonts w:asciiTheme="minorHAnsi" w:hAnsiTheme="minorHAnsi"/>
          <w:szCs w:val="24"/>
        </w:rPr>
        <w:t xml:space="preserve">, Chairman of </w:t>
      </w:r>
      <w:proofErr w:type="spellStart"/>
      <w:r w:rsidRPr="005E12F2">
        <w:rPr>
          <w:rFonts w:asciiTheme="minorHAnsi" w:hAnsiTheme="minorHAnsi"/>
          <w:szCs w:val="24"/>
        </w:rPr>
        <w:t>Adhoc</w:t>
      </w:r>
      <w:proofErr w:type="spellEnd"/>
      <w:r w:rsidRPr="005E12F2">
        <w:rPr>
          <w:rFonts w:asciiTheme="minorHAnsi" w:hAnsiTheme="minorHAnsi"/>
          <w:szCs w:val="24"/>
        </w:rPr>
        <w:t xml:space="preserve"> Working Group for giving patient hearing to all us and tolerating all our idiosyncrasies and still arriving at consensus. This is because of his wisdom, which comes with experience.  </w:t>
      </w:r>
      <w:r>
        <w:rPr>
          <w:rFonts w:asciiTheme="minorHAnsi" w:hAnsiTheme="minorHAnsi"/>
          <w:szCs w:val="24"/>
        </w:rPr>
        <w:t>Thank you all.</w:t>
      </w:r>
    </w:p>
    <w:p w:rsidR="00D41863" w:rsidRPr="00E65A58" w:rsidRDefault="00D41863" w:rsidP="00CC1115">
      <w:pPr>
        <w:jc w:val="right"/>
        <w:rPr>
          <w:rFonts w:asciiTheme="minorHAnsi" w:hAnsiTheme="minorHAnsi"/>
          <w:b/>
          <w:bCs/>
        </w:rPr>
      </w:pPr>
      <w:r w:rsidRPr="00E65A58">
        <w:rPr>
          <w:rFonts w:asciiTheme="minorHAnsi" w:hAnsiTheme="minorHAnsi"/>
          <w:b/>
          <w:bCs/>
        </w:rPr>
        <w:lastRenderedPageBreak/>
        <w:t xml:space="preserve">Original: </w:t>
      </w:r>
      <w:r w:rsidRPr="00AB0F6E">
        <w:rPr>
          <w:rFonts w:asciiTheme="minorHAnsi" w:hAnsiTheme="minorHAnsi"/>
          <w:b/>
          <w:bCs/>
        </w:rPr>
        <w:t>English</w:t>
      </w:r>
    </w:p>
    <w:p w:rsidR="00D41863" w:rsidRDefault="00D41863" w:rsidP="00CC1115">
      <w:pPr>
        <w:spacing w:before="480"/>
        <w:jc w:val="center"/>
        <w:rPr>
          <w:rFonts w:asciiTheme="minorHAnsi" w:hAnsiTheme="minorHAnsi"/>
          <w:b/>
          <w:bCs/>
        </w:rPr>
      </w:pPr>
      <w:r>
        <w:rPr>
          <w:rFonts w:asciiTheme="minorHAnsi" w:hAnsiTheme="minorHAnsi"/>
          <w:b/>
          <w:bCs/>
        </w:rPr>
        <w:t>Annex B</w:t>
      </w:r>
    </w:p>
    <w:p w:rsidR="009D26D0" w:rsidRPr="007B401D" w:rsidRDefault="00D96E88" w:rsidP="00CC1115">
      <w:pPr>
        <w:jc w:val="center"/>
        <w:rPr>
          <w:b/>
          <w:bCs/>
        </w:rPr>
      </w:pPr>
      <w:r>
        <w:rPr>
          <w:b/>
          <w:bCs/>
        </w:rPr>
        <w:t>Agreed statement</w:t>
      </w:r>
      <w:r w:rsidR="009D26D0" w:rsidRPr="007B401D">
        <w:rPr>
          <w:b/>
          <w:bCs/>
        </w:rPr>
        <w:t xml:space="preserve"> by the </w:t>
      </w:r>
      <w:r w:rsidR="009D26D0">
        <w:rPr>
          <w:b/>
          <w:bCs/>
        </w:rPr>
        <w:t>ITU Secretary-General</w:t>
      </w:r>
    </w:p>
    <w:p w:rsidR="009D26D0" w:rsidRDefault="009D26D0" w:rsidP="00CC1115">
      <w:r>
        <w:t xml:space="preserve">With regard to </w:t>
      </w:r>
      <w:r w:rsidRPr="00747C39">
        <w:t>the proposal cont</w:t>
      </w:r>
      <w:r w:rsidR="001902B0">
        <w:t>ained in Document PP-14/84(Rev.2</w:t>
      </w:r>
      <w:r w:rsidRPr="00747C39">
        <w:t>)</w:t>
      </w:r>
      <w:r>
        <w:t xml:space="preserve"> and supporting information in </w:t>
      </w:r>
      <w:r w:rsidRPr="00FD7D7F">
        <w:t>Document INF/13-E</w:t>
      </w:r>
      <w:r>
        <w:t>,</w:t>
      </w:r>
      <w:r w:rsidRPr="00FD7D7F">
        <w:t xml:space="preserve"> </w:t>
      </w:r>
      <w:r>
        <w:t>in which t</w:t>
      </w:r>
      <w:r w:rsidRPr="009C6C43">
        <w:t>h</w:t>
      </w:r>
      <w:r>
        <w:t>e Administration of Ukraine</w:t>
      </w:r>
      <w:r w:rsidRPr="008638D6">
        <w:t xml:space="preserve"> </w:t>
      </w:r>
      <w:r>
        <w:t xml:space="preserve">expressed its serious concern as regards its sovereign right to regulate its telecommunication and use its numbering resource </w:t>
      </w:r>
      <w:r w:rsidRPr="009C6C43">
        <w:t>in the territories of the Autonomous Republic of Crimea and the city of Sevastopol</w:t>
      </w:r>
      <w:r>
        <w:t xml:space="preserve"> and its right to use the radio frequencies, establish and operate its radio stations in accordance with the provisions of the ITU Radio Regulations and corresponding</w:t>
      </w:r>
      <w:r w:rsidR="00D63E8D">
        <w:t xml:space="preserve"> Regional Agreements, concluded</w:t>
      </w:r>
      <w:r>
        <w:t xml:space="preserve"> </w:t>
      </w:r>
      <w:r w:rsidRPr="00336BA3">
        <w:t xml:space="preserve">under the auspices of </w:t>
      </w:r>
      <w:r>
        <w:t>the ITU, within internationall</w:t>
      </w:r>
      <w:r w:rsidR="001902B0">
        <w:t>y recognized borders of Ukraine,</w:t>
      </w:r>
      <w:r>
        <w:t xml:space="preserve"> </w:t>
      </w:r>
      <w:r w:rsidRPr="007B401D">
        <w:t>I have the honour t</w:t>
      </w:r>
      <w:r>
        <w:t>o make the following statement, which will be recorded</w:t>
      </w:r>
      <w:r w:rsidRPr="007B401D">
        <w:t xml:space="preserve">, </w:t>
      </w:r>
      <w:r w:rsidRPr="008E2200">
        <w:rPr>
          <w:i/>
          <w:iCs/>
        </w:rPr>
        <w:t xml:space="preserve">in </w:t>
      </w:r>
      <w:proofErr w:type="spellStart"/>
      <w:r w:rsidRPr="008E2200">
        <w:rPr>
          <w:i/>
          <w:iCs/>
        </w:rPr>
        <w:t>extenso</w:t>
      </w:r>
      <w:proofErr w:type="spellEnd"/>
      <w:r w:rsidRPr="007B401D">
        <w:t>,</w:t>
      </w:r>
      <w:r w:rsidRPr="007B401D">
        <w:rPr>
          <w:b/>
          <w:bCs/>
        </w:rPr>
        <w:t xml:space="preserve"> </w:t>
      </w:r>
      <w:r>
        <w:t>in the minutes of this plenary:</w:t>
      </w:r>
    </w:p>
    <w:p w:rsidR="009D26D0" w:rsidRDefault="001902B0" w:rsidP="00CC1115">
      <w:r>
        <w:t xml:space="preserve">“1) </w:t>
      </w:r>
      <w:r w:rsidR="009D26D0">
        <w:t xml:space="preserve">The International Telecommunication Union is a specialized agency of the United Nations whose priority objectives include, through the development of telecommunications, to preserve peace and foster the economic and social development of all its Member States, as well as the adoption of measures for ensuring the safety of life through the cooperation of telecommunication services, noble objectives which every Member State must endeavour to serve. </w:t>
      </w:r>
    </w:p>
    <w:p w:rsidR="009D26D0" w:rsidRPr="008E2200" w:rsidRDefault="009D26D0" w:rsidP="00CC1115">
      <w:pPr>
        <w:pStyle w:val="ListParagraph"/>
        <w:numPr>
          <w:ilvl w:val="0"/>
          <w:numId w:val="1"/>
        </w:numPr>
        <w:tabs>
          <w:tab w:val="clear" w:pos="567"/>
          <w:tab w:val="clear" w:pos="1134"/>
          <w:tab w:val="clear" w:pos="1701"/>
          <w:tab w:val="clear" w:pos="2268"/>
          <w:tab w:val="clear" w:pos="2835"/>
        </w:tabs>
        <w:overflowPunct/>
        <w:autoSpaceDE/>
        <w:autoSpaceDN/>
        <w:adjustRightInd/>
        <w:spacing w:before="0" w:after="200"/>
        <w:textAlignment w:val="auto"/>
      </w:pPr>
      <w:r w:rsidRPr="000C492E">
        <w:t>The ITU</w:t>
      </w:r>
      <w:r>
        <w:t>, through my statement,</w:t>
      </w:r>
      <w:r w:rsidRPr="000C492E">
        <w:t xml:space="preserve"> </w:t>
      </w:r>
      <w:r>
        <w:t xml:space="preserve">expresses its serious concerns about situation in the </w:t>
      </w:r>
      <w:r w:rsidRPr="000C492E">
        <w:t xml:space="preserve">above mentioned </w:t>
      </w:r>
      <w:r>
        <w:t>territories, and reaffirms that all IT</w:t>
      </w:r>
      <w:r w:rsidR="00EF041C">
        <w:t>U Member States have to respect</w:t>
      </w:r>
      <w:r>
        <w:t xml:space="preserve"> </w:t>
      </w:r>
      <w:r w:rsidRPr="00501D05">
        <w:t>the fundamental principles set forth in the</w:t>
      </w:r>
      <w:r>
        <w:t xml:space="preserve"> Instruments of the Union,</w:t>
      </w:r>
      <w:r w:rsidRPr="00501D05">
        <w:t xml:space="preserve"> </w:t>
      </w:r>
      <w:r>
        <w:t xml:space="preserve">in particular </w:t>
      </w:r>
      <w:r w:rsidRPr="00501D05">
        <w:t xml:space="preserve">the sovereign right of </w:t>
      </w:r>
      <w:r>
        <w:t xml:space="preserve">each Member State, among which, Ukraine, </w:t>
      </w:r>
      <w:r w:rsidRPr="00501D05">
        <w:t>to regulate its telecommunication</w:t>
      </w:r>
      <w:r>
        <w:t>s</w:t>
      </w:r>
      <w:r w:rsidRPr="00501D05">
        <w:t xml:space="preserve"> </w:t>
      </w:r>
      <w:r>
        <w:t xml:space="preserve">within its internationally recognized borders. As a specialized agency, the Union shall take into account </w:t>
      </w:r>
      <w:r w:rsidRPr="00336BA3">
        <w:t>requests</w:t>
      </w:r>
      <w:r>
        <w:t xml:space="preserve"> handed down by the United Nations General Assembly (UNGA) that includes, in the present instance, the call </w:t>
      </w:r>
      <w:r w:rsidRPr="00D97EFC">
        <w:t>addressed to specialized agencies</w:t>
      </w:r>
      <w:r>
        <w:t xml:space="preserve"> in UNGA Resolution 68/262 (2014) “</w:t>
      </w:r>
      <w:r w:rsidRPr="003668F8">
        <w:rPr>
          <w:i/>
          <w:iCs/>
        </w:rPr>
        <w:t>not to recognize any alteration of the status of the Autonomous Republic of Crimea and the city of Sevastopol</w:t>
      </w:r>
      <w:r>
        <w:t xml:space="preserve">” </w:t>
      </w:r>
      <w:r w:rsidRPr="003668F8">
        <w:rPr>
          <w:szCs w:val="24"/>
        </w:rPr>
        <w:t xml:space="preserve">and </w:t>
      </w:r>
      <w:r w:rsidRPr="003668F8">
        <w:rPr>
          <w:i/>
          <w:szCs w:val="24"/>
        </w:rPr>
        <w:t>“to refrain from any action or dealing that might be interpreted as recognizing any such altered status”</w:t>
      </w:r>
      <w:r>
        <w:t>.</w:t>
      </w:r>
      <w:r w:rsidRPr="00336BA3">
        <w:t xml:space="preserve"> </w:t>
      </w:r>
    </w:p>
    <w:p w:rsidR="009D26D0" w:rsidRDefault="009D26D0" w:rsidP="00CC1115">
      <w:pPr>
        <w:pStyle w:val="ListParagraph"/>
        <w:numPr>
          <w:ilvl w:val="0"/>
          <w:numId w:val="1"/>
        </w:numPr>
        <w:tabs>
          <w:tab w:val="clear" w:pos="567"/>
          <w:tab w:val="clear" w:pos="1134"/>
          <w:tab w:val="clear" w:pos="1701"/>
          <w:tab w:val="clear" w:pos="2268"/>
          <w:tab w:val="clear" w:pos="2835"/>
        </w:tabs>
        <w:overflowPunct/>
        <w:autoSpaceDE/>
        <w:autoSpaceDN/>
        <w:adjustRightInd/>
        <w:spacing w:before="0" w:after="200"/>
        <w:textAlignment w:val="auto"/>
      </w:pPr>
      <w:r w:rsidRPr="008638D6">
        <w:t xml:space="preserve">The same principles shall also </w:t>
      </w:r>
      <w:r>
        <w:t>apply in respect of any actions that may be required of the General Secretariat and the three Bureaux in order to assist its Member States and, in particular, Ukraine to ensure the use of all its international telecommunication services</w:t>
      </w:r>
      <w:r w:rsidRPr="00DC7C45">
        <w:t xml:space="preserve"> </w:t>
      </w:r>
      <w:r>
        <w:t xml:space="preserve">and resources as well as of any actions that may be taken by future ITU conferences and assemblies pertaining to Ukraine’s requirements in regard to use of the frequency spectrum and numbering codes on its territory. </w:t>
      </w:r>
    </w:p>
    <w:p w:rsidR="009D26D0" w:rsidRPr="008638D6" w:rsidRDefault="009D26D0" w:rsidP="00CC1115">
      <w:pPr>
        <w:pStyle w:val="ListParagraph"/>
        <w:numPr>
          <w:ilvl w:val="0"/>
          <w:numId w:val="1"/>
        </w:numPr>
        <w:tabs>
          <w:tab w:val="clear" w:pos="567"/>
          <w:tab w:val="clear" w:pos="1134"/>
          <w:tab w:val="clear" w:pos="1701"/>
          <w:tab w:val="clear" w:pos="2268"/>
          <w:tab w:val="clear" w:pos="2835"/>
        </w:tabs>
        <w:overflowPunct/>
        <w:autoSpaceDE/>
        <w:autoSpaceDN/>
        <w:adjustRightInd/>
        <w:spacing w:before="0" w:after="200"/>
        <w:textAlignment w:val="auto"/>
      </w:pPr>
      <w:r w:rsidRPr="009D4AB4">
        <w:t xml:space="preserve">Taking into account the obligations of Ukraine, as </w:t>
      </w:r>
      <w:r>
        <w:t>a Party to</w:t>
      </w:r>
      <w:r w:rsidRPr="009D4AB4">
        <w:t xml:space="preserve"> the GE06 Agreement, in respect of the completion of transition from analogue to digital television bro</w:t>
      </w:r>
      <w:r>
        <w:t>adcasting till 17 June 2015, it is</w:t>
      </w:r>
      <w:r w:rsidRPr="009D4AB4">
        <w:t xml:space="preserve"> recognize</w:t>
      </w:r>
      <w:r>
        <w:t>d</w:t>
      </w:r>
      <w:r w:rsidRPr="009D4AB4">
        <w:t xml:space="preserve"> that in the territories </w:t>
      </w:r>
      <w:r>
        <w:t>in question</w:t>
      </w:r>
      <w:r w:rsidRPr="009D4AB4">
        <w:t>, under the present conditions, Ukraine will not have a possibility to ensure the completion of the abovementioned transition.</w:t>
      </w:r>
    </w:p>
    <w:p w:rsidR="009D26D0" w:rsidRDefault="009D26D0" w:rsidP="00CC1115">
      <w:pPr>
        <w:pStyle w:val="ListParagraph"/>
        <w:numPr>
          <w:ilvl w:val="0"/>
          <w:numId w:val="1"/>
        </w:numPr>
        <w:tabs>
          <w:tab w:val="clear" w:pos="567"/>
          <w:tab w:val="clear" w:pos="1134"/>
          <w:tab w:val="clear" w:pos="1701"/>
          <w:tab w:val="clear" w:pos="2268"/>
          <w:tab w:val="clear" w:pos="2835"/>
        </w:tabs>
        <w:overflowPunct/>
        <w:autoSpaceDE/>
        <w:autoSpaceDN/>
        <w:adjustRightInd/>
        <w:spacing w:before="0" w:after="200"/>
        <w:textAlignment w:val="auto"/>
      </w:pPr>
      <w:r w:rsidRPr="008638D6">
        <w:t xml:space="preserve">The </w:t>
      </w:r>
      <w:r>
        <w:t>ITU,</w:t>
      </w:r>
      <w:r w:rsidRPr="008638D6">
        <w:t xml:space="preserve"> through </w:t>
      </w:r>
      <w:r>
        <w:t>my statement</w:t>
      </w:r>
      <w:r w:rsidRPr="008638D6">
        <w:t xml:space="preserve">, </w:t>
      </w:r>
      <w:r>
        <w:t xml:space="preserve">urges the </w:t>
      </w:r>
      <w:r w:rsidRPr="008614FB">
        <w:t xml:space="preserve">Russian Federation </w:t>
      </w:r>
      <w:r>
        <w:t>a</w:t>
      </w:r>
      <w:r w:rsidRPr="008614FB">
        <w:t>dministration</w:t>
      </w:r>
      <w:r>
        <w:t xml:space="preserve"> and the Ukrainian administration</w:t>
      </w:r>
      <w:r w:rsidRPr="008614FB">
        <w:t xml:space="preserve"> </w:t>
      </w:r>
      <w:r>
        <w:t xml:space="preserve">to settle their dispute referred to above as expeditiously as possible and in conformance with the </w:t>
      </w:r>
      <w:r w:rsidRPr="00C123A8">
        <w:t xml:space="preserve">provisions of </w:t>
      </w:r>
      <w:r>
        <w:t>the ITU</w:t>
      </w:r>
      <w:r w:rsidRPr="00C123A8">
        <w:t xml:space="preserve"> Constitution</w:t>
      </w:r>
      <w:r>
        <w:t>, Convention and</w:t>
      </w:r>
      <w:r w:rsidRPr="00C123A8">
        <w:t xml:space="preserve"> </w:t>
      </w:r>
      <w:r>
        <w:t xml:space="preserve">the </w:t>
      </w:r>
      <w:r w:rsidRPr="00C123A8">
        <w:t>Administrative Regulations</w:t>
      </w:r>
      <w:r>
        <w:t xml:space="preserve"> in the interests of the population of the </w:t>
      </w:r>
      <w:r w:rsidRPr="000724D4">
        <w:t>territory of the Autonomous Republic of Crimea and the city of Sevastopol</w:t>
      </w:r>
      <w:r>
        <w:t>, and invites all Member States and the international community as a whole to spare no effort to that end.</w:t>
      </w:r>
      <w:r w:rsidR="00B05661">
        <w:t>”</w:t>
      </w:r>
    </w:p>
    <w:p w:rsidR="00E55397" w:rsidRPr="00E65A58" w:rsidRDefault="00E55397" w:rsidP="00CC1115">
      <w:pPr>
        <w:jc w:val="right"/>
        <w:rPr>
          <w:rFonts w:asciiTheme="minorHAnsi" w:hAnsiTheme="minorHAnsi"/>
          <w:b/>
          <w:bCs/>
        </w:rPr>
      </w:pPr>
      <w:r w:rsidRPr="00E65A58">
        <w:rPr>
          <w:rFonts w:asciiTheme="minorHAnsi" w:hAnsiTheme="minorHAnsi"/>
          <w:b/>
          <w:bCs/>
        </w:rPr>
        <w:lastRenderedPageBreak/>
        <w:t xml:space="preserve">Original: </w:t>
      </w:r>
      <w:r w:rsidRPr="00AB0F6E">
        <w:rPr>
          <w:rFonts w:asciiTheme="minorHAnsi" w:hAnsiTheme="minorHAnsi"/>
          <w:b/>
          <w:bCs/>
        </w:rPr>
        <w:t>English</w:t>
      </w:r>
    </w:p>
    <w:p w:rsidR="00E55397" w:rsidRPr="00E65A58" w:rsidRDefault="00D41863" w:rsidP="00CC1115">
      <w:pPr>
        <w:spacing w:before="480"/>
        <w:jc w:val="center"/>
        <w:rPr>
          <w:rFonts w:asciiTheme="minorHAnsi" w:hAnsiTheme="minorHAnsi"/>
          <w:b/>
          <w:bCs/>
        </w:rPr>
      </w:pPr>
      <w:r>
        <w:rPr>
          <w:rFonts w:asciiTheme="minorHAnsi" w:hAnsiTheme="minorHAnsi"/>
          <w:b/>
          <w:bCs/>
        </w:rPr>
        <w:t>Annex C</w:t>
      </w:r>
    </w:p>
    <w:p w:rsidR="0017606C" w:rsidRDefault="0017606C"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p>
    <w:p w:rsidR="0017606C" w:rsidRPr="0017606C" w:rsidRDefault="00301F8D" w:rsidP="00CC1115">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rPr>
      </w:pPr>
      <w:r>
        <w:rPr>
          <w:rFonts w:asciiTheme="minorHAnsi" w:hAnsiTheme="minorHAnsi"/>
          <w:b/>
          <w:bCs/>
        </w:rPr>
        <w:t>Statement by the delegat</w:t>
      </w:r>
      <w:r w:rsidR="00082395">
        <w:rPr>
          <w:rFonts w:asciiTheme="minorHAnsi" w:hAnsiTheme="minorHAnsi"/>
          <w:b/>
          <w:bCs/>
        </w:rPr>
        <w:t>e</w:t>
      </w:r>
      <w:r>
        <w:rPr>
          <w:rFonts w:asciiTheme="minorHAnsi" w:hAnsiTheme="minorHAnsi"/>
          <w:b/>
          <w:bCs/>
        </w:rPr>
        <w:t xml:space="preserve"> of Ukraine</w:t>
      </w:r>
    </w:p>
    <w:p w:rsidR="0017606C" w:rsidRPr="0017606C" w:rsidRDefault="0017606C"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p>
    <w:p w:rsidR="0017606C" w:rsidRDefault="0017606C"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r w:rsidRPr="0017606C">
        <w:rPr>
          <w:rFonts w:asciiTheme="minorHAnsi" w:hAnsiTheme="minorHAnsi"/>
        </w:rPr>
        <w:t>Ukraine would like to express its support to the ITU and its Secretary</w:t>
      </w:r>
      <w:r w:rsidR="00301F8D">
        <w:rPr>
          <w:rFonts w:asciiTheme="minorHAnsi" w:hAnsiTheme="minorHAnsi"/>
        </w:rPr>
        <w:t xml:space="preserve">-General, Mr Hamadoun </w:t>
      </w:r>
      <w:r w:rsidR="00DE23B6">
        <w:rPr>
          <w:rFonts w:asciiTheme="minorHAnsi" w:hAnsiTheme="minorHAnsi"/>
        </w:rPr>
        <w:t>Touré</w:t>
      </w:r>
      <w:r w:rsidRPr="0017606C">
        <w:rPr>
          <w:rFonts w:asciiTheme="minorHAnsi" w:hAnsiTheme="minorHAnsi"/>
        </w:rPr>
        <w:t>, which affirms Ukraine’s sovereign rights, given by the ITU Constitution and Administrative Regulations, to regulate its telecommunication and use its frequency spectrum and numbering resource in the temporarily occupied territories of the Autonomous Republic of Crimea and the city of Sevastopol.</w:t>
      </w:r>
    </w:p>
    <w:p w:rsidR="0017606C" w:rsidRPr="0017606C" w:rsidRDefault="0017606C"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p>
    <w:p w:rsidR="0017606C" w:rsidRDefault="0017606C"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r w:rsidRPr="0017606C">
        <w:rPr>
          <w:rFonts w:asciiTheme="minorHAnsi" w:hAnsiTheme="minorHAnsi"/>
        </w:rPr>
        <w:t xml:space="preserve">Ukraine invites to draw attention of this Plenipotentiary Conference and expresses also its deep concern by the information of the International Civil Aviation Organization that the actions of the Russian Federation caused the possible serious risks to the safety of international civil flights within airspace of the Simferopol flight information region which is </w:t>
      </w:r>
      <w:r w:rsidR="00301F8D">
        <w:rPr>
          <w:rFonts w:asciiTheme="minorHAnsi" w:hAnsiTheme="minorHAnsi"/>
        </w:rPr>
        <w:t xml:space="preserve">reorganized </w:t>
      </w:r>
      <w:r w:rsidRPr="0017606C">
        <w:rPr>
          <w:rFonts w:asciiTheme="minorHAnsi" w:hAnsiTheme="minorHAnsi"/>
        </w:rPr>
        <w:t>under the responsibility of Ukraine.</w:t>
      </w:r>
    </w:p>
    <w:p w:rsidR="0017606C" w:rsidRPr="0017606C" w:rsidRDefault="0017606C"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p>
    <w:p w:rsidR="0017606C" w:rsidRDefault="0017606C"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r w:rsidRPr="0017606C">
        <w:rPr>
          <w:rFonts w:asciiTheme="minorHAnsi" w:hAnsiTheme="minorHAnsi"/>
        </w:rPr>
        <w:t>Ukraine welcomes the great success of this ITU Plenipotentiary Conference and the statement of the Secretary-General, which confirm the adherence of the Union to the provisions of the Basic Texts, thus promoting cooperation, international solidarity and respect for sovereignty of its Member States.</w:t>
      </w:r>
    </w:p>
    <w:p w:rsidR="0017606C" w:rsidRPr="0017606C" w:rsidRDefault="0017606C"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p>
    <w:p w:rsidR="00CC1115" w:rsidRDefault="0017606C"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r w:rsidRPr="0017606C">
        <w:rPr>
          <w:rFonts w:asciiTheme="minorHAnsi" w:hAnsiTheme="minorHAnsi"/>
        </w:rPr>
        <w:t xml:space="preserve">Ukraine asks the ITU Secretary-General to bring this statement to the attention of the Secretary-General of the United Nations in reply to the </w:t>
      </w:r>
      <w:r w:rsidR="00301F8D">
        <w:rPr>
          <w:rFonts w:asciiTheme="minorHAnsi" w:hAnsiTheme="minorHAnsi"/>
        </w:rPr>
        <w:t>United Nations General Assembly</w:t>
      </w:r>
      <w:r w:rsidRPr="0017606C">
        <w:rPr>
          <w:rFonts w:asciiTheme="minorHAnsi" w:hAnsiTheme="minorHAnsi"/>
        </w:rPr>
        <w:t xml:space="preserve"> Resolution 68/262 (2014). </w:t>
      </w:r>
    </w:p>
    <w:p w:rsidR="00E55397" w:rsidRDefault="00E55397"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r>
        <w:rPr>
          <w:rFonts w:asciiTheme="minorHAnsi" w:hAnsiTheme="minorHAnsi"/>
        </w:rPr>
        <w:br w:type="page"/>
      </w:r>
    </w:p>
    <w:p w:rsidR="00032F43" w:rsidRPr="00032F43" w:rsidRDefault="00032F43" w:rsidP="00032F43">
      <w:pPr>
        <w:jc w:val="right"/>
        <w:rPr>
          <w:rFonts w:asciiTheme="minorHAnsi" w:hAnsiTheme="minorHAnsi"/>
          <w:b/>
          <w:bCs/>
        </w:rPr>
      </w:pPr>
      <w:r w:rsidRPr="00032F43">
        <w:rPr>
          <w:rFonts w:asciiTheme="minorHAnsi" w:hAnsiTheme="minorHAnsi"/>
          <w:b/>
          <w:bCs/>
        </w:rPr>
        <w:lastRenderedPageBreak/>
        <w:t>Original: Russian</w:t>
      </w:r>
    </w:p>
    <w:p w:rsidR="00032F43" w:rsidRPr="00032F43" w:rsidRDefault="00032F43" w:rsidP="00032F43">
      <w:pPr>
        <w:jc w:val="center"/>
        <w:rPr>
          <w:b/>
          <w:bCs/>
          <w:lang w:val="en-US"/>
        </w:rPr>
      </w:pPr>
      <w:r w:rsidRPr="00032F43">
        <w:rPr>
          <w:b/>
          <w:bCs/>
          <w:lang w:val="en-US"/>
        </w:rPr>
        <w:t>Annex D</w:t>
      </w:r>
    </w:p>
    <w:p w:rsidR="00032F43" w:rsidRPr="00032F43" w:rsidRDefault="00032F43" w:rsidP="00032F43">
      <w:pPr>
        <w:jc w:val="center"/>
        <w:rPr>
          <w:b/>
          <w:bCs/>
          <w:lang w:val="en-US"/>
        </w:rPr>
      </w:pPr>
      <w:r w:rsidRPr="00032F43">
        <w:rPr>
          <w:b/>
          <w:bCs/>
          <w:lang w:val="en-US"/>
        </w:rPr>
        <w:t>Statement by the delegate of the Russian Federation</w:t>
      </w:r>
    </w:p>
    <w:p w:rsidR="00032F43" w:rsidRDefault="00032F43" w:rsidP="00032F43">
      <w:pPr>
        <w:rPr>
          <w:lang w:val="en-US"/>
        </w:rPr>
      </w:pPr>
      <w:r w:rsidRPr="00C75F4D">
        <w:rPr>
          <w:lang w:val="en-US"/>
        </w:rPr>
        <w:t xml:space="preserve">On behalf of the Russian delegation, I would like to thank the Secretary-General, whose </w:t>
      </w:r>
      <w:r>
        <w:rPr>
          <w:lang w:val="en-US"/>
        </w:rPr>
        <w:t>address we have listened to attentively.</w:t>
      </w:r>
    </w:p>
    <w:p w:rsidR="00032F43" w:rsidRPr="00C75F4D" w:rsidRDefault="00032F43" w:rsidP="00032F43">
      <w:pPr>
        <w:rPr>
          <w:lang w:val="en-US"/>
        </w:rPr>
      </w:pPr>
      <w:r>
        <w:rPr>
          <w:lang w:val="en-US"/>
        </w:rPr>
        <w:t>The International Telecommunication Union, under the terms of its statutory documents, has no authority to discuss issues of a general political nature, including issues concerning the territorial integrity and national sovereignty of States. There are international bodies to resolve such issues, specifically the United Nations Security Council. Nevertheless we cannot fail to respond to the statement made by the delegation of Ukraine, inasmuch as the words spoken by the Ukrainian representative directly touch on the matter of the national sovereignty of the Russian Federation. The delegation of the Russian Federation therefore wishes to make the following statement.</w:t>
      </w:r>
    </w:p>
    <w:p w:rsidR="00032F43" w:rsidRDefault="00032F43" w:rsidP="00032F43">
      <w:r>
        <w:t>1.</w:t>
      </w:r>
      <w:r>
        <w:tab/>
        <w:t xml:space="preserve">The Ukrainian statement concerns issues pertaining to the status of the Republic of Crimea and the city of Sevastopol as an integral part of the Russian Federation and thus goes beyond the International Telecommunications Union’s terms of reference. Discussion of this issue by the plenipotentiary conference is therefore </w:t>
      </w:r>
      <w:r w:rsidRPr="00154FB3">
        <w:rPr>
          <w:i/>
          <w:iCs/>
        </w:rPr>
        <w:t>ultra vires</w:t>
      </w:r>
      <w:r>
        <w:t>.</w:t>
      </w:r>
    </w:p>
    <w:p w:rsidR="00032F43" w:rsidRDefault="00032F43" w:rsidP="00032F43">
      <w:r>
        <w:t>2.</w:t>
      </w:r>
      <w:r>
        <w:tab/>
        <w:t>The basic tenets of the Ukrainian delegation’s statement are at variance with the universally recognized principles of international law concerning the equality of rights and self-determination of peoples and non-interference in the internal affairs of States.</w:t>
      </w:r>
    </w:p>
    <w:p w:rsidR="00032F43" w:rsidRDefault="00032F43" w:rsidP="00032F43">
      <w:r>
        <w:t>3.</w:t>
      </w:r>
      <w:r>
        <w:tab/>
        <w:t xml:space="preserve">According to the universally recognized principle of the equality of rights and self-determination of peoples enshrined in the United Nations Charter, based on the free and voluntary expression of the will of the people of Crimea in the all-Crimea referendum held in the Autonomous Republic of Crimea and the city of Sevastopol on 16 March 2014, and under the terms of the </w:t>
      </w:r>
      <w:r w:rsidRPr="00904C61">
        <w:t>Agreement between the Russian Federation and the Republic of Crimea on the accession of the Republic of Crimea to the Russian Federation and the creation of new constituent entities within the Russian Federation</w:t>
      </w:r>
      <w:r>
        <w:t xml:space="preserve"> (Moscow, 18 March 2014), the Republic of Crimea and the city of Sevastopol have become an integral part of the Russian Federation.</w:t>
      </w:r>
    </w:p>
    <w:p w:rsidR="00032F43" w:rsidRDefault="00032F43" w:rsidP="00032F43">
      <w:r>
        <w:t>This being the case, the Russian Federation, by way of succession, has become fully responsible for radio facilities within the territory of the Republic of Crimea and city of Sevastopol, including in regard to compliance with the rules and procedures ensuing from the ITU Convention and Radio Regulations and the International Convention for the Safety of Life at Sea, 1974.</w:t>
      </w:r>
    </w:p>
    <w:p w:rsidR="00032F43" w:rsidRPr="00567FF5" w:rsidRDefault="00032F43" w:rsidP="00032F43">
      <w:r>
        <w:t>In the light of this, and in view of the legally and politically unfounded nature of the arguments put forward by the Ukrainian side, the delegation of the Russian Federation supports withdrawal of the document from the discussion.</w:t>
      </w:r>
    </w:p>
    <w:p w:rsidR="00032F43" w:rsidRDefault="00032F43" w:rsidP="00CC1115">
      <w:pPr>
        <w:jc w:val="right"/>
        <w:rPr>
          <w:rFonts w:asciiTheme="minorHAnsi" w:hAnsiTheme="minorHAnsi"/>
          <w:b/>
          <w:bCs/>
        </w:rPr>
      </w:pPr>
      <w:r>
        <w:rPr>
          <w:rFonts w:asciiTheme="minorHAnsi" w:hAnsiTheme="minorHAnsi"/>
          <w:b/>
          <w:bCs/>
        </w:rPr>
        <w:br w:type="page"/>
      </w:r>
    </w:p>
    <w:p w:rsidR="00E55397" w:rsidRPr="00E65A58" w:rsidRDefault="00E55397" w:rsidP="00CC1115">
      <w:pPr>
        <w:jc w:val="right"/>
        <w:rPr>
          <w:rFonts w:asciiTheme="minorHAnsi" w:hAnsiTheme="minorHAnsi"/>
          <w:b/>
          <w:bCs/>
        </w:rPr>
      </w:pPr>
      <w:r w:rsidRPr="00E65A58">
        <w:rPr>
          <w:rFonts w:asciiTheme="minorHAnsi" w:hAnsiTheme="minorHAnsi"/>
          <w:b/>
          <w:bCs/>
        </w:rPr>
        <w:lastRenderedPageBreak/>
        <w:t xml:space="preserve">Original: </w:t>
      </w:r>
      <w:r w:rsidRPr="00D91362">
        <w:rPr>
          <w:rFonts w:asciiTheme="minorHAnsi" w:hAnsiTheme="minorHAnsi"/>
          <w:b/>
          <w:bCs/>
        </w:rPr>
        <w:t>English</w:t>
      </w:r>
    </w:p>
    <w:p w:rsidR="00E55397" w:rsidRPr="00E65A58" w:rsidRDefault="00E55397" w:rsidP="00CC1115">
      <w:pPr>
        <w:spacing w:before="480"/>
        <w:jc w:val="center"/>
        <w:rPr>
          <w:rFonts w:asciiTheme="minorHAnsi" w:hAnsiTheme="minorHAnsi"/>
          <w:b/>
          <w:bCs/>
        </w:rPr>
      </w:pPr>
      <w:r w:rsidRPr="00E65A58">
        <w:rPr>
          <w:rFonts w:asciiTheme="minorHAnsi" w:hAnsiTheme="minorHAnsi"/>
          <w:b/>
          <w:bCs/>
        </w:rPr>
        <w:t xml:space="preserve">Annex </w:t>
      </w:r>
      <w:r w:rsidR="00D41863">
        <w:rPr>
          <w:rFonts w:asciiTheme="minorHAnsi" w:hAnsiTheme="minorHAnsi"/>
          <w:b/>
          <w:bCs/>
        </w:rPr>
        <w:t>E</w:t>
      </w:r>
    </w:p>
    <w:p w:rsidR="00DE23B6" w:rsidRDefault="00DE23B6"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p>
    <w:p w:rsidR="00DE23B6" w:rsidRPr="00DE23B6" w:rsidRDefault="00DE23B6" w:rsidP="00CC1115">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rPr>
      </w:pPr>
      <w:r w:rsidRPr="00DE23B6">
        <w:rPr>
          <w:rFonts w:asciiTheme="minorHAnsi" w:hAnsiTheme="minorHAnsi"/>
          <w:b/>
          <w:bCs/>
        </w:rPr>
        <w:t xml:space="preserve">Statement by the </w:t>
      </w:r>
      <w:r w:rsidR="00301F8D">
        <w:rPr>
          <w:rFonts w:asciiTheme="minorHAnsi" w:hAnsiTheme="minorHAnsi"/>
          <w:b/>
          <w:bCs/>
        </w:rPr>
        <w:t>delegat</w:t>
      </w:r>
      <w:r w:rsidR="00082395">
        <w:rPr>
          <w:rFonts w:asciiTheme="minorHAnsi" w:hAnsiTheme="minorHAnsi"/>
          <w:b/>
          <w:bCs/>
        </w:rPr>
        <w:t>ion</w:t>
      </w:r>
      <w:r w:rsidR="00301F8D">
        <w:rPr>
          <w:rFonts w:asciiTheme="minorHAnsi" w:hAnsiTheme="minorHAnsi"/>
          <w:b/>
          <w:bCs/>
        </w:rPr>
        <w:t xml:space="preserve"> of</w:t>
      </w:r>
      <w:r w:rsidRPr="00DE23B6">
        <w:rPr>
          <w:rFonts w:asciiTheme="minorHAnsi" w:hAnsiTheme="minorHAnsi"/>
          <w:b/>
          <w:bCs/>
        </w:rPr>
        <w:t xml:space="preserve"> Canada </w:t>
      </w:r>
    </w:p>
    <w:p w:rsidR="00DE23B6" w:rsidRDefault="00DE23B6"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p>
    <w:p w:rsidR="00DE23B6" w:rsidRPr="00DE23B6" w:rsidRDefault="00DE23B6"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r w:rsidRPr="00DE23B6">
        <w:rPr>
          <w:rFonts w:asciiTheme="minorHAnsi" w:hAnsiTheme="minorHAnsi"/>
        </w:rPr>
        <w:t>Russia’s military intervention in Ukraine is a grave threat to international peace and security. In March of this year, Canada joined the majority of member states of the United Nations in adopting General Assembly resolution 68/262 which condemns in the strongest terms the unilateral and unjustified assault by the Russian Federation on Ukraine’s sovereignty and territorial integrity.</w:t>
      </w:r>
    </w:p>
    <w:p w:rsidR="00DE23B6" w:rsidRDefault="00DE23B6"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p>
    <w:p w:rsidR="00DE23B6" w:rsidRPr="00DE23B6" w:rsidRDefault="00DE23B6"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r w:rsidRPr="00DE23B6">
        <w:rPr>
          <w:rFonts w:asciiTheme="minorHAnsi" w:hAnsiTheme="minorHAnsi"/>
        </w:rPr>
        <w:t>That resolution reaffirms the international community’s commitment to the sovereignty, political independence, unity and territorial integrity of Ukraine within its internationally recognized borders.  It also calls upon all States, international organisations and agencies not to recognise any alteration to the status of Crimea or the City of Sevastopol and to refrain from any action or dealing that might be interpreted as recognizing any such altered status.</w:t>
      </w:r>
    </w:p>
    <w:p w:rsidR="00DE23B6" w:rsidRDefault="00DE23B6"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p>
    <w:p w:rsidR="00DE23B6" w:rsidRPr="00DE23B6" w:rsidRDefault="00DE23B6"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r w:rsidRPr="00DE23B6">
        <w:rPr>
          <w:rFonts w:asciiTheme="minorHAnsi" w:hAnsiTheme="minorHAnsi"/>
        </w:rPr>
        <w:t>It is entirely appropriate that these issues be raised at the Plenipotentiary Conference of the ITU, and that we the member states and the Union heed the call of the General Assembly, putting into effect the measures it calls for.</w:t>
      </w:r>
    </w:p>
    <w:p w:rsidR="00DE23B6" w:rsidRDefault="00DE23B6"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p>
    <w:p w:rsidR="00DE23B6" w:rsidRPr="00DE23B6" w:rsidRDefault="00DE23B6"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r w:rsidRPr="00DE23B6">
        <w:rPr>
          <w:rFonts w:asciiTheme="minorHAnsi" w:hAnsiTheme="minorHAnsi"/>
        </w:rPr>
        <w:t>Canada underlines, in particular, the risks posed to civil aviation caused by the Russian Federation’s notifications to airmen modifying the Simferopol flight information region, which is the responsibility of Ukraine.</w:t>
      </w:r>
    </w:p>
    <w:p w:rsidR="00DE23B6" w:rsidRDefault="00DE23B6"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p>
    <w:p w:rsidR="00DE23B6" w:rsidRPr="00DE23B6" w:rsidRDefault="00DE23B6"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r w:rsidRPr="00DE23B6">
        <w:rPr>
          <w:rFonts w:asciiTheme="minorHAnsi" w:hAnsiTheme="minorHAnsi"/>
        </w:rPr>
        <w:t>Canada reaffirms Ukraine’s right to exercise its independence and sovereignty on all of its territory. This includes management of its telecommunications infrastructure. We support calls for the provision of support and assistance to Ukraine in continuing to exercise its sovereign authority in the field of telecommunications in the occupied regions of Crimea and Sevastopol.  We also urge all member states, including the Russian Federation, to cooperate in this respect.</w:t>
      </w:r>
    </w:p>
    <w:p w:rsidR="00D662CB" w:rsidRDefault="00D662CB"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r>
        <w:rPr>
          <w:rFonts w:asciiTheme="minorHAnsi" w:hAnsiTheme="minorHAnsi"/>
        </w:rPr>
        <w:br w:type="page"/>
      </w:r>
    </w:p>
    <w:p w:rsidR="00D662CB" w:rsidRPr="00E65A58" w:rsidRDefault="00D662CB" w:rsidP="00CC1115">
      <w:pPr>
        <w:jc w:val="right"/>
        <w:rPr>
          <w:rFonts w:asciiTheme="minorHAnsi" w:hAnsiTheme="minorHAnsi"/>
          <w:b/>
          <w:bCs/>
        </w:rPr>
      </w:pPr>
      <w:r w:rsidRPr="00E65A58">
        <w:rPr>
          <w:rFonts w:asciiTheme="minorHAnsi" w:hAnsiTheme="minorHAnsi"/>
          <w:b/>
          <w:bCs/>
        </w:rPr>
        <w:lastRenderedPageBreak/>
        <w:t xml:space="preserve">Original: </w:t>
      </w:r>
      <w:r w:rsidRPr="00D91362">
        <w:rPr>
          <w:rFonts w:asciiTheme="minorHAnsi" w:hAnsiTheme="minorHAnsi"/>
          <w:b/>
          <w:bCs/>
        </w:rPr>
        <w:t>English</w:t>
      </w:r>
    </w:p>
    <w:p w:rsidR="00D662CB" w:rsidRPr="00E65A58" w:rsidRDefault="00D662CB" w:rsidP="00CC1115">
      <w:pPr>
        <w:spacing w:before="480"/>
        <w:jc w:val="center"/>
        <w:rPr>
          <w:rFonts w:asciiTheme="minorHAnsi" w:hAnsiTheme="minorHAnsi"/>
          <w:b/>
          <w:bCs/>
        </w:rPr>
      </w:pPr>
      <w:r w:rsidRPr="00E65A58">
        <w:rPr>
          <w:rFonts w:asciiTheme="minorHAnsi" w:hAnsiTheme="minorHAnsi"/>
          <w:b/>
          <w:bCs/>
        </w:rPr>
        <w:t xml:space="preserve">Annex </w:t>
      </w:r>
      <w:r>
        <w:rPr>
          <w:rFonts w:asciiTheme="minorHAnsi" w:hAnsiTheme="minorHAnsi"/>
          <w:b/>
          <w:bCs/>
        </w:rPr>
        <w:t>F</w:t>
      </w:r>
    </w:p>
    <w:p w:rsidR="00D91362" w:rsidRDefault="00D91362" w:rsidP="00CC1115">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rPr>
      </w:pPr>
    </w:p>
    <w:p w:rsidR="00D91362" w:rsidRPr="00D91362" w:rsidRDefault="00D91362" w:rsidP="00CC1115">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rPr>
      </w:pPr>
      <w:r w:rsidRPr="00D91362">
        <w:rPr>
          <w:rFonts w:asciiTheme="minorHAnsi" w:hAnsiTheme="minorHAnsi"/>
          <w:b/>
          <w:bCs/>
        </w:rPr>
        <w:t xml:space="preserve">Statement by the </w:t>
      </w:r>
      <w:r w:rsidR="00301F8D">
        <w:rPr>
          <w:rFonts w:asciiTheme="minorHAnsi" w:hAnsiTheme="minorHAnsi"/>
          <w:b/>
          <w:bCs/>
        </w:rPr>
        <w:t>delegat</w:t>
      </w:r>
      <w:r w:rsidR="00082395">
        <w:rPr>
          <w:rFonts w:asciiTheme="minorHAnsi" w:hAnsiTheme="minorHAnsi"/>
          <w:b/>
          <w:bCs/>
        </w:rPr>
        <w:t>ion</w:t>
      </w:r>
      <w:r w:rsidR="00301F8D">
        <w:rPr>
          <w:rFonts w:asciiTheme="minorHAnsi" w:hAnsiTheme="minorHAnsi"/>
          <w:b/>
          <w:bCs/>
        </w:rPr>
        <w:t xml:space="preserve"> of the </w:t>
      </w:r>
      <w:r w:rsidRPr="00D91362">
        <w:rPr>
          <w:rFonts w:asciiTheme="minorHAnsi" w:hAnsiTheme="minorHAnsi"/>
          <w:b/>
          <w:bCs/>
        </w:rPr>
        <w:t xml:space="preserve">United States </w:t>
      </w:r>
    </w:p>
    <w:p w:rsidR="00D91362" w:rsidRPr="00D91362" w:rsidRDefault="00D91362"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p>
    <w:p w:rsidR="00D662CB" w:rsidRDefault="00D91362"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r w:rsidRPr="00D91362">
        <w:rPr>
          <w:rFonts w:asciiTheme="minorHAnsi" w:hAnsiTheme="minorHAnsi"/>
        </w:rPr>
        <w:t>The United States supports the right of Ukraine to manage the use of its telecommunication infrastructure, including frequency and numbering resources, in its territories, including the autonomous Republic of Crimea and the City of Sevastopol.  The United States reiterates UNGA Resolution 68/262 (2014), which “Calls upon all States, international organizations and specialized agencies not to recognize any alteration of the status of the Autonomous Republic of Crimea and the city of Sevastopol” and “to refrain from any action or dealing that might be interpreted as recognizing any such altered status”</w:t>
      </w:r>
      <w:r w:rsidR="00D63E8D">
        <w:rPr>
          <w:rFonts w:asciiTheme="minorHAnsi" w:hAnsiTheme="minorHAnsi"/>
        </w:rPr>
        <w:t>.</w:t>
      </w:r>
      <w:r w:rsidRPr="00D91362">
        <w:rPr>
          <w:rFonts w:asciiTheme="minorHAnsi" w:hAnsiTheme="minorHAnsi"/>
        </w:rPr>
        <w:t xml:space="preserve">  The United States calls upon the Russian Federation to not interfere in the management of spectrum and other telecommunication-related services in Ukrainian territory and end the occupation immediately.</w:t>
      </w:r>
      <w:r w:rsidR="00D662CB">
        <w:rPr>
          <w:rFonts w:asciiTheme="minorHAnsi" w:hAnsiTheme="minorHAnsi"/>
        </w:rPr>
        <w:br w:type="page"/>
      </w:r>
    </w:p>
    <w:p w:rsidR="00D662CB" w:rsidRPr="00E65A58" w:rsidRDefault="00D662CB" w:rsidP="00CC1115">
      <w:pPr>
        <w:jc w:val="right"/>
        <w:rPr>
          <w:rFonts w:asciiTheme="minorHAnsi" w:hAnsiTheme="minorHAnsi"/>
          <w:b/>
          <w:bCs/>
        </w:rPr>
      </w:pPr>
      <w:r w:rsidRPr="00E65A58">
        <w:rPr>
          <w:rFonts w:asciiTheme="minorHAnsi" w:hAnsiTheme="minorHAnsi"/>
          <w:b/>
          <w:bCs/>
        </w:rPr>
        <w:lastRenderedPageBreak/>
        <w:t xml:space="preserve">Original: </w:t>
      </w:r>
      <w:r w:rsidRPr="00D91362">
        <w:rPr>
          <w:rFonts w:asciiTheme="minorHAnsi" w:hAnsiTheme="minorHAnsi"/>
          <w:b/>
          <w:bCs/>
        </w:rPr>
        <w:t>English</w:t>
      </w:r>
    </w:p>
    <w:p w:rsidR="00D662CB" w:rsidRPr="00E65A58" w:rsidRDefault="00D662CB" w:rsidP="00CC1115">
      <w:pPr>
        <w:spacing w:before="480"/>
        <w:jc w:val="center"/>
        <w:rPr>
          <w:rFonts w:asciiTheme="minorHAnsi" w:hAnsiTheme="minorHAnsi"/>
          <w:b/>
          <w:bCs/>
        </w:rPr>
      </w:pPr>
      <w:r w:rsidRPr="00E65A58">
        <w:rPr>
          <w:rFonts w:asciiTheme="minorHAnsi" w:hAnsiTheme="minorHAnsi"/>
          <w:b/>
          <w:bCs/>
        </w:rPr>
        <w:t xml:space="preserve">Annex </w:t>
      </w:r>
      <w:r>
        <w:rPr>
          <w:rFonts w:asciiTheme="minorHAnsi" w:hAnsiTheme="minorHAnsi"/>
          <w:b/>
          <w:bCs/>
        </w:rPr>
        <w:t>G</w:t>
      </w:r>
    </w:p>
    <w:p w:rsidR="00BE50B6" w:rsidRDefault="00BE50B6"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p>
    <w:p w:rsidR="00BE50B6" w:rsidRPr="00BE50B6" w:rsidRDefault="00BE50B6" w:rsidP="00CC1115">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b/>
          <w:bCs/>
        </w:rPr>
      </w:pPr>
      <w:r w:rsidRPr="00BE50B6">
        <w:rPr>
          <w:rFonts w:asciiTheme="minorHAnsi" w:hAnsiTheme="minorHAnsi"/>
          <w:b/>
          <w:bCs/>
        </w:rPr>
        <w:t xml:space="preserve">Statement </w:t>
      </w:r>
      <w:r w:rsidR="00301F8D">
        <w:rPr>
          <w:rFonts w:asciiTheme="minorHAnsi" w:hAnsiTheme="minorHAnsi"/>
          <w:b/>
          <w:bCs/>
        </w:rPr>
        <w:t>by the</w:t>
      </w:r>
      <w:r w:rsidRPr="00BE50B6">
        <w:rPr>
          <w:rFonts w:asciiTheme="minorHAnsi" w:hAnsiTheme="minorHAnsi"/>
          <w:b/>
          <w:bCs/>
        </w:rPr>
        <w:t xml:space="preserve"> </w:t>
      </w:r>
      <w:r w:rsidR="00301F8D">
        <w:rPr>
          <w:rFonts w:asciiTheme="minorHAnsi" w:hAnsiTheme="minorHAnsi"/>
          <w:b/>
          <w:bCs/>
        </w:rPr>
        <w:t>delegat</w:t>
      </w:r>
      <w:r w:rsidR="00082395">
        <w:rPr>
          <w:rFonts w:asciiTheme="minorHAnsi" w:hAnsiTheme="minorHAnsi"/>
          <w:b/>
          <w:bCs/>
        </w:rPr>
        <w:t>ion</w:t>
      </w:r>
      <w:r w:rsidR="00301F8D">
        <w:rPr>
          <w:rFonts w:asciiTheme="minorHAnsi" w:hAnsiTheme="minorHAnsi"/>
          <w:b/>
          <w:bCs/>
        </w:rPr>
        <w:t xml:space="preserve"> of Georgia</w:t>
      </w:r>
    </w:p>
    <w:p w:rsidR="00BE50B6" w:rsidRDefault="00BE50B6"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p>
    <w:p w:rsidR="00BE50B6" w:rsidRPr="00BE50B6" w:rsidRDefault="00BE50B6"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r w:rsidRPr="00BE50B6">
        <w:rPr>
          <w:rFonts w:asciiTheme="minorHAnsi" w:hAnsiTheme="minorHAnsi"/>
        </w:rPr>
        <w:t xml:space="preserve">Taking into account the purposes of the ITU as enshrined </w:t>
      </w:r>
      <w:r w:rsidR="001902B0">
        <w:rPr>
          <w:rFonts w:asciiTheme="minorHAnsi" w:hAnsiTheme="minorHAnsi"/>
        </w:rPr>
        <w:t xml:space="preserve">in </w:t>
      </w:r>
      <w:r w:rsidRPr="00BE50B6">
        <w:rPr>
          <w:rFonts w:asciiTheme="minorHAnsi" w:hAnsiTheme="minorHAnsi"/>
        </w:rPr>
        <w:t>the ITU Constitution and Convention; the noble principles and objectives enshrined in the Charter of the United Nations; Considering the fact that every Member State of ITU should respect the principles of the Constitution, International Telecommunication Regulations and the Radio Regulations; Considering further that the ITU statute and Convention are designed to strengthen international cooperation and better understanding among the peoples, the</w:t>
      </w:r>
      <w:r>
        <w:rPr>
          <w:rFonts w:asciiTheme="minorHAnsi" w:hAnsiTheme="minorHAnsi"/>
        </w:rPr>
        <w:t xml:space="preserve"> </w:t>
      </w:r>
      <w:r w:rsidRPr="00BE50B6">
        <w:rPr>
          <w:rFonts w:asciiTheme="minorHAnsi" w:hAnsiTheme="minorHAnsi"/>
        </w:rPr>
        <w:t>Delegation of Georgia expresses its support to delegation of Ukraine.</w:t>
      </w:r>
    </w:p>
    <w:p w:rsidR="00BE50B6" w:rsidRDefault="00BE50B6"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p>
    <w:p w:rsidR="00BE50B6" w:rsidRDefault="00BE50B6"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r w:rsidRPr="00BE50B6">
        <w:rPr>
          <w:rFonts w:asciiTheme="minorHAnsi" w:hAnsiTheme="minorHAnsi"/>
        </w:rPr>
        <w:t xml:space="preserve">Therein the delegation of Georgia once again stresses the fact that, several Russian Companies, supported by the official structures of the Russian Federation, in blatant violation of International Law, the ITU Convention, Constitution and Regulations and legislation of Georgia, continue their illegal activities in the Georgian regions of Abkhazia and Tskhinvali region/ South Ossetia by using Georgian radio frequencies, have constructed and exploited cellular radio-telecommunication network, implemented </w:t>
      </w:r>
      <w:proofErr w:type="spellStart"/>
      <w:r w:rsidRPr="00BE50B6">
        <w:rPr>
          <w:rFonts w:asciiTheme="minorHAnsi" w:hAnsiTheme="minorHAnsi"/>
        </w:rPr>
        <w:t>TV&amp;Radio</w:t>
      </w:r>
      <w:proofErr w:type="spellEnd"/>
      <w:r>
        <w:rPr>
          <w:rFonts w:asciiTheme="minorHAnsi" w:hAnsiTheme="minorHAnsi"/>
        </w:rPr>
        <w:t xml:space="preserve"> </w:t>
      </w:r>
      <w:r w:rsidRPr="00BE50B6">
        <w:rPr>
          <w:rFonts w:asciiTheme="minorHAnsi" w:hAnsiTheme="minorHAnsi"/>
        </w:rPr>
        <w:t>broadcasting.</w:t>
      </w:r>
    </w:p>
    <w:p w:rsidR="00BE50B6" w:rsidRPr="00BE50B6" w:rsidRDefault="00BE50B6"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p>
    <w:p w:rsidR="00BE50B6" w:rsidRDefault="00BE50B6"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r w:rsidRPr="00BE50B6">
        <w:rPr>
          <w:rFonts w:asciiTheme="minorHAnsi" w:hAnsiTheme="minorHAnsi"/>
        </w:rPr>
        <w:t>The Russian Federation in violation of International Law and Acts of International Telecommunications Union (ITU) the codes of World's Numbering 7th Zone, which were assigned to the Russian Federation, granted the de-facto authorities of Abkhazian and Tskhinvali regions the part of common telecommunication network of Georgia, thus switching these regions to the telecommunication network</w:t>
      </w:r>
      <w:r>
        <w:rPr>
          <w:rFonts w:asciiTheme="minorHAnsi" w:hAnsiTheme="minorHAnsi"/>
        </w:rPr>
        <w:t xml:space="preserve"> </w:t>
      </w:r>
      <w:r w:rsidRPr="00BE50B6">
        <w:rPr>
          <w:rFonts w:asciiTheme="minorHAnsi" w:hAnsiTheme="minorHAnsi"/>
        </w:rPr>
        <w:t>of the Russian federation.</w:t>
      </w:r>
    </w:p>
    <w:p w:rsidR="00BE50B6" w:rsidRPr="00BE50B6" w:rsidRDefault="00BE50B6"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p>
    <w:p w:rsidR="00D662CB" w:rsidRDefault="00BE50B6" w:rsidP="00CC111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rPr>
      </w:pPr>
      <w:r w:rsidRPr="00BE50B6">
        <w:rPr>
          <w:rFonts w:asciiTheme="minorHAnsi" w:hAnsiTheme="minorHAnsi"/>
        </w:rPr>
        <w:t>Currently, Abkhazia,</w:t>
      </w:r>
      <w:r>
        <w:rPr>
          <w:rFonts w:asciiTheme="minorHAnsi" w:hAnsiTheme="minorHAnsi"/>
        </w:rPr>
        <w:t xml:space="preserve"> </w:t>
      </w:r>
      <w:r w:rsidRPr="00BE50B6">
        <w:rPr>
          <w:rFonts w:asciiTheme="minorHAnsi" w:hAnsiTheme="minorHAnsi"/>
        </w:rPr>
        <w:t>Georgia and the Tskhinvali region/South Ossetia, Georgia remain under Russia's military occupation. The territorial integrity of Georgia is indisputably supported by the international community. Therefore, any action for any reason in Georgia's regions of Abkhazia and Tskhinvali region/South Ossetia within the Telecommunication and Information Technology sector can be carried out only in accordance with the Constitution and legislation of Georgia, Acts of International Telecommunication Union and international legislative standards. Actions which do not correspond to Georgian legislation and ITU Acts are directed against the principle of sovereignty and territorial integrity of Georgia and represent a severe violation of international legislation and thus should be given due</w:t>
      </w:r>
      <w:r>
        <w:rPr>
          <w:rFonts w:asciiTheme="minorHAnsi" w:hAnsiTheme="minorHAnsi"/>
        </w:rPr>
        <w:t xml:space="preserve"> </w:t>
      </w:r>
      <w:r w:rsidRPr="00BE50B6">
        <w:rPr>
          <w:rFonts w:asciiTheme="minorHAnsi" w:hAnsiTheme="minorHAnsi"/>
        </w:rPr>
        <w:t>assessment and feedback of International Community.</w:t>
      </w:r>
      <w:r w:rsidR="00D662CB">
        <w:rPr>
          <w:rFonts w:asciiTheme="minorHAnsi" w:hAnsiTheme="minorHAnsi"/>
        </w:rPr>
        <w:br w:type="page"/>
      </w:r>
    </w:p>
    <w:p w:rsidR="00D662CB" w:rsidRPr="00E65A58" w:rsidRDefault="00D662CB" w:rsidP="00CC1115">
      <w:pPr>
        <w:jc w:val="right"/>
        <w:rPr>
          <w:rFonts w:asciiTheme="minorHAnsi" w:hAnsiTheme="minorHAnsi"/>
          <w:b/>
          <w:bCs/>
        </w:rPr>
      </w:pPr>
      <w:r w:rsidRPr="00E65A58">
        <w:rPr>
          <w:rFonts w:asciiTheme="minorHAnsi" w:hAnsiTheme="minorHAnsi"/>
          <w:b/>
          <w:bCs/>
        </w:rPr>
        <w:lastRenderedPageBreak/>
        <w:t xml:space="preserve">Original: </w:t>
      </w:r>
      <w:r w:rsidRPr="00D91362">
        <w:rPr>
          <w:rFonts w:asciiTheme="minorHAnsi" w:hAnsiTheme="minorHAnsi"/>
          <w:b/>
          <w:bCs/>
        </w:rPr>
        <w:t>English</w:t>
      </w:r>
    </w:p>
    <w:p w:rsidR="00D662CB" w:rsidRPr="00E65A58" w:rsidRDefault="00D662CB" w:rsidP="00CC1115">
      <w:pPr>
        <w:spacing w:before="480"/>
        <w:jc w:val="center"/>
        <w:rPr>
          <w:rFonts w:asciiTheme="minorHAnsi" w:hAnsiTheme="minorHAnsi"/>
          <w:b/>
          <w:bCs/>
        </w:rPr>
      </w:pPr>
      <w:r w:rsidRPr="00E65A58">
        <w:rPr>
          <w:rFonts w:asciiTheme="minorHAnsi" w:hAnsiTheme="minorHAnsi"/>
          <w:b/>
          <w:bCs/>
        </w:rPr>
        <w:t xml:space="preserve">Annex </w:t>
      </w:r>
      <w:r>
        <w:rPr>
          <w:rFonts w:asciiTheme="minorHAnsi" w:hAnsiTheme="minorHAnsi"/>
          <w:b/>
          <w:bCs/>
        </w:rPr>
        <w:t>H</w:t>
      </w:r>
    </w:p>
    <w:p w:rsidR="00D91362" w:rsidRPr="00D91362" w:rsidRDefault="00D91362" w:rsidP="00CC1115">
      <w:pPr>
        <w:rPr>
          <w:rFonts w:asciiTheme="minorHAnsi" w:hAnsiTheme="minorHAnsi"/>
        </w:rPr>
      </w:pPr>
    </w:p>
    <w:p w:rsidR="00D91362" w:rsidRPr="00D91362" w:rsidRDefault="00301F8D" w:rsidP="00CC1115">
      <w:pPr>
        <w:jc w:val="center"/>
        <w:rPr>
          <w:rFonts w:asciiTheme="minorHAnsi" w:hAnsiTheme="minorHAnsi"/>
          <w:b/>
          <w:bCs/>
        </w:rPr>
      </w:pPr>
      <w:r>
        <w:rPr>
          <w:rFonts w:asciiTheme="minorHAnsi" w:hAnsiTheme="minorHAnsi"/>
          <w:b/>
          <w:bCs/>
        </w:rPr>
        <w:t>Statement by the delegat</w:t>
      </w:r>
      <w:r w:rsidR="00082395">
        <w:rPr>
          <w:rFonts w:asciiTheme="minorHAnsi" w:hAnsiTheme="minorHAnsi"/>
          <w:b/>
          <w:bCs/>
        </w:rPr>
        <w:t>ion</w:t>
      </w:r>
      <w:r>
        <w:rPr>
          <w:rFonts w:asciiTheme="minorHAnsi" w:hAnsiTheme="minorHAnsi"/>
          <w:b/>
          <w:bCs/>
        </w:rPr>
        <w:t xml:space="preserve"> of Italy on behalf of the </w:t>
      </w:r>
      <w:r w:rsidR="00D91362" w:rsidRPr="00D91362">
        <w:rPr>
          <w:rFonts w:asciiTheme="minorHAnsi" w:hAnsiTheme="minorHAnsi"/>
          <w:b/>
          <w:bCs/>
        </w:rPr>
        <w:t xml:space="preserve">Member States of the European Union </w:t>
      </w:r>
    </w:p>
    <w:p w:rsidR="00D91362" w:rsidRPr="00D91362" w:rsidRDefault="00D91362" w:rsidP="00CC1115">
      <w:pPr>
        <w:rPr>
          <w:rFonts w:asciiTheme="minorHAnsi" w:hAnsiTheme="minorHAnsi"/>
        </w:rPr>
      </w:pPr>
      <w:r w:rsidRPr="00D91362">
        <w:rPr>
          <w:rFonts w:asciiTheme="minorHAnsi" w:hAnsiTheme="minorHAnsi"/>
        </w:rPr>
        <w:t>The Italian Presidency hereby declares on behalf of the Member States of the European Union that we remain committed to uphold the sovereignty and territorial integrity of Ukraine. We do not recognise the illegal referendum in Crimea, which is in clear violation of the Ukrainian Constitution. We strongly condemn the illegal annexation of Crimea and Sevastopol to the Russian Federation, and will not recognise it. We further believe that there is no place for the use of force and coercion to change borders in Europe in the 21st century. The Member States of the European Union have a special responsibility for peace and stability in Europe.</w:t>
      </w:r>
    </w:p>
    <w:p w:rsidR="00D91362" w:rsidRPr="00D91362" w:rsidRDefault="00D91362" w:rsidP="00CC1115">
      <w:pPr>
        <w:rPr>
          <w:rFonts w:asciiTheme="minorHAnsi" w:hAnsiTheme="minorHAnsi"/>
        </w:rPr>
      </w:pPr>
    </w:p>
    <w:p w:rsidR="00D91362" w:rsidRPr="00D91362" w:rsidRDefault="00D91362" w:rsidP="00CC1115">
      <w:pPr>
        <w:rPr>
          <w:rFonts w:asciiTheme="minorHAnsi" w:hAnsiTheme="minorHAnsi"/>
        </w:rPr>
      </w:pPr>
      <w:r w:rsidRPr="00D91362">
        <w:rPr>
          <w:rFonts w:asciiTheme="minorHAnsi" w:hAnsiTheme="minorHAnsi"/>
        </w:rPr>
        <w:t>We recognise that reliable telecommunications systems are indispensable for promoting the socio-economic development of countries, and that in the territories of the Autonomous Republic of Crimea and the city of Sevastopol, under the present conditions, Ukraine will not have the possibility to ensure the completion of the transition from analogue to digital television broadcasting in accordance with the Regional Agreement relating to the planning of the digital terrestrial broadcasting service in Region 1.</w:t>
      </w:r>
    </w:p>
    <w:p w:rsidR="00D91362" w:rsidRPr="00D91362" w:rsidRDefault="00D91362" w:rsidP="00CC1115">
      <w:pPr>
        <w:rPr>
          <w:rFonts w:asciiTheme="minorHAnsi" w:hAnsiTheme="minorHAnsi"/>
        </w:rPr>
      </w:pPr>
    </w:p>
    <w:p w:rsidR="00D91362" w:rsidRPr="00D91362" w:rsidRDefault="00D91362" w:rsidP="00CC1115">
      <w:pPr>
        <w:rPr>
          <w:rFonts w:asciiTheme="minorHAnsi" w:hAnsiTheme="minorHAnsi"/>
        </w:rPr>
      </w:pPr>
      <w:r w:rsidRPr="00D91362">
        <w:rPr>
          <w:rFonts w:asciiTheme="minorHAnsi" w:hAnsiTheme="minorHAnsi"/>
        </w:rPr>
        <w:t>Therefore, we call upon the International Telecommunication Union (ITU) to implement rapidly the terms of Resolution 68/262 (2014) of the United Nations General Assembly that "calls upon all States, international organisations and specialised agencies not to recognise any alteration of the status of the Autonomous Republic of Cri</w:t>
      </w:r>
      <w:r w:rsidR="001902B0">
        <w:rPr>
          <w:rFonts w:asciiTheme="minorHAnsi" w:hAnsiTheme="minorHAnsi"/>
        </w:rPr>
        <w:t>mea</w:t>
      </w:r>
      <w:r w:rsidR="003942C1">
        <w:rPr>
          <w:rFonts w:asciiTheme="minorHAnsi" w:hAnsiTheme="minorHAnsi"/>
        </w:rPr>
        <w:t xml:space="preserve"> and the city of Sevastopol”</w:t>
      </w:r>
      <w:r w:rsidRPr="00D91362">
        <w:rPr>
          <w:rFonts w:asciiTheme="minorHAnsi" w:hAnsiTheme="minorHAnsi"/>
        </w:rPr>
        <w:t xml:space="preserve"> and to "refrain from any action or dealing that might be interpreted as recognising any such altered status". </w:t>
      </w:r>
    </w:p>
    <w:p w:rsidR="00D91362" w:rsidRPr="00D91362" w:rsidRDefault="00D91362" w:rsidP="00CC1115">
      <w:pPr>
        <w:rPr>
          <w:rFonts w:asciiTheme="minorHAnsi" w:hAnsiTheme="minorHAnsi"/>
        </w:rPr>
      </w:pPr>
    </w:p>
    <w:p w:rsidR="00D91362" w:rsidRPr="00D91362" w:rsidRDefault="00D91362" w:rsidP="00CC1115">
      <w:pPr>
        <w:rPr>
          <w:rFonts w:asciiTheme="minorHAnsi" w:hAnsiTheme="minorHAnsi"/>
        </w:rPr>
      </w:pPr>
      <w:r w:rsidRPr="00D91362">
        <w:rPr>
          <w:rFonts w:asciiTheme="minorHAnsi" w:hAnsiTheme="minorHAnsi"/>
        </w:rPr>
        <w:t>The following other Member States of the International Telecommunication Union associate themselves with this statement:</w:t>
      </w:r>
    </w:p>
    <w:p w:rsidR="00D91362" w:rsidRPr="00D91362" w:rsidRDefault="00D91362" w:rsidP="00CC1115">
      <w:pPr>
        <w:rPr>
          <w:rFonts w:asciiTheme="minorHAnsi" w:hAnsiTheme="minorHAnsi"/>
        </w:rPr>
      </w:pPr>
      <w:r w:rsidRPr="00D91362">
        <w:rPr>
          <w:rFonts w:asciiTheme="minorHAnsi" w:hAnsiTheme="minorHAnsi"/>
        </w:rPr>
        <w:t>-</w:t>
      </w:r>
      <w:r w:rsidRPr="00D91362">
        <w:rPr>
          <w:rFonts w:asciiTheme="minorHAnsi" w:hAnsiTheme="minorHAnsi"/>
        </w:rPr>
        <w:tab/>
        <w:t>Georgia</w:t>
      </w:r>
    </w:p>
    <w:p w:rsidR="00D91362" w:rsidRPr="00D91362" w:rsidRDefault="00D91362" w:rsidP="00CC1115">
      <w:pPr>
        <w:rPr>
          <w:rFonts w:asciiTheme="minorHAnsi" w:hAnsiTheme="minorHAnsi"/>
        </w:rPr>
      </w:pPr>
      <w:r w:rsidRPr="00D91362">
        <w:rPr>
          <w:rFonts w:asciiTheme="minorHAnsi" w:hAnsiTheme="minorHAnsi"/>
        </w:rPr>
        <w:t>-</w:t>
      </w:r>
      <w:r w:rsidRPr="00D91362">
        <w:rPr>
          <w:rFonts w:asciiTheme="minorHAnsi" w:hAnsiTheme="minorHAnsi"/>
        </w:rPr>
        <w:tab/>
        <w:t>Liechtenstein</w:t>
      </w:r>
    </w:p>
    <w:p w:rsidR="00D91362" w:rsidRPr="00D91362" w:rsidRDefault="00D91362" w:rsidP="00CC1115">
      <w:pPr>
        <w:rPr>
          <w:rFonts w:asciiTheme="minorHAnsi" w:hAnsiTheme="minorHAnsi"/>
        </w:rPr>
      </w:pPr>
      <w:r w:rsidRPr="00D91362">
        <w:rPr>
          <w:rFonts w:asciiTheme="minorHAnsi" w:hAnsiTheme="minorHAnsi"/>
        </w:rPr>
        <w:t>-</w:t>
      </w:r>
      <w:r w:rsidRPr="00D91362">
        <w:rPr>
          <w:rFonts w:asciiTheme="minorHAnsi" w:hAnsiTheme="minorHAnsi"/>
        </w:rPr>
        <w:tab/>
        <w:t>The Republic of Moldova</w:t>
      </w:r>
    </w:p>
    <w:p w:rsidR="00D91362" w:rsidRPr="00D91362" w:rsidRDefault="00D91362" w:rsidP="00CC1115">
      <w:pPr>
        <w:rPr>
          <w:rFonts w:asciiTheme="minorHAnsi" w:hAnsiTheme="minorHAnsi"/>
        </w:rPr>
      </w:pPr>
      <w:r w:rsidRPr="00D91362">
        <w:rPr>
          <w:rFonts w:asciiTheme="minorHAnsi" w:hAnsiTheme="minorHAnsi"/>
        </w:rPr>
        <w:t>-</w:t>
      </w:r>
      <w:r w:rsidRPr="00D91362">
        <w:rPr>
          <w:rFonts w:asciiTheme="minorHAnsi" w:hAnsiTheme="minorHAnsi"/>
        </w:rPr>
        <w:tab/>
        <w:t>Norway</w:t>
      </w:r>
    </w:p>
    <w:p w:rsidR="004A192E" w:rsidRPr="00E65A58" w:rsidRDefault="00301F8D" w:rsidP="00CC1115">
      <w:pPr>
        <w:rPr>
          <w:rFonts w:asciiTheme="minorHAnsi" w:hAnsiTheme="minorHAnsi"/>
        </w:rPr>
      </w:pPr>
      <w:r>
        <w:rPr>
          <w:rFonts w:asciiTheme="minorHAnsi" w:hAnsiTheme="minorHAnsi"/>
        </w:rPr>
        <w:t>-</w:t>
      </w:r>
      <w:r>
        <w:rPr>
          <w:rFonts w:asciiTheme="minorHAnsi" w:hAnsiTheme="minorHAnsi"/>
        </w:rPr>
        <w:tab/>
        <w:t>Iceland</w:t>
      </w:r>
    </w:p>
    <w:sectPr w:rsidR="004A192E" w:rsidRPr="00E65A58" w:rsidSect="00361097">
      <w:headerReference w:type="default" r:id="rId17"/>
      <w:footerReference w:type="default" r:id="rId18"/>
      <w:footerReference w:type="first" r:id="rId19"/>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74D" w:rsidRDefault="006B274D">
      <w:r>
        <w:separator/>
      </w:r>
    </w:p>
  </w:endnote>
  <w:endnote w:type="continuationSeparator" w:id="0">
    <w:p w:rsidR="006B274D" w:rsidRDefault="006B2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0000000000000000000"/>
    <w:charset w:val="86"/>
    <w:family w:val="auto"/>
    <w:notTrueType/>
    <w:pitch w:val="variable"/>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8A2" w:rsidRPr="00EC0855" w:rsidRDefault="00184ADB" w:rsidP="00680566">
    <w:pPr>
      <w:pStyle w:val="Footer"/>
      <w:rPr>
        <w:color w:val="FFFFFF" w:themeColor="background1"/>
        <w:lang w:val="en-US"/>
      </w:rPr>
    </w:pPr>
    <w:r w:rsidRPr="00EC0855">
      <w:rPr>
        <w:color w:val="FFFFFF" w:themeColor="background1"/>
      </w:rPr>
      <w:fldChar w:fldCharType="begin"/>
    </w:r>
    <w:r w:rsidR="009658A2" w:rsidRPr="00EC0855">
      <w:rPr>
        <w:color w:val="FFFFFF" w:themeColor="background1"/>
      </w:rPr>
      <w:instrText xml:space="preserve"> printdate \@ dd.MM.yy </w:instrText>
    </w:r>
    <w:r w:rsidRPr="00EC0855">
      <w:rPr>
        <w:color w:val="FFFFFF" w:themeColor="background1"/>
      </w:rPr>
      <w:fldChar w:fldCharType="separate"/>
    </w:r>
    <w:r w:rsidR="000C545F">
      <w:rPr>
        <w:color w:val="FFFFFF" w:themeColor="background1"/>
      </w:rPr>
      <w:t>19.12.14</w:t>
    </w:r>
    <w:r w:rsidRPr="00EC0855">
      <w:rPr>
        <w:color w:val="FFFFFF" w:themeColor="background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115" w:rsidRPr="00B62FED" w:rsidRDefault="00CC1115" w:rsidP="00CC1115">
    <w:pPr>
      <w:pStyle w:val="firstfooter0"/>
      <w:spacing w:before="0" w:beforeAutospacing="0" w:after="0" w:afterAutospacing="0"/>
      <w:jc w:val="center"/>
      <w:rPr>
        <w:rFonts w:ascii="Symbol" w:hAnsi="Symbol"/>
        <w:sz w:val="32"/>
        <w:szCs w:val="28"/>
        <w:lang w:val="en-GB"/>
      </w:rPr>
    </w:pPr>
    <w:r w:rsidRPr="00CC1115">
      <w:rPr>
        <w:rFonts w:ascii="Symbol" w:hAnsi="Symbol"/>
        <w:szCs w:val="22"/>
        <w:lang w:val="en-GB"/>
      </w:rPr>
      <w:t></w:t>
    </w:r>
    <w:r w:rsidRPr="00B62FED">
      <w:rPr>
        <w:sz w:val="28"/>
        <w:szCs w:val="28"/>
        <w:lang w:val="en-GB"/>
      </w:rPr>
      <w:t> </w:t>
    </w:r>
    <w:hyperlink r:id="rId1" w:history="1">
      <w:r w:rsidRPr="00CC1115">
        <w:rPr>
          <w:rStyle w:val="Hyperlink"/>
          <w:sz w:val="20"/>
          <w:szCs w:val="20"/>
          <w:lang w:val="en-GB"/>
        </w:rPr>
        <w:t>www.itu.int/plenipotentiary/</w:t>
      </w:r>
    </w:hyperlink>
    <w:r w:rsidRPr="00B62FED">
      <w:rPr>
        <w:sz w:val="28"/>
        <w:szCs w:val="28"/>
        <w:lang w:val="en-GB"/>
      </w:rPr>
      <w:t xml:space="preserve"> </w:t>
    </w:r>
    <w:r w:rsidRPr="00CC1115">
      <w:rPr>
        <w:rFonts w:ascii="Symbol" w:hAnsi="Symbol"/>
        <w:szCs w:val="22"/>
        <w:lang w:val="en-G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74D" w:rsidRDefault="006B274D">
      <w:r>
        <w:t>____________________</w:t>
      </w:r>
    </w:p>
  </w:footnote>
  <w:footnote w:type="continuationSeparator" w:id="0">
    <w:p w:rsidR="006B274D" w:rsidRDefault="006B274D">
      <w:r>
        <w:continuationSeparator/>
      </w:r>
    </w:p>
  </w:footnote>
  <w:footnote w:id="1">
    <w:p w:rsidR="000F0A30" w:rsidRPr="000F0A30" w:rsidRDefault="000F0A30" w:rsidP="001902B0">
      <w:pPr>
        <w:pStyle w:val="FootnoteText"/>
        <w:tabs>
          <w:tab w:val="clear" w:pos="256"/>
          <w:tab w:val="left" w:pos="142"/>
        </w:tabs>
        <w:ind w:left="142" w:hanging="142"/>
        <w:rPr>
          <w:lang w:val="en-US"/>
        </w:rPr>
      </w:pPr>
      <w:r>
        <w:rPr>
          <w:rStyle w:val="FootnoteReference"/>
        </w:rPr>
        <w:footnoteRef/>
      </w:r>
      <w:r>
        <w:t xml:space="preserve"> </w:t>
      </w:r>
      <w:r w:rsidRPr="000F0A30">
        <w:t>Statements were submitted by the delegations of Canada</w:t>
      </w:r>
      <w:r w:rsidR="00F72DE6">
        <w:t xml:space="preserve"> (</w:t>
      </w:r>
      <w:r w:rsidR="00D662CB" w:rsidRPr="00D91362">
        <w:t>Annex E</w:t>
      </w:r>
      <w:r w:rsidR="00F72DE6" w:rsidRPr="00D91362">
        <w:t>)</w:t>
      </w:r>
      <w:r w:rsidRPr="00D91362">
        <w:t>,</w:t>
      </w:r>
      <w:r w:rsidRPr="000F0A30">
        <w:t xml:space="preserve"> the United States </w:t>
      </w:r>
      <w:r w:rsidR="00F72DE6">
        <w:t>(</w:t>
      </w:r>
      <w:r w:rsidR="00D662CB" w:rsidRPr="00D91362">
        <w:t>Annex F</w:t>
      </w:r>
      <w:r w:rsidR="00F72DE6" w:rsidRPr="00D91362">
        <w:t>)</w:t>
      </w:r>
      <w:r w:rsidRPr="00D91362">
        <w:t>,</w:t>
      </w:r>
      <w:r w:rsidRPr="000F0A30">
        <w:t xml:space="preserve"> </w:t>
      </w:r>
      <w:r w:rsidRPr="00D662CB">
        <w:t>Georgia</w:t>
      </w:r>
      <w:r w:rsidR="00F72DE6">
        <w:t xml:space="preserve"> (</w:t>
      </w:r>
      <w:r w:rsidR="00D662CB" w:rsidRPr="00D91362">
        <w:t>Annex G</w:t>
      </w:r>
      <w:r w:rsidR="00F72DE6" w:rsidRPr="00D91362">
        <w:t>)</w:t>
      </w:r>
      <w:r w:rsidR="001902B0">
        <w:t xml:space="preserve"> and Italy</w:t>
      </w:r>
      <w:r w:rsidRPr="000F0A30">
        <w:t xml:space="preserve"> on behalf of the Member States of the European Union,</w:t>
      </w:r>
      <w:r w:rsidR="00F72DE6">
        <w:t xml:space="preserve"> </w:t>
      </w:r>
      <w:r w:rsidR="00F72DE6" w:rsidRPr="00D662CB">
        <w:t>Georgia</w:t>
      </w:r>
      <w:r w:rsidR="00F72DE6">
        <w:t>, Liechtenstein, the Republic of Moldova, Norway and Iceland (</w:t>
      </w:r>
      <w:r w:rsidR="00D662CB" w:rsidRPr="00D91362">
        <w:t>Annex H</w:t>
      </w:r>
      <w:r w:rsidR="00F72DE6" w:rsidRPr="00D91362">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8A2" w:rsidRPr="00CC1115" w:rsidRDefault="00184ADB" w:rsidP="00494797">
    <w:pPr>
      <w:pStyle w:val="Header"/>
      <w:rPr>
        <w:rStyle w:val="PageNumber"/>
      </w:rPr>
    </w:pPr>
    <w:r w:rsidRPr="00CC1115">
      <w:rPr>
        <w:rStyle w:val="PageNumber"/>
      </w:rPr>
      <w:fldChar w:fldCharType="begin"/>
    </w:r>
    <w:r w:rsidR="009658A2" w:rsidRPr="00CC1115">
      <w:rPr>
        <w:rStyle w:val="PageNumber"/>
      </w:rPr>
      <w:instrText xml:space="preserve"> PAGE </w:instrText>
    </w:r>
    <w:r w:rsidRPr="00CC1115">
      <w:rPr>
        <w:rStyle w:val="PageNumber"/>
      </w:rPr>
      <w:fldChar w:fldCharType="separate"/>
    </w:r>
    <w:r w:rsidR="005761BE">
      <w:rPr>
        <w:rStyle w:val="PageNumber"/>
        <w:noProof/>
      </w:rPr>
      <w:t>14</w:t>
    </w:r>
    <w:r w:rsidRPr="00CC1115">
      <w:rPr>
        <w:rStyle w:val="PageNumber"/>
      </w:rPr>
      <w:fldChar w:fldCharType="end"/>
    </w:r>
    <w:r w:rsidR="009658A2" w:rsidRPr="00CC1115">
      <w:rPr>
        <w:rStyle w:val="PageNumber"/>
      </w:rPr>
      <w:t>/</w:t>
    </w:r>
    <w:r w:rsidRPr="00CC1115">
      <w:rPr>
        <w:rStyle w:val="PageNumber"/>
      </w:rPr>
      <w:fldChar w:fldCharType="begin"/>
    </w:r>
    <w:r w:rsidR="009658A2" w:rsidRPr="00CC1115">
      <w:rPr>
        <w:rStyle w:val="PageNumber"/>
      </w:rPr>
      <w:instrText xml:space="preserve"> NUMPAGES </w:instrText>
    </w:r>
    <w:r w:rsidRPr="00CC1115">
      <w:rPr>
        <w:rStyle w:val="PageNumber"/>
      </w:rPr>
      <w:fldChar w:fldCharType="separate"/>
    </w:r>
    <w:r w:rsidR="005761BE">
      <w:rPr>
        <w:rStyle w:val="PageNumber"/>
        <w:noProof/>
      </w:rPr>
      <w:t>14</w:t>
    </w:r>
    <w:r w:rsidRPr="00CC1115">
      <w:rPr>
        <w:rStyle w:val="PageNumber"/>
      </w:rPr>
      <w:fldChar w:fldCharType="end"/>
    </w:r>
  </w:p>
  <w:p w:rsidR="009658A2" w:rsidRDefault="0047677B" w:rsidP="00CC1115">
    <w:pPr>
      <w:pStyle w:val="Header"/>
      <w:rPr>
        <w:lang w:val="en-US"/>
      </w:rPr>
    </w:pPr>
    <w:r w:rsidRPr="00CC1115">
      <w:rPr>
        <w:lang w:val="en-US"/>
      </w:rPr>
      <w:t>PP-14</w:t>
    </w:r>
    <w:r w:rsidR="009658A2" w:rsidRPr="00CC1115">
      <w:rPr>
        <w:lang w:val="en-US"/>
      </w:rPr>
      <w:t>/</w:t>
    </w:r>
    <w:r w:rsidR="00CC1115" w:rsidRPr="00CC1115">
      <w:rPr>
        <w:lang w:val="en-US"/>
      </w:rPr>
      <w:t>174-</w:t>
    </w:r>
    <w:r w:rsidR="009658A2" w:rsidRPr="00CC1115">
      <w:rPr>
        <w:lang w:val="en-US"/>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C61D72"/>
    <w:multiLevelType w:val="hybridMultilevel"/>
    <w:tmpl w:val="0DA23CA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58"/>
    <w:rsid w:val="00000AF8"/>
    <w:rsid w:val="00001935"/>
    <w:rsid w:val="00001980"/>
    <w:rsid w:val="000048E4"/>
    <w:rsid w:val="000065C7"/>
    <w:rsid w:val="00010B2A"/>
    <w:rsid w:val="00011208"/>
    <w:rsid w:val="000143FA"/>
    <w:rsid w:val="00014808"/>
    <w:rsid w:val="00015E97"/>
    <w:rsid w:val="00032F43"/>
    <w:rsid w:val="00034ECB"/>
    <w:rsid w:val="00082395"/>
    <w:rsid w:val="00082EB9"/>
    <w:rsid w:val="00083C6D"/>
    <w:rsid w:val="00084F6C"/>
    <w:rsid w:val="0008540E"/>
    <w:rsid w:val="000867D7"/>
    <w:rsid w:val="00094B4F"/>
    <w:rsid w:val="000A1015"/>
    <w:rsid w:val="000A3012"/>
    <w:rsid w:val="000B03F9"/>
    <w:rsid w:val="000B0A77"/>
    <w:rsid w:val="000B0D6C"/>
    <w:rsid w:val="000B2130"/>
    <w:rsid w:val="000B5BB9"/>
    <w:rsid w:val="000B7152"/>
    <w:rsid w:val="000C231A"/>
    <w:rsid w:val="000C4701"/>
    <w:rsid w:val="000C4E74"/>
    <w:rsid w:val="000C545F"/>
    <w:rsid w:val="000D6505"/>
    <w:rsid w:val="000E4C7A"/>
    <w:rsid w:val="000E5E15"/>
    <w:rsid w:val="000F0A30"/>
    <w:rsid w:val="000F5A9A"/>
    <w:rsid w:val="000F73D1"/>
    <w:rsid w:val="001001C5"/>
    <w:rsid w:val="0010054B"/>
    <w:rsid w:val="00105EFE"/>
    <w:rsid w:val="00106777"/>
    <w:rsid w:val="00114BA3"/>
    <w:rsid w:val="00115DEC"/>
    <w:rsid w:val="00121081"/>
    <w:rsid w:val="00123F09"/>
    <w:rsid w:val="00126C00"/>
    <w:rsid w:val="00136175"/>
    <w:rsid w:val="00140FF0"/>
    <w:rsid w:val="00146057"/>
    <w:rsid w:val="00147149"/>
    <w:rsid w:val="0016633C"/>
    <w:rsid w:val="001700B6"/>
    <w:rsid w:val="00171990"/>
    <w:rsid w:val="00174CF6"/>
    <w:rsid w:val="0017606C"/>
    <w:rsid w:val="00184ADB"/>
    <w:rsid w:val="001902B0"/>
    <w:rsid w:val="00195645"/>
    <w:rsid w:val="00195B70"/>
    <w:rsid w:val="001A0EEB"/>
    <w:rsid w:val="001B18AB"/>
    <w:rsid w:val="001B2AA2"/>
    <w:rsid w:val="001B70D1"/>
    <w:rsid w:val="001C116E"/>
    <w:rsid w:val="001C3804"/>
    <w:rsid w:val="001C7265"/>
    <w:rsid w:val="001D3322"/>
    <w:rsid w:val="001E01A5"/>
    <w:rsid w:val="001E1C8F"/>
    <w:rsid w:val="001F3721"/>
    <w:rsid w:val="001F5840"/>
    <w:rsid w:val="002071B5"/>
    <w:rsid w:val="002115E0"/>
    <w:rsid w:val="00232B31"/>
    <w:rsid w:val="00233889"/>
    <w:rsid w:val="00233ED4"/>
    <w:rsid w:val="00235A3B"/>
    <w:rsid w:val="002404ED"/>
    <w:rsid w:val="00243BE4"/>
    <w:rsid w:val="0025209A"/>
    <w:rsid w:val="00257188"/>
    <w:rsid w:val="002578B4"/>
    <w:rsid w:val="00267D12"/>
    <w:rsid w:val="00281792"/>
    <w:rsid w:val="00284892"/>
    <w:rsid w:val="0028799E"/>
    <w:rsid w:val="002962A8"/>
    <w:rsid w:val="0029653B"/>
    <w:rsid w:val="002A1857"/>
    <w:rsid w:val="002A3877"/>
    <w:rsid w:val="002B2D73"/>
    <w:rsid w:val="002C7575"/>
    <w:rsid w:val="002E3B7E"/>
    <w:rsid w:val="002F36B9"/>
    <w:rsid w:val="002F5FA2"/>
    <w:rsid w:val="00301F8D"/>
    <w:rsid w:val="003126B0"/>
    <w:rsid w:val="00314127"/>
    <w:rsid w:val="00314C12"/>
    <w:rsid w:val="00320957"/>
    <w:rsid w:val="00323B9D"/>
    <w:rsid w:val="003261C3"/>
    <w:rsid w:val="003267FC"/>
    <w:rsid w:val="003453DA"/>
    <w:rsid w:val="00357754"/>
    <w:rsid w:val="003578E4"/>
    <w:rsid w:val="00361097"/>
    <w:rsid w:val="00373A0D"/>
    <w:rsid w:val="00375076"/>
    <w:rsid w:val="00375BBA"/>
    <w:rsid w:val="00382DE8"/>
    <w:rsid w:val="0038712D"/>
    <w:rsid w:val="003942C1"/>
    <w:rsid w:val="00395CE4"/>
    <w:rsid w:val="003A5FFB"/>
    <w:rsid w:val="003A7F72"/>
    <w:rsid w:val="003A7FB6"/>
    <w:rsid w:val="003B21EE"/>
    <w:rsid w:val="003B3751"/>
    <w:rsid w:val="003C2796"/>
    <w:rsid w:val="003D4820"/>
    <w:rsid w:val="003E4AFA"/>
    <w:rsid w:val="003E4BA0"/>
    <w:rsid w:val="003F5771"/>
    <w:rsid w:val="004014B0"/>
    <w:rsid w:val="004059B0"/>
    <w:rsid w:val="0042060E"/>
    <w:rsid w:val="00426AC1"/>
    <w:rsid w:val="00435AA4"/>
    <w:rsid w:val="00435EA8"/>
    <w:rsid w:val="004360BB"/>
    <w:rsid w:val="0045533C"/>
    <w:rsid w:val="004606DA"/>
    <w:rsid w:val="00462FC9"/>
    <w:rsid w:val="00463092"/>
    <w:rsid w:val="004676C0"/>
    <w:rsid w:val="00474E00"/>
    <w:rsid w:val="0047619A"/>
    <w:rsid w:val="0047677B"/>
    <w:rsid w:val="004835DB"/>
    <w:rsid w:val="00491D2D"/>
    <w:rsid w:val="00494797"/>
    <w:rsid w:val="004A0C63"/>
    <w:rsid w:val="004A192E"/>
    <w:rsid w:val="004B0C10"/>
    <w:rsid w:val="004B6CB2"/>
    <w:rsid w:val="004C19D7"/>
    <w:rsid w:val="004C297B"/>
    <w:rsid w:val="004C73C9"/>
    <w:rsid w:val="004D742D"/>
    <w:rsid w:val="004E01FA"/>
    <w:rsid w:val="004E6764"/>
    <w:rsid w:val="004F041D"/>
    <w:rsid w:val="004F1C55"/>
    <w:rsid w:val="00504FE5"/>
    <w:rsid w:val="00507348"/>
    <w:rsid w:val="00522C97"/>
    <w:rsid w:val="005356FD"/>
    <w:rsid w:val="00547D75"/>
    <w:rsid w:val="00551C8B"/>
    <w:rsid w:val="00554E24"/>
    <w:rsid w:val="00555A0F"/>
    <w:rsid w:val="00562944"/>
    <w:rsid w:val="00563C56"/>
    <w:rsid w:val="005649DA"/>
    <w:rsid w:val="00567130"/>
    <w:rsid w:val="0057034B"/>
    <w:rsid w:val="005761BE"/>
    <w:rsid w:val="00581E8F"/>
    <w:rsid w:val="00586A98"/>
    <w:rsid w:val="005927A4"/>
    <w:rsid w:val="00596B48"/>
    <w:rsid w:val="005B10E8"/>
    <w:rsid w:val="005B5026"/>
    <w:rsid w:val="005C3315"/>
    <w:rsid w:val="005C72AF"/>
    <w:rsid w:val="005E1CC3"/>
    <w:rsid w:val="005F05C8"/>
    <w:rsid w:val="005F2AD6"/>
    <w:rsid w:val="005F3A1D"/>
    <w:rsid w:val="005F46D6"/>
    <w:rsid w:val="00604079"/>
    <w:rsid w:val="00604548"/>
    <w:rsid w:val="00617BE4"/>
    <w:rsid w:val="00620233"/>
    <w:rsid w:val="006215D8"/>
    <w:rsid w:val="00632363"/>
    <w:rsid w:val="00636856"/>
    <w:rsid w:val="006404B0"/>
    <w:rsid w:val="0064178E"/>
    <w:rsid w:val="0066499C"/>
    <w:rsid w:val="00674880"/>
    <w:rsid w:val="00680566"/>
    <w:rsid w:val="0068204B"/>
    <w:rsid w:val="00693498"/>
    <w:rsid w:val="006A6B94"/>
    <w:rsid w:val="006A7108"/>
    <w:rsid w:val="006B274D"/>
    <w:rsid w:val="006B40DA"/>
    <w:rsid w:val="006C5D5D"/>
    <w:rsid w:val="006D7B75"/>
    <w:rsid w:val="006E215D"/>
    <w:rsid w:val="006E4F86"/>
    <w:rsid w:val="006E57C8"/>
    <w:rsid w:val="006E70E1"/>
    <w:rsid w:val="00701ABB"/>
    <w:rsid w:val="00701FA1"/>
    <w:rsid w:val="00711035"/>
    <w:rsid w:val="007130ED"/>
    <w:rsid w:val="0071582A"/>
    <w:rsid w:val="007212E4"/>
    <w:rsid w:val="00722595"/>
    <w:rsid w:val="0073319E"/>
    <w:rsid w:val="00733C8A"/>
    <w:rsid w:val="00745A37"/>
    <w:rsid w:val="00750829"/>
    <w:rsid w:val="00751BFF"/>
    <w:rsid w:val="007538C9"/>
    <w:rsid w:val="00753F63"/>
    <w:rsid w:val="007542C4"/>
    <w:rsid w:val="00755067"/>
    <w:rsid w:val="007561B6"/>
    <w:rsid w:val="007649DA"/>
    <w:rsid w:val="00765553"/>
    <w:rsid w:val="00777B8B"/>
    <w:rsid w:val="00794795"/>
    <w:rsid w:val="007949EA"/>
    <w:rsid w:val="00796849"/>
    <w:rsid w:val="007A59C3"/>
    <w:rsid w:val="007A7EA1"/>
    <w:rsid w:val="007B0E06"/>
    <w:rsid w:val="007B30FC"/>
    <w:rsid w:val="007C3643"/>
    <w:rsid w:val="007C3899"/>
    <w:rsid w:val="007D2E6D"/>
    <w:rsid w:val="007E00D2"/>
    <w:rsid w:val="007E2AD4"/>
    <w:rsid w:val="00813171"/>
    <w:rsid w:val="0082780C"/>
    <w:rsid w:val="00831DF2"/>
    <w:rsid w:val="008333C7"/>
    <w:rsid w:val="00833E0F"/>
    <w:rsid w:val="008404FD"/>
    <w:rsid w:val="00850AEF"/>
    <w:rsid w:val="00852B60"/>
    <w:rsid w:val="0086020A"/>
    <w:rsid w:val="00860C6A"/>
    <w:rsid w:val="00862891"/>
    <w:rsid w:val="00875048"/>
    <w:rsid w:val="00875BE1"/>
    <w:rsid w:val="00877715"/>
    <w:rsid w:val="00895CE3"/>
    <w:rsid w:val="0089603F"/>
    <w:rsid w:val="00897970"/>
    <w:rsid w:val="00897EB8"/>
    <w:rsid w:val="008A6156"/>
    <w:rsid w:val="008B2766"/>
    <w:rsid w:val="008B5A71"/>
    <w:rsid w:val="008D3BE2"/>
    <w:rsid w:val="008D4D98"/>
    <w:rsid w:val="008E2A7B"/>
    <w:rsid w:val="008E6E9B"/>
    <w:rsid w:val="008F19A9"/>
    <w:rsid w:val="008F2C56"/>
    <w:rsid w:val="008F3C99"/>
    <w:rsid w:val="00900D5B"/>
    <w:rsid w:val="00906D62"/>
    <w:rsid w:val="009236FE"/>
    <w:rsid w:val="00940E00"/>
    <w:rsid w:val="00945D4B"/>
    <w:rsid w:val="00950E0F"/>
    <w:rsid w:val="009630FA"/>
    <w:rsid w:val="009658A2"/>
    <w:rsid w:val="00967670"/>
    <w:rsid w:val="00970996"/>
    <w:rsid w:val="009800CC"/>
    <w:rsid w:val="009A078E"/>
    <w:rsid w:val="009A2B30"/>
    <w:rsid w:val="009A4211"/>
    <w:rsid w:val="009A47A2"/>
    <w:rsid w:val="009B0BE8"/>
    <w:rsid w:val="009B7630"/>
    <w:rsid w:val="009D26D0"/>
    <w:rsid w:val="009D7761"/>
    <w:rsid w:val="009E425E"/>
    <w:rsid w:val="009E4322"/>
    <w:rsid w:val="009F4384"/>
    <w:rsid w:val="009F442D"/>
    <w:rsid w:val="009F50DA"/>
    <w:rsid w:val="00A06D56"/>
    <w:rsid w:val="00A133DC"/>
    <w:rsid w:val="00A14539"/>
    <w:rsid w:val="00A314A2"/>
    <w:rsid w:val="00A619C5"/>
    <w:rsid w:val="00A641DC"/>
    <w:rsid w:val="00A76B8A"/>
    <w:rsid w:val="00A8262F"/>
    <w:rsid w:val="00A84B32"/>
    <w:rsid w:val="00A84B3A"/>
    <w:rsid w:val="00A93B71"/>
    <w:rsid w:val="00AB0B32"/>
    <w:rsid w:val="00AB0F6E"/>
    <w:rsid w:val="00AB5C39"/>
    <w:rsid w:val="00AB75A9"/>
    <w:rsid w:val="00AD1C5C"/>
    <w:rsid w:val="00AD28F2"/>
    <w:rsid w:val="00AD566F"/>
    <w:rsid w:val="00B05661"/>
    <w:rsid w:val="00B10BB0"/>
    <w:rsid w:val="00B1733E"/>
    <w:rsid w:val="00B217EA"/>
    <w:rsid w:val="00B25A86"/>
    <w:rsid w:val="00B304B9"/>
    <w:rsid w:val="00B44C27"/>
    <w:rsid w:val="00B5069D"/>
    <w:rsid w:val="00B54FF6"/>
    <w:rsid w:val="00B55E1A"/>
    <w:rsid w:val="00B57988"/>
    <w:rsid w:val="00B62032"/>
    <w:rsid w:val="00B65F8C"/>
    <w:rsid w:val="00B7263B"/>
    <w:rsid w:val="00B73F47"/>
    <w:rsid w:val="00B7638A"/>
    <w:rsid w:val="00B80DF9"/>
    <w:rsid w:val="00B840D8"/>
    <w:rsid w:val="00B919E2"/>
    <w:rsid w:val="00B96467"/>
    <w:rsid w:val="00BA154E"/>
    <w:rsid w:val="00BA37CE"/>
    <w:rsid w:val="00BA4692"/>
    <w:rsid w:val="00BB2088"/>
    <w:rsid w:val="00BC033A"/>
    <w:rsid w:val="00BC6FDB"/>
    <w:rsid w:val="00BC7DE8"/>
    <w:rsid w:val="00BE0966"/>
    <w:rsid w:val="00BE50B6"/>
    <w:rsid w:val="00BF43BA"/>
    <w:rsid w:val="00BF489A"/>
    <w:rsid w:val="00BF5722"/>
    <w:rsid w:val="00BF59E3"/>
    <w:rsid w:val="00BF6268"/>
    <w:rsid w:val="00BF720B"/>
    <w:rsid w:val="00BF7C95"/>
    <w:rsid w:val="00C04511"/>
    <w:rsid w:val="00C155EB"/>
    <w:rsid w:val="00C16846"/>
    <w:rsid w:val="00C34851"/>
    <w:rsid w:val="00C42A5B"/>
    <w:rsid w:val="00C50153"/>
    <w:rsid w:val="00C56038"/>
    <w:rsid w:val="00C72664"/>
    <w:rsid w:val="00C817FC"/>
    <w:rsid w:val="00C86F24"/>
    <w:rsid w:val="00C87C08"/>
    <w:rsid w:val="00CA38C9"/>
    <w:rsid w:val="00CB4984"/>
    <w:rsid w:val="00CB5DD7"/>
    <w:rsid w:val="00CB77D5"/>
    <w:rsid w:val="00CC1115"/>
    <w:rsid w:val="00CC14F0"/>
    <w:rsid w:val="00CE1775"/>
    <w:rsid w:val="00CE3B0F"/>
    <w:rsid w:val="00CE40BB"/>
    <w:rsid w:val="00CF007D"/>
    <w:rsid w:val="00CF1C71"/>
    <w:rsid w:val="00CF4B7F"/>
    <w:rsid w:val="00D07696"/>
    <w:rsid w:val="00D11956"/>
    <w:rsid w:val="00D15A98"/>
    <w:rsid w:val="00D41863"/>
    <w:rsid w:val="00D500DC"/>
    <w:rsid w:val="00D54B39"/>
    <w:rsid w:val="00D63E8D"/>
    <w:rsid w:val="00D64FF3"/>
    <w:rsid w:val="00D657A2"/>
    <w:rsid w:val="00D662CB"/>
    <w:rsid w:val="00D760C8"/>
    <w:rsid w:val="00D83FFD"/>
    <w:rsid w:val="00D8617D"/>
    <w:rsid w:val="00D91362"/>
    <w:rsid w:val="00D92563"/>
    <w:rsid w:val="00D96E88"/>
    <w:rsid w:val="00DA2F2D"/>
    <w:rsid w:val="00DB72D9"/>
    <w:rsid w:val="00DC7C10"/>
    <w:rsid w:val="00DD26B1"/>
    <w:rsid w:val="00DD5177"/>
    <w:rsid w:val="00DE16B8"/>
    <w:rsid w:val="00DE23B6"/>
    <w:rsid w:val="00DE4CC2"/>
    <w:rsid w:val="00DF23FC"/>
    <w:rsid w:val="00DF39CD"/>
    <w:rsid w:val="00E0094D"/>
    <w:rsid w:val="00E00B9D"/>
    <w:rsid w:val="00E13427"/>
    <w:rsid w:val="00E1374D"/>
    <w:rsid w:val="00E20134"/>
    <w:rsid w:val="00E23286"/>
    <w:rsid w:val="00E24CB2"/>
    <w:rsid w:val="00E26527"/>
    <w:rsid w:val="00E3536D"/>
    <w:rsid w:val="00E44456"/>
    <w:rsid w:val="00E54524"/>
    <w:rsid w:val="00E54824"/>
    <w:rsid w:val="00E55397"/>
    <w:rsid w:val="00E553B9"/>
    <w:rsid w:val="00E56E57"/>
    <w:rsid w:val="00E57442"/>
    <w:rsid w:val="00E62126"/>
    <w:rsid w:val="00E63DAA"/>
    <w:rsid w:val="00E6599B"/>
    <w:rsid w:val="00E65A58"/>
    <w:rsid w:val="00E726DE"/>
    <w:rsid w:val="00E7787C"/>
    <w:rsid w:val="00E871C2"/>
    <w:rsid w:val="00E94993"/>
    <w:rsid w:val="00E954FA"/>
    <w:rsid w:val="00E97A21"/>
    <w:rsid w:val="00EA1BAA"/>
    <w:rsid w:val="00EC0855"/>
    <w:rsid w:val="00ED401C"/>
    <w:rsid w:val="00ED4DEA"/>
    <w:rsid w:val="00ED6CE5"/>
    <w:rsid w:val="00EE32C6"/>
    <w:rsid w:val="00EE333B"/>
    <w:rsid w:val="00EF041C"/>
    <w:rsid w:val="00EF2642"/>
    <w:rsid w:val="00EF3681"/>
    <w:rsid w:val="00F10790"/>
    <w:rsid w:val="00F10E7C"/>
    <w:rsid w:val="00F1207D"/>
    <w:rsid w:val="00F13C1E"/>
    <w:rsid w:val="00F20BC2"/>
    <w:rsid w:val="00F31910"/>
    <w:rsid w:val="00F32974"/>
    <w:rsid w:val="00F342E4"/>
    <w:rsid w:val="00F34E51"/>
    <w:rsid w:val="00F35330"/>
    <w:rsid w:val="00F354C9"/>
    <w:rsid w:val="00F41C91"/>
    <w:rsid w:val="00F433A4"/>
    <w:rsid w:val="00F4421A"/>
    <w:rsid w:val="00F44A55"/>
    <w:rsid w:val="00F47316"/>
    <w:rsid w:val="00F5517D"/>
    <w:rsid w:val="00F55DA5"/>
    <w:rsid w:val="00F64726"/>
    <w:rsid w:val="00F72DE6"/>
    <w:rsid w:val="00F95ABE"/>
    <w:rsid w:val="00F9756D"/>
    <w:rsid w:val="00FB5F12"/>
    <w:rsid w:val="00FC0932"/>
    <w:rsid w:val="00FD417F"/>
    <w:rsid w:val="00FD7B1D"/>
    <w:rsid w:val="00FE08BF"/>
    <w:rsid w:val="00FE1E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327EF0E7-7562-47E0-A55C-4443C57C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FA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rsid w:val="00000AF8"/>
    <w:rPr>
      <w:rFonts w:ascii="Calibri" w:hAnsi="Calibri"/>
      <w:color w:val="0000FF"/>
      <w:u w:val="single"/>
    </w:rPr>
  </w:style>
  <w:style w:type="paragraph" w:styleId="Date">
    <w:name w:val="Date"/>
    <w:basedOn w:val="Normal"/>
    <w:rsid w:val="00AD566F"/>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styleId="BalloonText">
    <w:name w:val="Balloon Text"/>
    <w:basedOn w:val="Normal"/>
    <w:link w:val="BalloonTextChar"/>
    <w:rsid w:val="004A192E"/>
    <w:pPr>
      <w:spacing w:before="0"/>
    </w:pPr>
    <w:rPr>
      <w:rFonts w:ascii="Tahoma" w:hAnsi="Tahoma" w:cs="Tahoma"/>
      <w:sz w:val="16"/>
      <w:szCs w:val="16"/>
    </w:rPr>
  </w:style>
  <w:style w:type="character" w:customStyle="1" w:styleId="BalloonTextChar">
    <w:name w:val="Balloon Text Char"/>
    <w:basedOn w:val="DefaultParagraphFont"/>
    <w:link w:val="BalloonText"/>
    <w:rsid w:val="004A192E"/>
    <w:rPr>
      <w:rFonts w:ascii="Tahoma" w:hAnsi="Tahoma" w:cs="Tahoma"/>
      <w:sz w:val="16"/>
      <w:szCs w:val="16"/>
      <w:lang w:val="en-GB" w:eastAsia="en-US"/>
    </w:rPr>
  </w:style>
  <w:style w:type="paragraph" w:styleId="BodyText">
    <w:name w:val="Body Text"/>
    <w:basedOn w:val="Normal"/>
    <w:link w:val="BodyTextChar"/>
    <w:rsid w:val="004A192E"/>
    <w:pPr>
      <w:tabs>
        <w:tab w:val="clear" w:pos="567"/>
        <w:tab w:val="clear" w:pos="1134"/>
        <w:tab w:val="clear" w:pos="1701"/>
        <w:tab w:val="clear" w:pos="2268"/>
        <w:tab w:val="clear" w:pos="2835"/>
      </w:tabs>
      <w:overflowPunct/>
      <w:autoSpaceDE/>
      <w:autoSpaceDN/>
      <w:adjustRightInd/>
      <w:spacing w:before="0" w:line="480" w:lineRule="auto"/>
      <w:textAlignment w:val="auto"/>
    </w:pPr>
    <w:rPr>
      <w:rFonts w:ascii="Times" w:eastAsia="Times" w:hAnsi="Times"/>
      <w:b/>
      <w:lang w:eastAsia="en-GB"/>
    </w:rPr>
  </w:style>
  <w:style w:type="character" w:customStyle="1" w:styleId="BodyTextChar">
    <w:name w:val="Body Text Char"/>
    <w:basedOn w:val="DefaultParagraphFont"/>
    <w:link w:val="BodyText"/>
    <w:rsid w:val="004A192E"/>
    <w:rPr>
      <w:rFonts w:ascii="Times" w:eastAsia="Times" w:hAnsi="Times"/>
      <w:b/>
      <w:sz w:val="24"/>
      <w:lang w:val="en-GB" w:eastAsia="en-GB"/>
    </w:rPr>
  </w:style>
  <w:style w:type="character" w:customStyle="1" w:styleId="Heading1Char">
    <w:name w:val="Heading 1 Char"/>
    <w:basedOn w:val="DefaultParagraphFont"/>
    <w:link w:val="Heading1"/>
    <w:rsid w:val="005F46D6"/>
    <w:rPr>
      <w:rFonts w:ascii="Calibri" w:hAnsi="Calibri"/>
      <w:b/>
      <w:sz w:val="28"/>
      <w:lang w:val="en-GB" w:eastAsia="en-US"/>
    </w:rPr>
  </w:style>
  <w:style w:type="paragraph" w:styleId="ListParagraph">
    <w:name w:val="List Paragraph"/>
    <w:basedOn w:val="Normal"/>
    <w:uiPriority w:val="34"/>
    <w:qFormat/>
    <w:rsid w:val="00632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md/S14-PP-C-0158/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u.int/md/S14-PP-C-0166/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u.int/md/S14-PP-C-0084/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14-PP-C-0166/en" TargetMode="External"/><Relationship Id="rId5" Type="http://schemas.openxmlformats.org/officeDocument/2006/relationships/webSettings" Target="webSettings.xml"/><Relationship Id="rId15" Type="http://schemas.openxmlformats.org/officeDocument/2006/relationships/hyperlink" Target="http://www.itu.int/md/S14-PP-C-0128/en" TargetMode="External"/><Relationship Id="rId10" Type="http://schemas.openxmlformats.org/officeDocument/2006/relationships/hyperlink" Target="http://www.itu.int/md/S14-PP-C-0165/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tu.int/md/S14-PP-C-0165/en" TargetMode="External"/><Relationship Id="rId14" Type="http://schemas.openxmlformats.org/officeDocument/2006/relationships/hyperlink" Target="http://www.itu.int/md/S14-PP-C-0119/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plenipotenti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651E4-DEEF-4A80-9E6A-CBFD55E98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4602</Words>
  <Characters>26095</Characters>
  <Application>Microsoft Office Word</Application>
  <DocSecurity>0</DocSecurity>
  <Lines>217</Lines>
  <Paragraphs>61</Paragraphs>
  <ScaleCrop>false</ScaleCrop>
  <HeadingPairs>
    <vt:vector size="6" baseType="variant">
      <vt:variant>
        <vt:lpstr>Title</vt:lpstr>
      </vt:variant>
      <vt:variant>
        <vt:i4>1</vt:i4>
      </vt:variant>
      <vt:variant>
        <vt:lpstr>Título</vt:lpstr>
      </vt:variant>
      <vt:variant>
        <vt:i4>1</vt:i4>
      </vt:variant>
      <vt:variant>
        <vt:lpstr>INTERNATIONAL   TELECOMMUNICATION   UNION	</vt:lpstr>
      </vt:variant>
      <vt:variant>
        <vt:i4>0</vt:i4>
      </vt:variant>
    </vt:vector>
  </HeadingPairs>
  <TitlesOfParts>
    <vt:vector size="2" baseType="lpstr">
      <vt:lpstr/>
      <vt:lpstr/>
    </vt:vector>
  </TitlesOfParts>
  <Manager>General Secretariat - Pool</Manager>
  <Company>International Telecommunication Union (ITU)</Company>
  <LinksUpToDate>false</LinksUpToDate>
  <CharactersWithSpaces>30636</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Plenipotentiary Conference (PP-10)</dc:subject>
  <dc:creator>Wells, Kathryn</dc:creator>
  <cp:keywords>PP-10</cp:keywords>
  <cp:lastModifiedBy>Brouard, Ricarda</cp:lastModifiedBy>
  <cp:revision>3</cp:revision>
  <cp:lastPrinted>2014-12-19T13:59:00Z</cp:lastPrinted>
  <dcterms:created xsi:type="dcterms:W3CDTF">2014-12-22T16:02:00Z</dcterms:created>
  <dcterms:modified xsi:type="dcterms:W3CDTF">2014-12-24T09:03:00Z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199-E</vt:lpwstr>
  </property>
  <property fmtid="{D5CDD505-2E9C-101B-9397-08002B2CF9AE}" pid="3" name="Docdate">
    <vt:lpwstr>16 November 2010</vt:lpwstr>
  </property>
  <property fmtid="{D5CDD505-2E9C-101B-9397-08002B2CF9AE}" pid="4" name="Docorlang">
    <vt:lpwstr>Original: English</vt:lpwstr>
  </property>
  <property fmtid="{D5CDD505-2E9C-101B-9397-08002B2CF9AE}" pid="5" name="Docbluepink">
    <vt:lpwstr/>
  </property>
  <property fmtid="{D5CDD505-2E9C-101B-9397-08002B2CF9AE}" pid="6" name="Docdest">
    <vt:lpwstr>PLENARY MEETING</vt:lpwstr>
  </property>
  <property fmtid="{D5CDD505-2E9C-101B-9397-08002B2CF9AE}" pid="7" name="Docauthor">
    <vt:lpwstr/>
  </property>
</Properties>
</file>