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A814" w14:textId="77777777" w:rsidR="003D22B6" w:rsidRDefault="00557059">
      <w:pPr>
        <w:pStyle w:val="Heading1"/>
        <w:spacing w:before="42"/>
        <w:jc w:val="left"/>
      </w:pPr>
      <w:r>
        <w:t>Annex</w:t>
      </w:r>
      <w:r>
        <w:rPr>
          <w:spacing w:val="-7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rPr>
          <w:spacing w:val="-5"/>
        </w:rPr>
        <w:t>335</w:t>
      </w:r>
    </w:p>
    <w:p w14:paraId="6B97A815" w14:textId="77777777" w:rsidR="003D22B6" w:rsidRDefault="003D22B6">
      <w:pPr>
        <w:pStyle w:val="BodyText"/>
        <w:rPr>
          <w:b/>
        </w:rPr>
      </w:pPr>
    </w:p>
    <w:p w14:paraId="6B97A816" w14:textId="77777777" w:rsidR="003D22B6" w:rsidRDefault="003D22B6">
      <w:pPr>
        <w:pStyle w:val="BodyText"/>
        <w:rPr>
          <w:b/>
        </w:rPr>
      </w:pPr>
    </w:p>
    <w:p w14:paraId="6B97A817" w14:textId="77777777" w:rsidR="003D22B6" w:rsidRDefault="003D22B6">
      <w:pPr>
        <w:pStyle w:val="BodyText"/>
        <w:spacing w:before="205"/>
        <w:rPr>
          <w:b/>
        </w:rPr>
      </w:pPr>
    </w:p>
    <w:p w14:paraId="6B97A818" w14:textId="77777777" w:rsidR="003D22B6" w:rsidRDefault="00557059">
      <w:pPr>
        <w:pStyle w:val="Heading2"/>
        <w:spacing w:before="0"/>
        <w:ind w:left="43" w:right="44"/>
        <w:jc w:val="center"/>
      </w:pPr>
      <w:r>
        <w:rPr>
          <w:u w:val="single"/>
        </w:rPr>
        <w:t>TRANSFER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POWERS</w:t>
      </w:r>
    </w:p>
    <w:p w14:paraId="6B97A819" w14:textId="77777777" w:rsidR="003D22B6" w:rsidRDefault="003D22B6">
      <w:pPr>
        <w:pStyle w:val="BodyText"/>
        <w:spacing w:before="90"/>
      </w:pPr>
    </w:p>
    <w:p w14:paraId="6B97A81A" w14:textId="77777777" w:rsidR="003D22B6" w:rsidRDefault="00557059">
      <w:pPr>
        <w:ind w:left="44" w:right="1"/>
        <w:jc w:val="center"/>
        <w:rPr>
          <w:i/>
        </w:rPr>
      </w:pPr>
      <w:r>
        <w:rPr>
          <w:i/>
        </w:rPr>
        <w:t>[NAME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MEMBER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STATE]</w:t>
      </w:r>
    </w:p>
    <w:p w14:paraId="6B97A81B" w14:textId="77777777" w:rsidR="003D22B6" w:rsidRDefault="003D22B6">
      <w:pPr>
        <w:pStyle w:val="BodyText"/>
        <w:spacing w:before="92"/>
        <w:rPr>
          <w:i/>
        </w:rPr>
      </w:pPr>
    </w:p>
    <w:p w14:paraId="6B97A81C" w14:textId="77777777" w:rsidR="003D22B6" w:rsidRDefault="00557059">
      <w:pPr>
        <w:tabs>
          <w:tab w:val="left" w:pos="4304"/>
        </w:tabs>
        <w:ind w:left="63" w:right="208" w:firstLine="1094"/>
      </w:pPr>
      <w:r>
        <w:t xml:space="preserve">We, </w:t>
      </w:r>
      <w:r>
        <w:rPr>
          <w:u w:val="single"/>
        </w:rPr>
        <w:tab/>
      </w:r>
      <w:r>
        <w:t xml:space="preserve"> </w:t>
      </w:r>
      <w:r>
        <w:rPr>
          <w:i/>
        </w:rPr>
        <w:t>[Head of State / Head of Government / Minister for Foreign</w:t>
      </w:r>
      <w:r>
        <w:rPr>
          <w:i/>
          <w:spacing w:val="-1"/>
        </w:rPr>
        <w:t xml:space="preserve"> </w:t>
      </w:r>
      <w:r>
        <w:rPr>
          <w:i/>
        </w:rPr>
        <w:t>Affairs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Minister</w:t>
      </w:r>
      <w:r>
        <w:rPr>
          <w:i/>
          <w:spacing w:val="-2"/>
        </w:rPr>
        <w:t xml:space="preserve"> </w:t>
      </w:r>
      <w:r>
        <w:rPr>
          <w:i/>
        </w:rPr>
        <w:t>responsible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questions</w:t>
      </w:r>
      <w:r>
        <w:rPr>
          <w:i/>
          <w:spacing w:val="-1"/>
        </w:rPr>
        <w:t xml:space="preserve"> </w:t>
      </w:r>
      <w:r>
        <w:rPr>
          <w:i/>
        </w:rPr>
        <w:t>dealt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during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conference]</w:t>
      </w:r>
      <w:hyperlink w:anchor="_bookmark0" w:history="1">
        <w:r>
          <w:rPr>
            <w:vertAlign w:val="superscript"/>
          </w:rPr>
          <w:t>1</w:t>
        </w:r>
      </w:hyperlink>
      <w:r>
        <w:t>,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</w:p>
    <w:p w14:paraId="6B97A81D" w14:textId="22D25B53" w:rsidR="003D22B6" w:rsidRDefault="00557059">
      <w:pPr>
        <w:pStyle w:val="BodyText"/>
        <w:tabs>
          <w:tab w:val="left" w:pos="2908"/>
        </w:tabs>
        <w:ind w:left="63" w:right="30"/>
      </w:pPr>
      <w:r>
        <w:rPr>
          <w:i/>
          <w:u w:val="single"/>
        </w:rPr>
        <w:tab/>
      </w:r>
      <w:r>
        <w:rPr>
          <w:i/>
          <w:spacing w:val="-2"/>
        </w:rPr>
        <w:t xml:space="preserve"> </w:t>
      </w:r>
      <w:r>
        <w:rPr>
          <w:i/>
        </w:rPr>
        <w:t>[name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Member</w:t>
      </w:r>
      <w:r>
        <w:rPr>
          <w:i/>
          <w:spacing w:val="-3"/>
        </w:rPr>
        <w:t xml:space="preserve"> </w:t>
      </w:r>
      <w:r>
        <w:rPr>
          <w:i/>
        </w:rPr>
        <w:t>State]</w:t>
      </w:r>
      <w:r>
        <w:rPr>
          <w:i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delegation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 Telecommunication Development Conference (WTDC-2</w:t>
      </w:r>
      <w:r w:rsidR="00B7227D">
        <w:t>5</w:t>
      </w:r>
      <w:r>
        <w:t xml:space="preserve">) to be held in </w:t>
      </w:r>
      <w:r w:rsidR="00637226">
        <w:t>Baku</w:t>
      </w:r>
      <w:r>
        <w:t>,</w:t>
      </w:r>
      <w:r w:rsidR="00637226">
        <w:t xml:space="preserve"> Azerbaijan</w:t>
      </w:r>
      <w:r>
        <w:t xml:space="preserve">, from </w:t>
      </w:r>
      <w:r w:rsidR="00637226">
        <w:t xml:space="preserve">17 </w:t>
      </w:r>
      <w:r>
        <w:t xml:space="preserve">to </w:t>
      </w:r>
      <w:r w:rsidR="00637226">
        <w:t xml:space="preserve">28 November </w:t>
      </w:r>
      <w:r>
        <w:rPr>
          <w:spacing w:val="-2"/>
        </w:rPr>
        <w:t>202</w:t>
      </w:r>
      <w:r w:rsidR="00637226">
        <w:rPr>
          <w:spacing w:val="-2"/>
        </w:rPr>
        <w:t>5</w:t>
      </w:r>
      <w:r>
        <w:rPr>
          <w:spacing w:val="-2"/>
        </w:rPr>
        <w:t>.</w:t>
      </w:r>
    </w:p>
    <w:p w14:paraId="6B97A81E" w14:textId="77777777" w:rsidR="003D22B6" w:rsidRDefault="003D22B6">
      <w:pPr>
        <w:pStyle w:val="BodyText"/>
        <w:spacing w:before="90"/>
      </w:pPr>
    </w:p>
    <w:p w14:paraId="6B97A81F" w14:textId="77777777" w:rsidR="003D22B6" w:rsidRDefault="00557059">
      <w:pPr>
        <w:tabs>
          <w:tab w:val="left" w:pos="8629"/>
          <w:tab w:val="left" w:pos="9241"/>
        </w:tabs>
        <w:ind w:left="63" w:right="155" w:firstLine="1094"/>
      </w:pPr>
      <w:r>
        <w:t xml:space="preserve">Consequently, pursuant to No. 335 of the ITU Convention,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 xml:space="preserve">[name of Member State] </w:t>
      </w:r>
      <w:r>
        <w:t xml:space="preserve">grants full powers to the delegation of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i/>
        </w:rPr>
        <w:t>[name</w:t>
      </w:r>
      <w:r>
        <w:rPr>
          <w:i/>
          <w:spacing w:val="-12"/>
        </w:rPr>
        <w:t xml:space="preserve"> </w:t>
      </w:r>
      <w:r>
        <w:rPr>
          <w:i/>
        </w:rPr>
        <w:t xml:space="preserve">of receiving Member State] </w:t>
      </w:r>
      <w:r>
        <w:t>to vote on its behalf during the conference.</w:t>
      </w:r>
    </w:p>
    <w:p w14:paraId="6B97A820" w14:textId="77777777" w:rsidR="003D22B6" w:rsidRDefault="003D22B6">
      <w:pPr>
        <w:pStyle w:val="BodyText"/>
        <w:spacing w:before="93"/>
      </w:pPr>
    </w:p>
    <w:p w14:paraId="6B97A821" w14:textId="77777777" w:rsidR="003D22B6" w:rsidRDefault="00557059">
      <w:pPr>
        <w:pStyle w:val="BodyText"/>
        <w:spacing w:before="1"/>
        <w:ind w:left="1158"/>
      </w:pPr>
      <w:r>
        <w:t>In</w:t>
      </w:r>
      <w:r>
        <w:rPr>
          <w:spacing w:val="-7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powers.</w:t>
      </w:r>
    </w:p>
    <w:p w14:paraId="6B97A822" w14:textId="77777777" w:rsidR="003D22B6" w:rsidRDefault="003D22B6">
      <w:pPr>
        <w:pStyle w:val="BodyText"/>
        <w:spacing w:before="90"/>
      </w:pPr>
    </w:p>
    <w:p w14:paraId="6B97A823" w14:textId="7B0650F9" w:rsidR="003D22B6" w:rsidRDefault="00557059">
      <w:pPr>
        <w:pStyle w:val="BodyText"/>
        <w:tabs>
          <w:tab w:val="left" w:pos="4540"/>
          <w:tab w:val="left" w:pos="7445"/>
        </w:tabs>
        <w:ind w:left="1158"/>
      </w:pPr>
      <w:r>
        <w:t xml:space="preserve">Done at </w:t>
      </w:r>
      <w:r>
        <w:rPr>
          <w:u w:val="single"/>
        </w:rPr>
        <w:tab/>
      </w:r>
      <w:r>
        <w:t xml:space="preserve">, </w:t>
      </w:r>
      <w:proofErr w:type="gramStart"/>
      <w:r>
        <w:t>on</w:t>
      </w:r>
      <w:proofErr w:type="gramEnd"/>
      <w:r>
        <w:t xml:space="preserve"> </w:t>
      </w:r>
      <w:r>
        <w:rPr>
          <w:u w:val="single"/>
        </w:rPr>
        <w:tab/>
      </w:r>
      <w:r>
        <w:t xml:space="preserve"> 202</w:t>
      </w:r>
      <w:r w:rsidR="00637226">
        <w:t>5</w:t>
      </w:r>
      <w:r>
        <w:t>, by:</w:t>
      </w:r>
    </w:p>
    <w:p w14:paraId="6B97A824" w14:textId="77777777" w:rsidR="003D22B6" w:rsidRDefault="003D22B6">
      <w:pPr>
        <w:pStyle w:val="BodyText"/>
      </w:pPr>
    </w:p>
    <w:p w14:paraId="6B97A825" w14:textId="77777777" w:rsidR="003D22B6" w:rsidRDefault="003D22B6">
      <w:pPr>
        <w:pStyle w:val="BodyText"/>
        <w:spacing w:before="183"/>
      </w:pPr>
    </w:p>
    <w:p w14:paraId="6B97A826" w14:textId="77777777" w:rsidR="003D22B6" w:rsidRDefault="00557059">
      <w:pPr>
        <w:pStyle w:val="BodyText"/>
        <w:tabs>
          <w:tab w:val="left" w:pos="7875"/>
        </w:tabs>
        <w:ind w:left="4702"/>
      </w:pPr>
      <w:r>
        <w:rPr>
          <w:u w:val="single"/>
        </w:rPr>
        <w:tab/>
      </w:r>
      <w:r>
        <w:t xml:space="preserve"> (Signature)</w:t>
      </w:r>
    </w:p>
    <w:p w14:paraId="6B97A827" w14:textId="77777777" w:rsidR="003D22B6" w:rsidRDefault="003D22B6">
      <w:pPr>
        <w:pStyle w:val="BodyText"/>
        <w:rPr>
          <w:sz w:val="20"/>
        </w:rPr>
      </w:pPr>
    </w:p>
    <w:p w14:paraId="6B97A828" w14:textId="77777777" w:rsidR="003D22B6" w:rsidRDefault="003D22B6">
      <w:pPr>
        <w:pStyle w:val="BodyText"/>
        <w:rPr>
          <w:sz w:val="20"/>
        </w:rPr>
      </w:pPr>
    </w:p>
    <w:p w14:paraId="6B97A829" w14:textId="77777777" w:rsidR="003D22B6" w:rsidRDefault="003D22B6">
      <w:pPr>
        <w:pStyle w:val="BodyText"/>
        <w:spacing w:before="151" w:after="1"/>
        <w:rPr>
          <w:sz w:val="20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6446"/>
      </w:tblGrid>
      <w:tr w:rsidR="003D22B6" w14:paraId="6B97A82F" w14:textId="77777777">
        <w:trPr>
          <w:trHeight w:val="1294"/>
        </w:trPr>
        <w:tc>
          <w:tcPr>
            <w:tcW w:w="2578" w:type="dxa"/>
          </w:tcPr>
          <w:p w14:paraId="6B97A82A" w14:textId="77777777" w:rsidR="003D22B6" w:rsidRDefault="003D22B6">
            <w:pPr>
              <w:pStyle w:val="TableParagraph"/>
              <w:spacing w:before="44"/>
              <w:ind w:left="0"/>
              <w:jc w:val="left"/>
            </w:pPr>
          </w:p>
          <w:p w14:paraId="6B97A82B" w14:textId="77777777" w:rsidR="003D22B6" w:rsidRDefault="00557059">
            <w:pPr>
              <w:pStyle w:val="TableParagraph"/>
              <w:ind w:left="50"/>
              <w:jc w:val="left"/>
              <w:rPr>
                <w:b/>
              </w:rPr>
            </w:pPr>
            <w:r>
              <w:rPr>
                <w:b/>
                <w:u w:val="single"/>
              </w:rPr>
              <w:t>Official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seal</w:t>
            </w:r>
          </w:p>
        </w:tc>
        <w:tc>
          <w:tcPr>
            <w:tcW w:w="6446" w:type="dxa"/>
          </w:tcPr>
          <w:p w14:paraId="6B97A82C" w14:textId="77777777" w:rsidR="003D22B6" w:rsidRDefault="00557059">
            <w:pPr>
              <w:pStyle w:val="TableParagraph"/>
              <w:spacing w:line="224" w:lineRule="exact"/>
              <w:ind w:right="5"/>
              <w:rPr>
                <w:i/>
              </w:rPr>
            </w:pPr>
            <w:r>
              <w:rPr>
                <w:i/>
              </w:rPr>
              <w:t>[Head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State/</w:t>
            </w:r>
          </w:p>
          <w:p w14:paraId="6B97A82D" w14:textId="77777777" w:rsidR="003D22B6" w:rsidRDefault="00557059">
            <w:pPr>
              <w:pStyle w:val="TableParagraph"/>
              <w:ind w:left="2687" w:right="1267" w:hanging="2"/>
              <w:rPr>
                <w:i/>
              </w:rPr>
            </w:pPr>
            <w:r>
              <w:rPr>
                <w:i/>
              </w:rPr>
              <w:t>Head of Government/ Minister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Foreign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Affairs/</w:t>
            </w:r>
          </w:p>
          <w:p w14:paraId="6B97A82E" w14:textId="77777777" w:rsidR="003D22B6" w:rsidRDefault="00557059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i/>
              </w:rPr>
              <w:t>Minister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dealt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during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 conference]</w:t>
            </w:r>
            <w:r>
              <w:rPr>
                <w:i/>
                <w:spacing w:val="-19"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</w:p>
        </w:tc>
      </w:tr>
    </w:tbl>
    <w:p w14:paraId="6B97A830" w14:textId="77777777" w:rsidR="003D22B6" w:rsidRDefault="003D22B6">
      <w:pPr>
        <w:pStyle w:val="BodyText"/>
        <w:rPr>
          <w:sz w:val="20"/>
        </w:rPr>
      </w:pPr>
    </w:p>
    <w:p w14:paraId="6B97A831" w14:textId="77777777" w:rsidR="003D22B6" w:rsidRDefault="003D22B6">
      <w:pPr>
        <w:pStyle w:val="BodyText"/>
        <w:rPr>
          <w:sz w:val="20"/>
        </w:rPr>
      </w:pPr>
    </w:p>
    <w:p w14:paraId="6B97A832" w14:textId="77777777" w:rsidR="003D22B6" w:rsidRDefault="003D22B6">
      <w:pPr>
        <w:pStyle w:val="BodyText"/>
        <w:rPr>
          <w:sz w:val="20"/>
        </w:rPr>
      </w:pPr>
    </w:p>
    <w:p w14:paraId="6B97A833" w14:textId="77777777" w:rsidR="003D22B6" w:rsidRDefault="003D22B6">
      <w:pPr>
        <w:pStyle w:val="BodyText"/>
        <w:rPr>
          <w:sz w:val="20"/>
        </w:rPr>
      </w:pPr>
    </w:p>
    <w:p w14:paraId="6B97A834" w14:textId="77777777" w:rsidR="003D22B6" w:rsidRDefault="003D22B6">
      <w:pPr>
        <w:pStyle w:val="BodyText"/>
        <w:rPr>
          <w:sz w:val="20"/>
        </w:rPr>
      </w:pPr>
    </w:p>
    <w:p w14:paraId="6B97A835" w14:textId="77777777" w:rsidR="003D22B6" w:rsidRDefault="003D22B6">
      <w:pPr>
        <w:pStyle w:val="BodyText"/>
        <w:rPr>
          <w:sz w:val="20"/>
        </w:rPr>
      </w:pPr>
    </w:p>
    <w:p w14:paraId="6B97A836" w14:textId="77777777" w:rsidR="003D22B6" w:rsidRDefault="003D22B6">
      <w:pPr>
        <w:pStyle w:val="BodyText"/>
        <w:rPr>
          <w:sz w:val="20"/>
        </w:rPr>
      </w:pPr>
    </w:p>
    <w:p w14:paraId="6B97A837" w14:textId="77777777" w:rsidR="003D22B6" w:rsidRDefault="003D22B6">
      <w:pPr>
        <w:pStyle w:val="BodyText"/>
        <w:rPr>
          <w:sz w:val="20"/>
        </w:rPr>
      </w:pPr>
    </w:p>
    <w:p w14:paraId="6B97A838" w14:textId="77777777" w:rsidR="003D22B6" w:rsidRDefault="003D22B6">
      <w:pPr>
        <w:pStyle w:val="BodyText"/>
        <w:rPr>
          <w:sz w:val="20"/>
        </w:rPr>
      </w:pPr>
    </w:p>
    <w:p w14:paraId="6B97A839" w14:textId="77777777" w:rsidR="003D22B6" w:rsidRDefault="003D22B6">
      <w:pPr>
        <w:pStyle w:val="BodyText"/>
        <w:rPr>
          <w:sz w:val="20"/>
        </w:rPr>
      </w:pPr>
    </w:p>
    <w:p w14:paraId="6B97A83A" w14:textId="77777777" w:rsidR="003D22B6" w:rsidRDefault="003D22B6">
      <w:pPr>
        <w:pStyle w:val="BodyText"/>
        <w:rPr>
          <w:sz w:val="20"/>
        </w:rPr>
      </w:pPr>
    </w:p>
    <w:p w14:paraId="6B97A83B" w14:textId="77777777" w:rsidR="003D22B6" w:rsidRDefault="003D22B6">
      <w:pPr>
        <w:pStyle w:val="BodyText"/>
        <w:rPr>
          <w:sz w:val="20"/>
        </w:rPr>
      </w:pPr>
    </w:p>
    <w:p w14:paraId="6B97A83C" w14:textId="77777777" w:rsidR="003D22B6" w:rsidRDefault="003D22B6">
      <w:pPr>
        <w:pStyle w:val="BodyText"/>
        <w:rPr>
          <w:sz w:val="20"/>
        </w:rPr>
      </w:pPr>
    </w:p>
    <w:p w14:paraId="6B97A83D" w14:textId="77777777" w:rsidR="003D22B6" w:rsidRDefault="003D22B6">
      <w:pPr>
        <w:pStyle w:val="BodyText"/>
        <w:rPr>
          <w:sz w:val="20"/>
        </w:rPr>
      </w:pPr>
    </w:p>
    <w:p w14:paraId="6B97A83E" w14:textId="77777777" w:rsidR="003D22B6" w:rsidRDefault="003D22B6">
      <w:pPr>
        <w:pStyle w:val="BodyText"/>
        <w:rPr>
          <w:sz w:val="20"/>
        </w:rPr>
      </w:pPr>
    </w:p>
    <w:p w14:paraId="6B97A83F" w14:textId="77777777" w:rsidR="003D22B6" w:rsidRDefault="00557059">
      <w:pPr>
        <w:pStyle w:val="BodyText"/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97A850" wp14:editId="6B97A851">
                <wp:simplePos x="0" y="0"/>
                <wp:positionH relativeFrom="page">
                  <wp:posOffset>914400</wp:posOffset>
                </wp:positionH>
                <wp:positionV relativeFrom="paragraph">
                  <wp:posOffset>250057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D3496" id="Graphic 1" o:spid="_x0000_s1026" style="position:absolute;margin-left:1in;margin-top:19.7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OBFNWX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7A840" w14:textId="77777777" w:rsidR="003D22B6" w:rsidRDefault="00557059">
      <w:pPr>
        <w:spacing w:before="140"/>
        <w:ind w:left="307"/>
        <w:rPr>
          <w:sz w:val="18"/>
        </w:rPr>
      </w:pPr>
      <w:bookmarkStart w:id="0" w:name="_bookmark0"/>
      <w:bookmarkEnd w:id="0"/>
      <w:proofErr w:type="gramStart"/>
      <w:r>
        <w:rPr>
          <w:position w:val="6"/>
          <w:sz w:val="18"/>
        </w:rPr>
        <w:t>1</w:t>
      </w:r>
      <w:r>
        <w:rPr>
          <w:spacing w:val="40"/>
          <w:position w:val="6"/>
          <w:sz w:val="18"/>
        </w:rPr>
        <w:t xml:space="preserve">  </w:t>
      </w:r>
      <w:r>
        <w:rPr>
          <w:sz w:val="18"/>
        </w:rPr>
        <w:t>Delete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2"/>
          <w:sz w:val="18"/>
        </w:rPr>
        <w:t>appropriate.</w:t>
      </w:r>
    </w:p>
    <w:p w14:paraId="6B97A841" w14:textId="77777777" w:rsidR="003D22B6" w:rsidRDefault="003D22B6">
      <w:pPr>
        <w:rPr>
          <w:sz w:val="18"/>
        </w:rPr>
        <w:sectPr w:rsidR="003D22B6">
          <w:pgSz w:w="11910" w:h="16840"/>
          <w:pgMar w:top="1380" w:right="1133" w:bottom="280" w:left="1133" w:header="720" w:footer="720" w:gutter="0"/>
          <w:cols w:space="720"/>
        </w:sectPr>
      </w:pPr>
    </w:p>
    <w:p w14:paraId="6B97A842" w14:textId="77777777" w:rsidR="003D22B6" w:rsidRDefault="00557059">
      <w:pPr>
        <w:pStyle w:val="Heading1"/>
        <w:spacing w:before="42"/>
      </w:pPr>
      <w:r>
        <w:lastRenderedPageBreak/>
        <w:t>Annex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wording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CV</w:t>
      </w:r>
      <w:r>
        <w:rPr>
          <w:spacing w:val="-6"/>
        </w:rPr>
        <w:t xml:space="preserve"> </w:t>
      </w:r>
      <w:r>
        <w:rPr>
          <w:spacing w:val="-5"/>
        </w:rPr>
        <w:t>336</w:t>
      </w:r>
    </w:p>
    <w:p w14:paraId="6B97A843" w14:textId="77777777" w:rsidR="003D22B6" w:rsidRDefault="00557059">
      <w:pPr>
        <w:spacing w:before="181" w:line="259" w:lineRule="auto"/>
        <w:ind w:left="307" w:right="304"/>
        <w:jc w:val="both"/>
      </w:pPr>
      <w:r>
        <w:t>“</w:t>
      </w:r>
      <w:r>
        <w:rPr>
          <w:i/>
        </w:rPr>
        <w:t>Pursuant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No.</w:t>
      </w:r>
      <w:r>
        <w:rPr>
          <w:i/>
          <w:spacing w:val="-13"/>
        </w:rPr>
        <w:t xml:space="preserve"> </w:t>
      </w:r>
      <w:r>
        <w:rPr>
          <w:i/>
        </w:rPr>
        <w:t>336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ITU</w:t>
      </w:r>
      <w:r>
        <w:rPr>
          <w:i/>
          <w:spacing w:val="-13"/>
        </w:rPr>
        <w:t xml:space="preserve"> </w:t>
      </w:r>
      <w:r>
        <w:rPr>
          <w:i/>
        </w:rPr>
        <w:t>Convention,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2"/>
        </w:rPr>
        <w:t xml:space="preserve"> </w:t>
      </w:r>
      <w:r>
        <w:rPr>
          <w:i/>
        </w:rPr>
        <w:t>wish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hereby</w:t>
      </w:r>
      <w:r>
        <w:rPr>
          <w:i/>
          <w:spacing w:val="-13"/>
        </w:rPr>
        <w:t xml:space="preserve"> </w:t>
      </w:r>
      <w:r>
        <w:rPr>
          <w:i/>
        </w:rPr>
        <w:t>notify</w:t>
      </w:r>
      <w:r>
        <w:rPr>
          <w:i/>
          <w:spacing w:val="-12"/>
        </w:rPr>
        <w:t xml:space="preserve"> </w:t>
      </w:r>
      <w:r>
        <w:rPr>
          <w:i/>
        </w:rPr>
        <w:t>you</w:t>
      </w:r>
      <w:r>
        <w:rPr>
          <w:i/>
          <w:spacing w:val="-13"/>
        </w:rPr>
        <w:t xml:space="preserve"> </w:t>
      </w:r>
      <w:r>
        <w:rPr>
          <w:i/>
        </w:rPr>
        <w:t>that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delegation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&lt;Member State transferring its voting right&gt; gives the delegation of &lt;Member State receiving the voting right&gt; a mandate to exercise its vote on its behalf at the present conference for the &lt;identified session or sessions, e.g. “fourth Plenary session”, “remaining Plenary sessions of the Conference”&gt;, at which it will be unable to be present</w:t>
      </w:r>
      <w:r>
        <w:t>”.</w:t>
      </w:r>
    </w:p>
    <w:p w14:paraId="6B97A844" w14:textId="77777777" w:rsidR="003D22B6" w:rsidRDefault="00557059">
      <w:pPr>
        <w:spacing w:before="159"/>
        <w:ind w:left="6068"/>
        <w:rPr>
          <w:i/>
        </w:rPr>
      </w:pPr>
      <w:r>
        <w:rPr>
          <w:i/>
          <w:spacing w:val="-2"/>
        </w:rPr>
        <w:t>&lt;signature&gt;</w:t>
      </w:r>
    </w:p>
    <w:p w14:paraId="6B97A845" w14:textId="77777777" w:rsidR="003D22B6" w:rsidRDefault="00557059">
      <w:pPr>
        <w:spacing w:before="181"/>
        <w:ind w:left="6068"/>
        <w:rPr>
          <w:i/>
        </w:rPr>
      </w:pPr>
      <w:r>
        <w:rPr>
          <w:i/>
        </w:rPr>
        <w:t>&lt;name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HoD</w:t>
      </w:r>
      <w:proofErr w:type="spellEnd"/>
      <w:r>
        <w:rPr>
          <w:i/>
        </w:rPr>
        <w:t>/Deputy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-4"/>
        </w:rPr>
        <w:t>HoD</w:t>
      </w:r>
      <w:proofErr w:type="spellEnd"/>
      <w:r>
        <w:rPr>
          <w:i/>
          <w:spacing w:val="-4"/>
        </w:rPr>
        <w:t>&gt;</w:t>
      </w:r>
    </w:p>
    <w:p w14:paraId="6B97A846" w14:textId="77777777" w:rsidR="003D22B6" w:rsidRDefault="003D22B6">
      <w:pPr>
        <w:rPr>
          <w:i/>
        </w:rPr>
        <w:sectPr w:rsidR="003D22B6">
          <w:pgSz w:w="11910" w:h="16840"/>
          <w:pgMar w:top="1380" w:right="1133" w:bottom="280" w:left="1133" w:header="720" w:footer="720" w:gutter="0"/>
          <w:cols w:space="720"/>
        </w:sectPr>
      </w:pPr>
    </w:p>
    <w:p w14:paraId="6B97A847" w14:textId="77777777" w:rsidR="003D22B6" w:rsidRDefault="00557059">
      <w:pPr>
        <w:pStyle w:val="Heading1"/>
        <w:spacing w:before="42"/>
        <w:jc w:val="left"/>
      </w:pPr>
      <w:r>
        <w:lastRenderedPageBreak/>
        <w:t>Annex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335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rPr>
          <w:spacing w:val="-5"/>
        </w:rPr>
        <w:t>338</w:t>
      </w:r>
    </w:p>
    <w:p w14:paraId="6B97A848" w14:textId="77777777" w:rsidR="003D22B6" w:rsidRDefault="00557059">
      <w:pPr>
        <w:pStyle w:val="Heading2"/>
      </w:pPr>
      <w:r>
        <w:t>CV</w:t>
      </w:r>
      <w:r>
        <w:rPr>
          <w:spacing w:val="-4"/>
        </w:rPr>
        <w:t xml:space="preserve"> </w:t>
      </w:r>
      <w:r>
        <w:rPr>
          <w:spacing w:val="-5"/>
        </w:rPr>
        <w:t>335</w:t>
      </w:r>
    </w:p>
    <w:p w14:paraId="6B97A849" w14:textId="77777777" w:rsidR="003D22B6" w:rsidRDefault="00557059">
      <w:pPr>
        <w:pStyle w:val="BodyText"/>
        <w:spacing w:before="182" w:line="259" w:lineRule="auto"/>
        <w:ind w:left="1027" w:right="304"/>
        <w:jc w:val="both"/>
      </w:pPr>
      <w:proofErr w:type="gramStart"/>
      <w:r>
        <w:t>As a general rule</w:t>
      </w:r>
      <w:proofErr w:type="gramEnd"/>
      <w:r>
        <w:t xml:space="preserve">, Member States should </w:t>
      </w:r>
      <w:proofErr w:type="spellStart"/>
      <w:r>
        <w:t>endeavour</w:t>
      </w:r>
      <w:proofErr w:type="spellEnd"/>
      <w:r>
        <w:t xml:space="preserve"> to send their own delegations to conferences of the Union. However, if a Member State is unable, for exceptional reasons, to send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delegation,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 delegation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 powers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and sign on its behalf. Such powers must be conveyed by means of an instrument signed by one of the authorities mentioned in Nos. 325 or 326 above.</w:t>
      </w:r>
    </w:p>
    <w:p w14:paraId="6B97A84A" w14:textId="77777777" w:rsidR="003D22B6" w:rsidRDefault="00557059">
      <w:pPr>
        <w:pStyle w:val="Heading2"/>
        <w:spacing w:before="158"/>
      </w:pPr>
      <w:r>
        <w:t>CV</w:t>
      </w:r>
      <w:r>
        <w:rPr>
          <w:spacing w:val="-4"/>
        </w:rPr>
        <w:t xml:space="preserve"> </w:t>
      </w:r>
      <w:r>
        <w:rPr>
          <w:spacing w:val="-5"/>
        </w:rPr>
        <w:t>336</w:t>
      </w:r>
    </w:p>
    <w:p w14:paraId="6B97A84B" w14:textId="77777777" w:rsidR="003D22B6" w:rsidRDefault="00557059">
      <w:pPr>
        <w:pStyle w:val="BodyText"/>
        <w:spacing w:before="181" w:line="259" w:lineRule="auto"/>
        <w:ind w:left="1027" w:right="306"/>
        <w:jc w:val="both"/>
      </w:pPr>
      <w:r>
        <w:t xml:space="preserve">A delegation with the right to vote may </w:t>
      </w:r>
      <w:proofErr w:type="gramStart"/>
      <w:r>
        <w:t>give to</w:t>
      </w:r>
      <w:proofErr w:type="gramEnd"/>
      <w:r>
        <w:t xml:space="preserve"> another delegation with the right to vote a mandate to exercise its vote at one or more meetings at which it is unable to be present. In such a case it shall, in good time, notify the Chairman of the conference in writing</w:t>
      </w:r>
    </w:p>
    <w:p w14:paraId="6B97A84C" w14:textId="77777777" w:rsidR="003D22B6" w:rsidRDefault="00557059">
      <w:pPr>
        <w:pStyle w:val="Heading2"/>
        <w:spacing w:before="159"/>
      </w:pPr>
      <w:r>
        <w:t>CV</w:t>
      </w:r>
      <w:r>
        <w:rPr>
          <w:spacing w:val="-4"/>
        </w:rPr>
        <w:t xml:space="preserve"> </w:t>
      </w:r>
      <w:r>
        <w:rPr>
          <w:spacing w:val="-5"/>
        </w:rPr>
        <w:t>337</w:t>
      </w:r>
    </w:p>
    <w:p w14:paraId="6B97A84D" w14:textId="77777777" w:rsidR="003D22B6" w:rsidRDefault="00557059">
      <w:pPr>
        <w:pStyle w:val="BodyText"/>
        <w:spacing w:before="182"/>
        <w:ind w:left="1027"/>
        <w:jc w:val="both"/>
      </w:pPr>
      <w:r>
        <w:t>A</w:t>
      </w:r>
      <w:r>
        <w:rPr>
          <w:spacing w:val="-8"/>
        </w:rPr>
        <w:t xml:space="preserve"> </w:t>
      </w:r>
      <w:r>
        <w:t>delegation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proxy</w:t>
      </w:r>
      <w:r>
        <w:rPr>
          <w:spacing w:val="-7"/>
        </w:rPr>
        <w:t xml:space="preserve"> </w:t>
      </w:r>
      <w:r>
        <w:rPr>
          <w:spacing w:val="-4"/>
        </w:rPr>
        <w:t>vote.</w:t>
      </w:r>
    </w:p>
    <w:p w14:paraId="6B97A84E" w14:textId="77777777" w:rsidR="003D22B6" w:rsidRDefault="00557059">
      <w:pPr>
        <w:pStyle w:val="Heading2"/>
      </w:pPr>
      <w:r>
        <w:t>CV</w:t>
      </w:r>
      <w:r>
        <w:rPr>
          <w:spacing w:val="-4"/>
        </w:rPr>
        <w:t xml:space="preserve"> </w:t>
      </w:r>
      <w:r>
        <w:rPr>
          <w:spacing w:val="-5"/>
        </w:rPr>
        <w:t>338</w:t>
      </w:r>
    </w:p>
    <w:p w14:paraId="6B97A84F" w14:textId="77777777" w:rsidR="003D22B6" w:rsidRDefault="00557059">
      <w:pPr>
        <w:pStyle w:val="BodyText"/>
        <w:spacing w:before="181" w:line="259" w:lineRule="auto"/>
        <w:ind w:left="1027" w:right="305"/>
        <w:jc w:val="both"/>
      </w:pPr>
      <w:r>
        <w:t>Credentials and transfers of powers sent by telegram shall not be accepted. Nevertheless, replies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telegram</w:t>
      </w:r>
      <w:r>
        <w:rPr>
          <w:spacing w:val="-1"/>
        </w:rPr>
        <w:t xml:space="preserve"> </w:t>
      </w:r>
      <w:r>
        <w:t>to requests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secretariat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for clarification of credentials shall be accepted.</w:t>
      </w:r>
    </w:p>
    <w:sectPr w:rsidR="003D22B6">
      <w:pgSz w:w="11910" w:h="16840"/>
      <w:pgMar w:top="13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36B0E"/>
    <w:multiLevelType w:val="hybridMultilevel"/>
    <w:tmpl w:val="E02204E2"/>
    <w:lvl w:ilvl="0" w:tplc="AE42B568">
      <w:start w:val="1"/>
      <w:numFmt w:val="lowerLetter"/>
      <w:lvlText w:val="%1."/>
      <w:lvlJc w:val="left"/>
      <w:pPr>
        <w:ind w:left="102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C7327A84">
      <w:numFmt w:val="bullet"/>
      <w:lvlText w:val="-"/>
      <w:lvlJc w:val="left"/>
      <w:pPr>
        <w:ind w:left="13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736737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3" w:tplc="20CCAB20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7CAC606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4DCA8CB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913C54BA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F2309F6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D876E05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1" w16cid:durableId="21010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2B6"/>
    <w:rsid w:val="001F31A9"/>
    <w:rsid w:val="003D22B6"/>
    <w:rsid w:val="00557059"/>
    <w:rsid w:val="005F3409"/>
    <w:rsid w:val="00637226"/>
    <w:rsid w:val="00781751"/>
    <w:rsid w:val="007C2F1E"/>
    <w:rsid w:val="00874A98"/>
    <w:rsid w:val="009134A6"/>
    <w:rsid w:val="00B7227D"/>
    <w:rsid w:val="00C14591"/>
    <w:rsid w:val="00DF7E18"/>
    <w:rsid w:val="00E57AAC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A7F6"/>
  <w15:docId w15:val="{9792390A-3E63-446F-B634-71F3759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7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81"/>
      <w:ind w:left="30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43" w:right="44"/>
      <w:jc w:val="center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385" w:right="30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0"/>
      <w:jc w:val="center"/>
    </w:pPr>
  </w:style>
  <w:style w:type="paragraph" w:styleId="Revision">
    <w:name w:val="Revision"/>
    <w:hidden/>
    <w:uiPriority w:val="99"/>
    <w:semiHidden/>
    <w:rsid w:val="00E57AA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1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4A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4A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2168</Characters>
  <Application>Microsoft Office Word</Application>
  <DocSecurity>4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Cetinkaya, Onder</cp:lastModifiedBy>
  <cp:revision>2</cp:revision>
  <dcterms:created xsi:type="dcterms:W3CDTF">2025-09-08T10:05:00Z</dcterms:created>
  <dcterms:modified xsi:type="dcterms:W3CDTF">2025-09-08T10:05:00Z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D:20220411140526</vt:lpwstr>
  </property>
</Properties>
</file>