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9BB0" w14:textId="109CA331" w:rsidR="00545342" w:rsidRPr="00545342" w:rsidRDefault="00545342" w:rsidP="008C5758">
      <w:pPr>
        <w:rPr>
          <w:rFonts w:cs="Calibri"/>
          <w:i/>
          <w:iCs/>
          <w:szCs w:val="22"/>
          <w:lang w:val="fr-FR"/>
        </w:rPr>
      </w:pPr>
      <w:proofErr w:type="spellStart"/>
      <w:r w:rsidRPr="00545342">
        <w:rPr>
          <w:rFonts w:cs="Calibri"/>
          <w:i/>
          <w:iCs/>
          <w:szCs w:val="22"/>
          <w:lang w:val="fr-FR"/>
        </w:rPr>
        <w:t>Проект</w:t>
      </w:r>
      <w:proofErr w:type="spellEnd"/>
      <w:r w:rsidRPr="00545342">
        <w:rPr>
          <w:rFonts w:cs="Calibri"/>
          <w:i/>
          <w:iCs/>
          <w:szCs w:val="22"/>
          <w:lang w:val="fr-FR"/>
        </w:rPr>
        <w:t xml:space="preserve"> 2 </w:t>
      </w:r>
      <w:proofErr w:type="spellStart"/>
      <w:r w:rsidRPr="00545342">
        <w:rPr>
          <w:rFonts w:cs="Calibri"/>
          <w:i/>
          <w:iCs/>
          <w:szCs w:val="22"/>
          <w:lang w:val="fr-FR"/>
        </w:rPr>
        <w:t>Руководящих</w:t>
      </w:r>
      <w:proofErr w:type="spellEnd"/>
      <w:r w:rsidRPr="00545342">
        <w:rPr>
          <w:rFonts w:cs="Calibri"/>
          <w:i/>
          <w:iCs/>
          <w:szCs w:val="22"/>
          <w:lang w:val="fr-FR"/>
        </w:rPr>
        <w:t xml:space="preserve"> </w:t>
      </w:r>
      <w:proofErr w:type="spellStart"/>
      <w:r w:rsidRPr="00545342">
        <w:rPr>
          <w:rFonts w:cs="Calibri"/>
          <w:i/>
          <w:iCs/>
          <w:szCs w:val="22"/>
          <w:lang w:val="fr-FR"/>
        </w:rPr>
        <w:t>указаний</w:t>
      </w:r>
      <w:proofErr w:type="spellEnd"/>
      <w:r w:rsidRPr="00545342">
        <w:rPr>
          <w:rFonts w:cs="Calibri"/>
          <w:i/>
          <w:iCs/>
          <w:szCs w:val="22"/>
          <w:lang w:val="fr-FR"/>
        </w:rPr>
        <w:t xml:space="preserve"> ГСР-25 </w:t>
      </w:r>
      <w:proofErr w:type="spellStart"/>
      <w:r w:rsidRPr="00545342">
        <w:rPr>
          <w:rFonts w:cs="Calibri"/>
          <w:i/>
          <w:iCs/>
          <w:szCs w:val="22"/>
          <w:lang w:val="fr-FR"/>
        </w:rPr>
        <w:t>на</w:t>
      </w:r>
      <w:proofErr w:type="spellEnd"/>
      <w:r w:rsidRPr="00545342">
        <w:rPr>
          <w:rFonts w:cs="Calibri"/>
          <w:i/>
          <w:iCs/>
          <w:szCs w:val="22"/>
          <w:lang w:val="fr-FR"/>
        </w:rPr>
        <w:t xml:space="preserve"> </w:t>
      </w:r>
      <w:proofErr w:type="spellStart"/>
      <w:r w:rsidRPr="00545342">
        <w:rPr>
          <w:rFonts w:cs="Calibri"/>
          <w:i/>
          <w:iCs/>
          <w:szCs w:val="22"/>
          <w:lang w:val="fr-FR"/>
        </w:rPr>
        <w:t>основе</w:t>
      </w:r>
      <w:proofErr w:type="spellEnd"/>
      <w:r w:rsidRPr="00545342">
        <w:rPr>
          <w:rFonts w:cs="Calibri"/>
          <w:i/>
          <w:iCs/>
          <w:szCs w:val="22"/>
          <w:lang w:val="fr-FR"/>
        </w:rPr>
        <w:t xml:space="preserve"> </w:t>
      </w:r>
      <w:proofErr w:type="spellStart"/>
      <w:r w:rsidRPr="00545342">
        <w:rPr>
          <w:rFonts w:cs="Calibri"/>
          <w:i/>
          <w:iCs/>
          <w:szCs w:val="22"/>
          <w:lang w:val="fr-FR"/>
        </w:rPr>
        <w:t>примеров</w:t>
      </w:r>
      <w:proofErr w:type="spellEnd"/>
      <w:r w:rsidRPr="00545342">
        <w:rPr>
          <w:rFonts w:cs="Calibri"/>
          <w:i/>
          <w:iCs/>
          <w:szCs w:val="22"/>
          <w:lang w:val="fr-FR"/>
        </w:rPr>
        <w:t xml:space="preserve"> </w:t>
      </w:r>
      <w:proofErr w:type="spellStart"/>
      <w:r w:rsidRPr="00545342">
        <w:rPr>
          <w:rFonts w:cs="Calibri"/>
          <w:i/>
          <w:iCs/>
          <w:szCs w:val="22"/>
          <w:lang w:val="fr-FR"/>
        </w:rPr>
        <w:t>передового</w:t>
      </w:r>
      <w:proofErr w:type="spellEnd"/>
      <w:r w:rsidRPr="00545342">
        <w:rPr>
          <w:rFonts w:cs="Calibri"/>
          <w:i/>
          <w:iCs/>
          <w:szCs w:val="22"/>
          <w:lang w:val="fr-FR"/>
        </w:rPr>
        <w:t xml:space="preserve"> </w:t>
      </w:r>
      <w:proofErr w:type="spellStart"/>
      <w:r w:rsidRPr="00545342">
        <w:rPr>
          <w:rFonts w:cs="Calibri"/>
          <w:i/>
          <w:iCs/>
          <w:szCs w:val="22"/>
          <w:lang w:val="fr-FR"/>
        </w:rPr>
        <w:t>опыт</w:t>
      </w:r>
      <w:proofErr w:type="spellEnd"/>
    </w:p>
    <w:p w14:paraId="42F78B45" w14:textId="70CE85BC" w:rsidR="00E61553" w:rsidRPr="0020382C" w:rsidRDefault="00E61553" w:rsidP="00E61553">
      <w:pPr>
        <w:pStyle w:val="Heading1"/>
        <w:ind w:left="0" w:firstLine="0"/>
        <w:rPr>
          <w:rFonts w:cs="Calibri"/>
          <w:sz w:val="28"/>
          <w:szCs w:val="28"/>
          <w:lang w:val="ru-RU"/>
        </w:rPr>
      </w:pPr>
      <w:r w:rsidRPr="0020382C">
        <w:rPr>
          <w:lang w:val="ru-RU"/>
        </w:rPr>
        <w:t>РАСШИРЕНИЕ ВОЗМОЖНОСТЕЙ РЕГУЛЯТОРНЫХ ОРГАНОВ КАК СОЗДАТЕЛЕЙ ЦИФРОВОЙ ЭКОСИСТЕМЫ</w:t>
      </w:r>
    </w:p>
    <w:p w14:paraId="2DA6A079" w14:textId="5246AE13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По мере того как цифровые технологии меняют способы взаимодействия обществ, ведения ими торговли, обучения и управления, от регуляторных органов </w:t>
      </w:r>
      <w:r w:rsidR="003F0424" w:rsidRPr="0020382C">
        <w:rPr>
          <w:lang w:val="ru-RU"/>
        </w:rPr>
        <w:t xml:space="preserve">в области электросвязи/ИКТ </w:t>
      </w:r>
      <w:r w:rsidRPr="0020382C">
        <w:rPr>
          <w:lang w:val="ru-RU"/>
        </w:rPr>
        <w:t xml:space="preserve">требуется нечто большее, чем просто надзор за рынками. Они должны адаптироваться, включать инновации в основу своей институциональной структуры и помогать формировать устойчивые и ориентированные на будущее цифровые экосистемы. Такая трансформация требует </w:t>
      </w:r>
      <w:r w:rsidR="003F0424" w:rsidRPr="0020382C">
        <w:rPr>
          <w:lang w:val="ru-RU"/>
        </w:rPr>
        <w:t>дальнейшего развития регуляторных подходов и</w:t>
      </w:r>
      <w:r w:rsidR="00E04A03" w:rsidRPr="0020382C">
        <w:rPr>
          <w:lang w:val="ru-RU"/>
        </w:rPr>
        <w:t xml:space="preserve"> образов</w:t>
      </w:r>
      <w:r w:rsidRPr="0020382C">
        <w:rPr>
          <w:lang w:val="ru-RU"/>
        </w:rPr>
        <w:t xml:space="preserve"> мышления, внедрения новых инструментов и углубления сотрудничества между отраслями</w:t>
      </w:r>
      <w:r w:rsidR="00C3283C" w:rsidRPr="0020382C">
        <w:rPr>
          <w:lang w:val="ru-RU"/>
        </w:rPr>
        <w:t> </w:t>
      </w:r>
      <w:r w:rsidRPr="0020382C">
        <w:rPr>
          <w:lang w:val="ru-RU"/>
        </w:rPr>
        <w:t>и</w:t>
      </w:r>
      <w:r w:rsidR="00C3283C" w:rsidRPr="0020382C">
        <w:rPr>
          <w:lang w:val="ru-RU"/>
        </w:rPr>
        <w:t> </w:t>
      </w:r>
      <w:r w:rsidRPr="0020382C">
        <w:rPr>
          <w:lang w:val="ru-RU"/>
        </w:rPr>
        <w:t>странами.</w:t>
      </w:r>
    </w:p>
    <w:p w14:paraId="6C670398" w14:textId="78DE4B11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Опираясь на разрабатывавшиеся в течение двух десятилетий Руководящие указания ГСР на основе примеров передового опыта, которые помогали определить разумные принципы регулирования и содействовать созданию благоприятной среды, мы, представители регуляторных органов, участвующие в Глобальном симпозиуме для регуляторных органов 2025</w:t>
      </w:r>
      <w:r w:rsidR="00C3283C" w:rsidRPr="0020382C">
        <w:rPr>
          <w:lang w:val="ru-RU"/>
        </w:rPr>
        <w:t> </w:t>
      </w:r>
      <w:r w:rsidRPr="0020382C">
        <w:rPr>
          <w:lang w:val="ru-RU"/>
        </w:rPr>
        <w:t xml:space="preserve">года, признаем </w:t>
      </w:r>
      <w:r w:rsidR="00DB5C16" w:rsidRPr="0020382C">
        <w:rPr>
          <w:lang w:val="ru-RU"/>
        </w:rPr>
        <w:t>темпы этих изменений и необходимость срочного реагирования на них</w:t>
      </w:r>
      <w:r w:rsidRPr="0020382C">
        <w:rPr>
          <w:lang w:val="ru-RU"/>
        </w:rPr>
        <w:t xml:space="preserve">. </w:t>
      </w:r>
      <w:r w:rsidR="00DB5C16" w:rsidRPr="0020382C">
        <w:rPr>
          <w:lang w:val="ru-RU"/>
        </w:rPr>
        <w:t>Реагирование на сегодняшние вызовы и подготовка к будущим требуют от регулятор</w:t>
      </w:r>
      <w:r w:rsidR="00CA6EB5" w:rsidRPr="0020382C">
        <w:rPr>
          <w:lang w:val="ru-RU"/>
        </w:rPr>
        <w:t xml:space="preserve">ных органов </w:t>
      </w:r>
      <w:r w:rsidR="00DB5C16" w:rsidRPr="0020382C">
        <w:rPr>
          <w:lang w:val="ru-RU"/>
        </w:rPr>
        <w:t xml:space="preserve">переосмысления </w:t>
      </w:r>
      <w:r w:rsidR="00CA6EB5" w:rsidRPr="0020382C">
        <w:rPr>
          <w:lang w:val="ru-RU"/>
        </w:rPr>
        <w:t xml:space="preserve">своей </w:t>
      </w:r>
      <w:r w:rsidR="00DB5C16" w:rsidRPr="0020382C">
        <w:rPr>
          <w:lang w:val="ru-RU"/>
        </w:rPr>
        <w:t>роли как создателей цифровых экосистем</w:t>
      </w:r>
      <w:r w:rsidR="00020CF6" w:rsidRPr="0020382C">
        <w:rPr>
          <w:lang w:val="ru-RU"/>
        </w:rPr>
        <w:t xml:space="preserve">, в том числе </w:t>
      </w:r>
      <w:r w:rsidR="00DB5C16" w:rsidRPr="0020382C">
        <w:rPr>
          <w:lang w:val="ru-RU"/>
        </w:rPr>
        <w:t>объедин</w:t>
      </w:r>
      <w:r w:rsidR="00020CF6" w:rsidRPr="0020382C">
        <w:rPr>
          <w:lang w:val="ru-RU"/>
        </w:rPr>
        <w:t xml:space="preserve">ения </w:t>
      </w:r>
      <w:r w:rsidR="00DB5C16" w:rsidRPr="0020382C">
        <w:rPr>
          <w:lang w:val="ru-RU"/>
        </w:rPr>
        <w:t>партн</w:t>
      </w:r>
      <w:r w:rsidR="000B0682" w:rsidRPr="0020382C">
        <w:rPr>
          <w:lang w:val="ru-RU"/>
        </w:rPr>
        <w:t>е</w:t>
      </w:r>
      <w:r w:rsidR="00DB5C16" w:rsidRPr="0020382C">
        <w:rPr>
          <w:lang w:val="ru-RU"/>
        </w:rPr>
        <w:t>ров, согласов</w:t>
      </w:r>
      <w:r w:rsidR="00020CF6" w:rsidRPr="0020382C">
        <w:rPr>
          <w:lang w:val="ru-RU"/>
        </w:rPr>
        <w:t xml:space="preserve">ания </w:t>
      </w:r>
      <w:r w:rsidR="00DB5C16" w:rsidRPr="0020382C">
        <w:rPr>
          <w:lang w:val="ru-RU"/>
        </w:rPr>
        <w:t>правил и стимул</w:t>
      </w:r>
      <w:r w:rsidR="00020CF6" w:rsidRPr="0020382C">
        <w:rPr>
          <w:lang w:val="ru-RU"/>
        </w:rPr>
        <w:t>ов</w:t>
      </w:r>
      <w:r w:rsidR="00DB5C16" w:rsidRPr="0020382C">
        <w:rPr>
          <w:lang w:val="ru-RU"/>
        </w:rPr>
        <w:t xml:space="preserve">, </w:t>
      </w:r>
      <w:r w:rsidR="00CA6EB5" w:rsidRPr="0020382C">
        <w:rPr>
          <w:lang w:val="ru-RU"/>
        </w:rPr>
        <w:t>обеспеч</w:t>
      </w:r>
      <w:r w:rsidR="00020CF6" w:rsidRPr="0020382C">
        <w:rPr>
          <w:lang w:val="ru-RU"/>
        </w:rPr>
        <w:t xml:space="preserve">ения возможности </w:t>
      </w:r>
      <w:r w:rsidR="00123520" w:rsidRPr="0020382C">
        <w:rPr>
          <w:lang w:val="ru-RU"/>
        </w:rPr>
        <w:t xml:space="preserve">обмена данными и </w:t>
      </w:r>
      <w:r w:rsidR="00CA6EB5" w:rsidRPr="0020382C">
        <w:rPr>
          <w:lang w:val="ru-RU"/>
        </w:rPr>
        <w:t>совместн</w:t>
      </w:r>
      <w:r w:rsidR="00020CF6" w:rsidRPr="0020382C">
        <w:rPr>
          <w:lang w:val="ru-RU"/>
        </w:rPr>
        <w:t xml:space="preserve">ого использования </w:t>
      </w:r>
      <w:r w:rsidR="00DB5C16" w:rsidRPr="0020382C">
        <w:rPr>
          <w:lang w:val="ru-RU"/>
        </w:rPr>
        <w:t>инфраструктур</w:t>
      </w:r>
      <w:r w:rsidR="00020CF6" w:rsidRPr="0020382C">
        <w:rPr>
          <w:lang w:val="ru-RU"/>
        </w:rPr>
        <w:t>ы</w:t>
      </w:r>
      <w:r w:rsidR="00DB5C16" w:rsidRPr="0020382C">
        <w:rPr>
          <w:lang w:val="ru-RU"/>
        </w:rPr>
        <w:t>, а также использова</w:t>
      </w:r>
      <w:r w:rsidR="00020CF6" w:rsidRPr="0020382C">
        <w:rPr>
          <w:lang w:val="ru-RU"/>
        </w:rPr>
        <w:t>ния</w:t>
      </w:r>
      <w:r w:rsidR="00DB5C16" w:rsidRPr="0020382C">
        <w:rPr>
          <w:lang w:val="ru-RU"/>
        </w:rPr>
        <w:t xml:space="preserve"> </w:t>
      </w:r>
      <w:r w:rsidR="000B0682" w:rsidRPr="0020382C">
        <w:rPr>
          <w:lang w:val="ru-RU"/>
        </w:rPr>
        <w:t>фактически</w:t>
      </w:r>
      <w:r w:rsidR="00020CF6" w:rsidRPr="0020382C">
        <w:rPr>
          <w:lang w:val="ru-RU"/>
        </w:rPr>
        <w:t>х</w:t>
      </w:r>
      <w:r w:rsidR="000B0682" w:rsidRPr="0020382C">
        <w:rPr>
          <w:lang w:val="ru-RU"/>
        </w:rPr>
        <w:t xml:space="preserve"> </w:t>
      </w:r>
      <w:r w:rsidR="00020CF6" w:rsidRPr="0020382C">
        <w:rPr>
          <w:lang w:val="ru-RU"/>
        </w:rPr>
        <w:t xml:space="preserve">и экспериментальных </w:t>
      </w:r>
      <w:r w:rsidR="000B0682" w:rsidRPr="0020382C">
        <w:rPr>
          <w:lang w:val="ru-RU"/>
        </w:rPr>
        <w:t>данны</w:t>
      </w:r>
      <w:r w:rsidR="00020CF6" w:rsidRPr="0020382C">
        <w:rPr>
          <w:lang w:val="ru-RU"/>
        </w:rPr>
        <w:t>х</w:t>
      </w:r>
      <w:r w:rsidR="00DB5C16" w:rsidRPr="0020382C">
        <w:rPr>
          <w:lang w:val="ru-RU"/>
        </w:rPr>
        <w:t xml:space="preserve"> для построения инклюзивных и надежных цифровых рынков</w:t>
      </w:r>
      <w:r w:rsidRPr="0020382C">
        <w:rPr>
          <w:lang w:val="ru-RU"/>
        </w:rPr>
        <w:t>.</w:t>
      </w:r>
    </w:p>
    <w:p w14:paraId="4701BC8E" w14:textId="77777777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Эти руководящие указания отражают нашу общую приверженность: они основаны на национальном опыте, ориентированы на глобальную перспективу и направлены на обеспечение применения ориентированных на будущее передовых практик в области регулирования в интересах цифрового будущего, в котором никто не будет забыт.</w:t>
      </w:r>
    </w:p>
    <w:p w14:paraId="28AB6170" w14:textId="41D14553" w:rsidR="00E61553" w:rsidRPr="0020382C" w:rsidRDefault="00E61553" w:rsidP="00E61553">
      <w:pPr>
        <w:pStyle w:val="Heading3"/>
        <w:ind w:left="567" w:hanging="567"/>
        <w:rPr>
          <w:lang w:val="ru-RU"/>
        </w:rPr>
      </w:pPr>
      <w:bookmarkStart w:id="0" w:name="_Toc202790130"/>
      <w:bookmarkStart w:id="1" w:name="_Toc207372970"/>
      <w:r w:rsidRPr="0020382C">
        <w:rPr>
          <w:bCs/>
          <w:lang w:val="ru-RU"/>
        </w:rPr>
        <w:t>I</w:t>
      </w:r>
      <w:r w:rsidRPr="0020382C">
        <w:rPr>
          <w:bCs/>
          <w:lang w:val="ru-RU"/>
        </w:rPr>
        <w:tab/>
        <w:t>СОДЕЙСТВИЕ ИННОВАЦИЯМ В РЕГУЛЯТОРНЫХ ПОДХОДАХ</w:t>
      </w:r>
      <w:bookmarkEnd w:id="0"/>
      <w:bookmarkEnd w:id="1"/>
    </w:p>
    <w:p w14:paraId="51C5D4F6" w14:textId="77777777" w:rsidR="00E61553" w:rsidRPr="0020382C" w:rsidRDefault="00E61553" w:rsidP="00E61553">
      <w:pPr>
        <w:pStyle w:val="Headingb"/>
        <w:rPr>
          <w:lang w:val="ru-RU"/>
        </w:rPr>
      </w:pPr>
      <w:bookmarkStart w:id="2" w:name="_Toc202790131"/>
      <w:bookmarkStart w:id="3" w:name="_Toc207372971"/>
      <w:r w:rsidRPr="0020382C">
        <w:rPr>
          <w:lang w:val="ru-RU"/>
        </w:rPr>
        <w:t>Включение инноваций в основные виды деятельности в сфере регулирования</w:t>
      </w:r>
      <w:bookmarkEnd w:id="2"/>
      <w:bookmarkEnd w:id="3"/>
    </w:p>
    <w:p w14:paraId="2D87C1F4" w14:textId="46C68C5F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Регуляторным органам следует рассматривать инновации не как вспомогательное направление, а как основную составляющую процесса разработки и осуществления регулирования. Важно институционализировать экспериментальную деятельность путем включения пилотных проектов в годовые планы работы, использования регуляторных экспериментальных сред и тестирования упрощения правил перед их полномасштабным внедрением. </w:t>
      </w:r>
      <w:r w:rsidR="008B5044" w:rsidRPr="0020382C">
        <w:rPr>
          <w:lang w:val="ru-RU"/>
        </w:rPr>
        <w:t>Следует</w:t>
      </w:r>
      <w:r w:rsidRPr="0020382C">
        <w:rPr>
          <w:lang w:val="ru-RU"/>
        </w:rPr>
        <w:t xml:space="preserve"> предусматривать возможность неудач, признавая, что не каждая инновация увенчается успехом, но каждая попытка дает ценные знания, укрепляющие будущие регуляторные подходы.</w:t>
      </w:r>
    </w:p>
    <w:p w14:paraId="4C286649" w14:textId="77777777" w:rsidR="00E61553" w:rsidRPr="0020382C" w:rsidRDefault="00E61553" w:rsidP="00E61553">
      <w:pPr>
        <w:pStyle w:val="Headingb"/>
        <w:rPr>
          <w:lang w:val="ru-RU"/>
        </w:rPr>
      </w:pPr>
      <w:bookmarkStart w:id="4" w:name="_Toc202790132"/>
      <w:bookmarkStart w:id="5" w:name="_Toc207372972"/>
      <w:r w:rsidRPr="0020382C">
        <w:rPr>
          <w:lang w:val="ru-RU"/>
        </w:rPr>
        <w:t xml:space="preserve">Развитие ориентированных на будущее навыков и </w:t>
      </w:r>
      <w:bookmarkEnd w:id="4"/>
      <w:r w:rsidRPr="0020382C">
        <w:rPr>
          <w:lang w:val="ru-RU"/>
        </w:rPr>
        <w:t>образов мышления</w:t>
      </w:r>
      <w:bookmarkEnd w:id="5"/>
    </w:p>
    <w:p w14:paraId="44E8E4A6" w14:textId="208D30A7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Помимо технических знаний в области </w:t>
      </w:r>
      <w:r w:rsidR="00DB5C16" w:rsidRPr="0020382C">
        <w:rPr>
          <w:lang w:val="ru-RU"/>
        </w:rPr>
        <w:t xml:space="preserve">электросвязи/ИКТ, </w:t>
      </w:r>
      <w:r w:rsidRPr="0020382C">
        <w:rPr>
          <w:lang w:val="ru-RU"/>
        </w:rPr>
        <w:t>цифровых</w:t>
      </w:r>
      <w:r w:rsidR="00DB5C16" w:rsidRPr="0020382C">
        <w:rPr>
          <w:lang w:val="ru-RU"/>
        </w:rPr>
        <w:t xml:space="preserve">, </w:t>
      </w:r>
      <w:r w:rsidRPr="0020382C">
        <w:rPr>
          <w:lang w:val="ru-RU"/>
        </w:rPr>
        <w:t xml:space="preserve">новых и появляющихся технологий, таких как </w:t>
      </w:r>
      <w:r w:rsidR="00123520" w:rsidRPr="0020382C">
        <w:rPr>
          <w:lang w:val="ru-RU"/>
        </w:rPr>
        <w:t>искусственный интеллект (</w:t>
      </w:r>
      <w:r w:rsidRPr="0020382C">
        <w:rPr>
          <w:lang w:val="ru-RU"/>
        </w:rPr>
        <w:t>ИИ</w:t>
      </w:r>
      <w:r w:rsidR="00123520" w:rsidRPr="0020382C">
        <w:rPr>
          <w:lang w:val="ru-RU"/>
        </w:rPr>
        <w:t>)</w:t>
      </w:r>
      <w:r w:rsidRPr="0020382C">
        <w:rPr>
          <w:lang w:val="ru-RU"/>
        </w:rPr>
        <w:t>,</w:t>
      </w:r>
      <w:r w:rsidR="00123520" w:rsidRPr="0020382C">
        <w:rPr>
          <w:lang w:val="ru-RU"/>
        </w:rPr>
        <w:t xml:space="preserve"> интернет вещей</w:t>
      </w:r>
      <w:r w:rsidRPr="0020382C">
        <w:rPr>
          <w:lang w:val="ru-RU"/>
        </w:rPr>
        <w:t xml:space="preserve"> </w:t>
      </w:r>
      <w:r w:rsidR="00123520" w:rsidRPr="0020382C">
        <w:rPr>
          <w:lang w:val="ru-RU"/>
        </w:rPr>
        <w:t>(</w:t>
      </w:r>
      <w:r w:rsidRPr="0020382C">
        <w:rPr>
          <w:lang w:val="ru-RU"/>
        </w:rPr>
        <w:t>IoT</w:t>
      </w:r>
      <w:r w:rsidR="00123520" w:rsidRPr="0020382C">
        <w:rPr>
          <w:lang w:val="ru-RU"/>
        </w:rPr>
        <w:t>)</w:t>
      </w:r>
      <w:r w:rsidRPr="0020382C">
        <w:rPr>
          <w:lang w:val="ru-RU"/>
        </w:rPr>
        <w:t xml:space="preserve">, </w:t>
      </w:r>
      <w:r w:rsidR="00DB5C16" w:rsidRPr="0020382C">
        <w:rPr>
          <w:lang w:val="ru-RU"/>
        </w:rPr>
        <w:t xml:space="preserve">услуги на базе космических и спутниковых </w:t>
      </w:r>
      <w:r w:rsidR="00C005AD" w:rsidRPr="0020382C">
        <w:rPr>
          <w:lang w:val="ru-RU"/>
        </w:rPr>
        <w:t>систем</w:t>
      </w:r>
      <w:r w:rsidR="00DB5C16" w:rsidRPr="0020382C">
        <w:rPr>
          <w:lang w:val="ru-RU"/>
        </w:rPr>
        <w:t>,</w:t>
      </w:r>
      <w:r w:rsidRPr="0020382C">
        <w:rPr>
          <w:lang w:val="ru-RU"/>
        </w:rPr>
        <w:t xml:space="preserve"> </w:t>
      </w:r>
      <w:r w:rsidR="00C005AD" w:rsidRPr="0020382C">
        <w:rPr>
          <w:lang w:val="ru-RU"/>
        </w:rPr>
        <w:t xml:space="preserve">квантовые технологии, </w:t>
      </w:r>
      <w:r w:rsidRPr="0020382C">
        <w:rPr>
          <w:lang w:val="ru-RU"/>
        </w:rPr>
        <w:t>блокчейн</w:t>
      </w:r>
      <w:r w:rsidR="00E35C8D" w:rsidRPr="0020382C">
        <w:rPr>
          <w:lang w:val="ru-RU"/>
        </w:rPr>
        <w:t xml:space="preserve"> и </w:t>
      </w:r>
      <w:r w:rsidR="00C005AD" w:rsidRPr="0020382C">
        <w:rPr>
          <w:lang w:val="ru-RU"/>
        </w:rPr>
        <w:t>усовершенствованные</w:t>
      </w:r>
      <w:r w:rsidR="00E35C8D" w:rsidRPr="0020382C">
        <w:rPr>
          <w:lang w:val="ru-RU"/>
        </w:rPr>
        <w:t xml:space="preserve"> структуры кибербезопасности</w:t>
      </w:r>
      <w:r w:rsidRPr="0020382C">
        <w:rPr>
          <w:lang w:val="ru-RU"/>
        </w:rPr>
        <w:t>, регуляторным органам необходимы навыки в области моделирования стратегий</w:t>
      </w:r>
      <w:r w:rsidR="00E35C8D" w:rsidRPr="0020382C">
        <w:rPr>
          <w:lang w:val="ru-RU"/>
        </w:rPr>
        <w:t xml:space="preserve">, понимания </w:t>
      </w:r>
      <w:r w:rsidRPr="0020382C">
        <w:rPr>
          <w:lang w:val="ru-RU"/>
        </w:rPr>
        <w:t>поведения людей, а также системно</w:t>
      </w:r>
      <w:r w:rsidR="00E35C8D" w:rsidRPr="0020382C">
        <w:rPr>
          <w:lang w:val="ru-RU"/>
        </w:rPr>
        <w:t xml:space="preserve">го </w:t>
      </w:r>
      <w:r w:rsidRPr="0020382C">
        <w:rPr>
          <w:lang w:val="ru-RU"/>
        </w:rPr>
        <w:t>мышлени</w:t>
      </w:r>
      <w:r w:rsidR="00E35C8D" w:rsidRPr="0020382C">
        <w:rPr>
          <w:lang w:val="ru-RU"/>
        </w:rPr>
        <w:t xml:space="preserve">я </w:t>
      </w:r>
      <w:r w:rsidR="008C2194" w:rsidRPr="0020382C">
        <w:rPr>
          <w:lang w:val="ru-RU"/>
        </w:rPr>
        <w:t xml:space="preserve">− </w:t>
      </w:r>
      <w:r w:rsidR="00E35C8D" w:rsidRPr="0020382C">
        <w:rPr>
          <w:lang w:val="ru-RU"/>
        </w:rPr>
        <w:t>применяемые в рамках практических методов, основанных на фактических данных</w:t>
      </w:r>
      <w:r w:rsidRPr="0020382C">
        <w:rPr>
          <w:lang w:val="ru-RU"/>
        </w:rPr>
        <w:t xml:space="preserve">. Следует формировать гибкую, ориентированную на будущее культуру регулирования, </w:t>
      </w:r>
      <w:r w:rsidR="008C2194" w:rsidRPr="0020382C">
        <w:rPr>
          <w:lang w:val="ru-RU"/>
        </w:rPr>
        <w:t>обеспечивая</w:t>
      </w:r>
      <w:r w:rsidRPr="0020382C">
        <w:rPr>
          <w:lang w:val="ru-RU"/>
        </w:rPr>
        <w:t xml:space="preserve"> </w:t>
      </w:r>
      <w:r w:rsidR="008C2194" w:rsidRPr="0020382C">
        <w:rPr>
          <w:lang w:val="ru-RU"/>
        </w:rPr>
        <w:t xml:space="preserve">для персонала </w:t>
      </w:r>
      <w:r w:rsidR="00E35C8D" w:rsidRPr="0020382C">
        <w:rPr>
          <w:lang w:val="ru-RU"/>
        </w:rPr>
        <w:t>возможности</w:t>
      </w:r>
      <w:r w:rsidRPr="0020382C">
        <w:rPr>
          <w:lang w:val="ru-RU"/>
        </w:rPr>
        <w:t xml:space="preserve"> непрерывно</w:t>
      </w:r>
      <w:r w:rsidR="00E35C8D" w:rsidRPr="0020382C">
        <w:rPr>
          <w:lang w:val="ru-RU"/>
        </w:rPr>
        <w:t>го</w:t>
      </w:r>
      <w:r w:rsidRPr="0020382C">
        <w:rPr>
          <w:lang w:val="ru-RU"/>
        </w:rPr>
        <w:t xml:space="preserve"> взаимно</w:t>
      </w:r>
      <w:r w:rsidR="00E35C8D" w:rsidRPr="0020382C">
        <w:rPr>
          <w:lang w:val="ru-RU"/>
        </w:rPr>
        <w:t>го</w:t>
      </w:r>
      <w:r w:rsidRPr="0020382C">
        <w:rPr>
          <w:lang w:val="ru-RU"/>
        </w:rPr>
        <w:t xml:space="preserve"> обучени</w:t>
      </w:r>
      <w:r w:rsidR="00E35C8D" w:rsidRPr="0020382C">
        <w:rPr>
          <w:lang w:val="ru-RU"/>
        </w:rPr>
        <w:t xml:space="preserve">я </w:t>
      </w:r>
      <w:r w:rsidRPr="0020382C">
        <w:rPr>
          <w:lang w:val="ru-RU"/>
        </w:rPr>
        <w:t xml:space="preserve">и </w:t>
      </w:r>
      <w:r w:rsidR="008C2194" w:rsidRPr="0020382C">
        <w:rPr>
          <w:lang w:val="ru-RU"/>
        </w:rPr>
        <w:t>внедряя</w:t>
      </w:r>
      <w:r w:rsidR="00E35C8D" w:rsidRPr="0020382C">
        <w:rPr>
          <w:lang w:val="ru-RU"/>
        </w:rPr>
        <w:t xml:space="preserve"> </w:t>
      </w:r>
      <w:r w:rsidRPr="0020382C">
        <w:rPr>
          <w:lang w:val="ru-RU"/>
        </w:rPr>
        <w:t>междисциплинарно</w:t>
      </w:r>
      <w:r w:rsidR="008C2194" w:rsidRPr="0020382C">
        <w:rPr>
          <w:lang w:val="ru-RU"/>
        </w:rPr>
        <w:t>е</w:t>
      </w:r>
      <w:r w:rsidR="003E322A" w:rsidRPr="0020382C">
        <w:rPr>
          <w:lang w:val="ru-RU"/>
        </w:rPr>
        <w:t> </w:t>
      </w:r>
      <w:r w:rsidRPr="0020382C">
        <w:rPr>
          <w:lang w:val="ru-RU"/>
        </w:rPr>
        <w:t>сотрудничеств</w:t>
      </w:r>
      <w:r w:rsidR="008C2194" w:rsidRPr="0020382C">
        <w:rPr>
          <w:lang w:val="ru-RU"/>
        </w:rPr>
        <w:t>о в институциональные процедуры</w:t>
      </w:r>
      <w:r w:rsidRPr="0020382C">
        <w:rPr>
          <w:lang w:val="ru-RU"/>
        </w:rPr>
        <w:t>.</w:t>
      </w:r>
    </w:p>
    <w:p w14:paraId="35987DE3" w14:textId="1F448984" w:rsidR="00E61553" w:rsidRPr="0020382C" w:rsidRDefault="00E61553" w:rsidP="00E61553">
      <w:pPr>
        <w:pStyle w:val="Headingb"/>
        <w:rPr>
          <w:lang w:val="ru-RU"/>
        </w:rPr>
      </w:pPr>
      <w:bookmarkStart w:id="6" w:name="_Toc202790133"/>
      <w:bookmarkStart w:id="7" w:name="_Toc207372973"/>
      <w:r w:rsidRPr="0020382C">
        <w:rPr>
          <w:lang w:val="ru-RU"/>
        </w:rPr>
        <w:lastRenderedPageBreak/>
        <w:t>Гибкость и прогнозирование</w:t>
      </w:r>
      <w:bookmarkEnd w:id="6"/>
      <w:r w:rsidRPr="0020382C">
        <w:rPr>
          <w:lang w:val="ru-RU"/>
        </w:rPr>
        <w:t xml:space="preserve"> в регулировании</w:t>
      </w:r>
      <w:bookmarkEnd w:id="7"/>
    </w:p>
    <w:p w14:paraId="36222F2E" w14:textId="607DF0EA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Предлагается внедрять гибкие </w:t>
      </w:r>
      <w:r w:rsidR="003471F2" w:rsidRPr="0020382C">
        <w:rPr>
          <w:lang w:val="ru-RU"/>
        </w:rPr>
        <w:t>механизмы</w:t>
      </w:r>
      <w:r w:rsidRPr="0020382C">
        <w:rPr>
          <w:lang w:val="ru-RU"/>
        </w:rPr>
        <w:t>, такие как регулирование, ориентированное на результаты</w:t>
      </w:r>
      <w:r w:rsidR="00E04A03" w:rsidRPr="0020382C">
        <w:rPr>
          <w:lang w:val="ru-RU"/>
        </w:rPr>
        <w:t xml:space="preserve"> или </w:t>
      </w:r>
      <w:r w:rsidR="003471F2" w:rsidRPr="0020382C">
        <w:rPr>
          <w:lang w:val="ru-RU"/>
        </w:rPr>
        <w:t xml:space="preserve">основанное на </w:t>
      </w:r>
      <w:r w:rsidR="00E04A03" w:rsidRPr="0020382C">
        <w:rPr>
          <w:lang w:val="ru-RU"/>
        </w:rPr>
        <w:t>принцип</w:t>
      </w:r>
      <w:r w:rsidR="003471F2" w:rsidRPr="0020382C">
        <w:rPr>
          <w:lang w:val="ru-RU"/>
        </w:rPr>
        <w:t>ах</w:t>
      </w:r>
      <w:r w:rsidRPr="0020382C">
        <w:rPr>
          <w:lang w:val="ru-RU"/>
        </w:rPr>
        <w:t xml:space="preserve">, </w:t>
      </w:r>
      <w:r w:rsidR="00E04A03" w:rsidRPr="0020382C">
        <w:rPr>
          <w:lang w:val="ru-RU"/>
        </w:rPr>
        <w:t xml:space="preserve">и рассмотреть такие меры, как </w:t>
      </w:r>
      <w:r w:rsidRPr="0020382C">
        <w:rPr>
          <w:lang w:val="ru-RU"/>
        </w:rPr>
        <w:t xml:space="preserve">многоуровневое лицензирование и положения о прекращении действия, </w:t>
      </w:r>
      <w:r w:rsidR="00E04A03" w:rsidRPr="0020382C">
        <w:rPr>
          <w:lang w:val="ru-RU"/>
        </w:rPr>
        <w:t xml:space="preserve">где это необходимо, </w:t>
      </w:r>
      <w:r w:rsidRPr="0020382C">
        <w:rPr>
          <w:lang w:val="ru-RU"/>
        </w:rPr>
        <w:t xml:space="preserve">с тем чтобы обеспечить возможность принятия адаптивных ответных мер регулирования в условиях развития технологий и рынков. Следует направлять инновации, а не просто реагировать на них, используя данные, стратегическое прогнозирование, обзор перспектив и упреждающие подходы </w:t>
      </w:r>
      <w:r w:rsidR="003471F2" w:rsidRPr="0020382C">
        <w:rPr>
          <w:lang w:val="ru-RU"/>
        </w:rPr>
        <w:t>−</w:t>
      </w:r>
      <w:r w:rsidR="00E04A03" w:rsidRPr="0020382C">
        <w:rPr>
          <w:lang w:val="ru-RU"/>
        </w:rPr>
        <w:t xml:space="preserve"> включая сценарии, показатели раннего предупреждения и </w:t>
      </w:r>
      <w:r w:rsidR="002134EB" w:rsidRPr="0020382C">
        <w:rPr>
          <w:lang w:val="ru-RU"/>
        </w:rPr>
        <w:t xml:space="preserve">заранее согласованные условия, запускающие своевременные меры </w:t>
      </w:r>
      <w:r w:rsidR="003471F2" w:rsidRPr="0020382C">
        <w:rPr>
          <w:lang w:val="ru-RU"/>
        </w:rPr>
        <w:t>−</w:t>
      </w:r>
      <w:r w:rsidR="002134EB" w:rsidRPr="0020382C">
        <w:rPr>
          <w:lang w:val="ru-RU"/>
        </w:rPr>
        <w:t xml:space="preserve"> </w:t>
      </w:r>
      <w:r w:rsidRPr="0020382C">
        <w:rPr>
          <w:lang w:val="ru-RU"/>
        </w:rPr>
        <w:t>для более эффективного выявления появляющихся рисков и возможностей.</w:t>
      </w:r>
      <w:r w:rsidR="002134EB" w:rsidRPr="0020382C">
        <w:rPr>
          <w:lang w:val="ru-RU"/>
        </w:rPr>
        <w:t xml:space="preserve"> </w:t>
      </w:r>
      <w:r w:rsidR="003471F2" w:rsidRPr="008F0175">
        <w:rPr>
          <w:lang w:val="ru-RU"/>
        </w:rPr>
        <w:t xml:space="preserve">В качестве </w:t>
      </w:r>
      <w:r w:rsidR="00A616EB" w:rsidRPr="008F0175">
        <w:rPr>
          <w:lang w:val="ru-RU"/>
        </w:rPr>
        <w:t>платформ для инноваций рекомендуется опираться на</w:t>
      </w:r>
      <w:r w:rsidR="002134EB" w:rsidRPr="008F0175">
        <w:rPr>
          <w:lang w:val="ru-RU"/>
        </w:rPr>
        <w:t xml:space="preserve"> </w:t>
      </w:r>
      <w:r w:rsidR="003471F2" w:rsidRPr="008F0175">
        <w:rPr>
          <w:lang w:val="ru-RU"/>
        </w:rPr>
        <w:t>технологии</w:t>
      </w:r>
      <w:r w:rsidR="00A616EB" w:rsidRPr="008F0175">
        <w:rPr>
          <w:lang w:val="ru-RU"/>
        </w:rPr>
        <w:t>,</w:t>
      </w:r>
      <w:r w:rsidR="003471F2" w:rsidRPr="008F0175">
        <w:rPr>
          <w:lang w:val="ru-RU"/>
        </w:rPr>
        <w:t xml:space="preserve"> </w:t>
      </w:r>
      <w:r w:rsidR="00A616EB" w:rsidRPr="008F0175">
        <w:rPr>
          <w:lang w:val="ru-RU"/>
        </w:rPr>
        <w:t>связанные с использованием радиочастотного спектра и космического пространства</w:t>
      </w:r>
      <w:r w:rsidR="002134EB" w:rsidRPr="008F0175">
        <w:rPr>
          <w:lang w:val="ru-RU"/>
        </w:rPr>
        <w:t>.</w:t>
      </w:r>
    </w:p>
    <w:p w14:paraId="5878B6A6" w14:textId="77777777" w:rsidR="00E61553" w:rsidRPr="0020382C" w:rsidRDefault="00E61553" w:rsidP="00E61553">
      <w:pPr>
        <w:pStyle w:val="Headingb"/>
        <w:rPr>
          <w:lang w:val="ru-RU"/>
        </w:rPr>
      </w:pPr>
      <w:bookmarkStart w:id="8" w:name="_Toc202790134"/>
      <w:bookmarkStart w:id="9" w:name="_Toc207372974"/>
      <w:r w:rsidRPr="0020382C">
        <w:rPr>
          <w:lang w:val="ru-RU"/>
        </w:rPr>
        <w:t>Сотрудничество в интересах инноваций</w:t>
      </w:r>
      <w:bookmarkEnd w:id="8"/>
      <w:bookmarkEnd w:id="9"/>
    </w:p>
    <w:p w14:paraId="2A03EE53" w14:textId="71CA20D7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Предлагается </w:t>
      </w:r>
      <w:r w:rsidR="002134EB" w:rsidRPr="0020382C">
        <w:rPr>
          <w:lang w:val="ru-RU"/>
        </w:rPr>
        <w:t xml:space="preserve">расширить взаимодействие с заинтересованными сторонами, </w:t>
      </w:r>
      <w:r w:rsidRPr="0020382C">
        <w:rPr>
          <w:lang w:val="ru-RU"/>
        </w:rPr>
        <w:t>переход</w:t>
      </w:r>
      <w:r w:rsidR="002134EB" w:rsidRPr="0020382C">
        <w:rPr>
          <w:lang w:val="ru-RU"/>
        </w:rPr>
        <w:t>я</w:t>
      </w:r>
      <w:r w:rsidRPr="0020382C">
        <w:rPr>
          <w:lang w:val="ru-RU"/>
        </w:rPr>
        <w:t xml:space="preserve"> от разовых консультаций к </w:t>
      </w:r>
      <w:r w:rsidR="002134EB" w:rsidRPr="0020382C">
        <w:rPr>
          <w:lang w:val="ru-RU"/>
        </w:rPr>
        <w:t>постоянн</w:t>
      </w:r>
      <w:r w:rsidR="00A616EB" w:rsidRPr="0020382C">
        <w:rPr>
          <w:lang w:val="ru-RU"/>
        </w:rPr>
        <w:t>ы</w:t>
      </w:r>
      <w:r w:rsidR="002134EB" w:rsidRPr="0020382C">
        <w:rPr>
          <w:lang w:val="ru-RU"/>
        </w:rPr>
        <w:t>м</w:t>
      </w:r>
      <w:r w:rsidR="00A616EB" w:rsidRPr="0020382C">
        <w:rPr>
          <w:lang w:val="ru-RU"/>
        </w:rPr>
        <w:t xml:space="preserve"> партнерским отношениям, направленным на </w:t>
      </w:r>
      <w:r w:rsidRPr="0020382C">
        <w:rPr>
          <w:lang w:val="ru-RU"/>
        </w:rPr>
        <w:t>решени</w:t>
      </w:r>
      <w:r w:rsidR="00A616EB" w:rsidRPr="0020382C">
        <w:rPr>
          <w:lang w:val="ru-RU"/>
        </w:rPr>
        <w:t>е</w:t>
      </w:r>
      <w:r w:rsidRPr="0020382C">
        <w:rPr>
          <w:lang w:val="ru-RU"/>
        </w:rPr>
        <w:t xml:space="preserve"> проблем</w:t>
      </w:r>
      <w:r w:rsidR="00A616EB" w:rsidRPr="0020382C">
        <w:rPr>
          <w:lang w:val="ru-RU"/>
        </w:rPr>
        <w:t>,</w:t>
      </w:r>
      <w:r w:rsidRPr="0020382C">
        <w:rPr>
          <w:lang w:val="ru-RU"/>
        </w:rPr>
        <w:t xml:space="preserve"> </w:t>
      </w:r>
      <w:r w:rsidR="002134EB" w:rsidRPr="0020382C">
        <w:rPr>
          <w:lang w:val="ru-RU"/>
        </w:rPr>
        <w:t>с</w:t>
      </w:r>
      <w:r w:rsidRPr="0020382C">
        <w:rPr>
          <w:lang w:val="ru-RU"/>
        </w:rPr>
        <w:t xml:space="preserve"> правительственны</w:t>
      </w:r>
      <w:r w:rsidR="00A616EB" w:rsidRPr="0020382C">
        <w:rPr>
          <w:lang w:val="ru-RU"/>
        </w:rPr>
        <w:t>ми</w:t>
      </w:r>
      <w:r w:rsidRPr="0020382C">
        <w:rPr>
          <w:lang w:val="ru-RU"/>
        </w:rPr>
        <w:t xml:space="preserve"> органами, участниками рынка, академическими организациями и структурами гражданского общества в различных отраслях. </w:t>
      </w:r>
      <w:r w:rsidR="002134EB" w:rsidRPr="0020382C">
        <w:rPr>
          <w:lang w:val="ru-RU"/>
        </w:rPr>
        <w:t>Со</w:t>
      </w:r>
      <w:r w:rsidRPr="0020382C">
        <w:rPr>
          <w:lang w:val="ru-RU"/>
        </w:rPr>
        <w:t>вместн</w:t>
      </w:r>
      <w:r w:rsidR="00857187" w:rsidRPr="0020382C">
        <w:rPr>
          <w:lang w:val="ru-RU"/>
        </w:rPr>
        <w:t xml:space="preserve">ая выработка </w:t>
      </w:r>
      <w:r w:rsidRPr="0020382C">
        <w:rPr>
          <w:lang w:val="ru-RU"/>
        </w:rPr>
        <w:t>решени</w:t>
      </w:r>
      <w:r w:rsidR="002134EB" w:rsidRPr="0020382C">
        <w:rPr>
          <w:lang w:val="ru-RU"/>
        </w:rPr>
        <w:t xml:space="preserve">й позволяет </w:t>
      </w:r>
      <w:r w:rsidR="00857187" w:rsidRPr="0020382C">
        <w:rPr>
          <w:lang w:val="ru-RU"/>
        </w:rPr>
        <w:t xml:space="preserve">учитывать разнообразие опыта различных участников </w:t>
      </w:r>
      <w:r w:rsidRPr="0020382C">
        <w:rPr>
          <w:lang w:val="ru-RU"/>
        </w:rPr>
        <w:t xml:space="preserve">для </w:t>
      </w:r>
      <w:r w:rsidR="00857187" w:rsidRPr="0020382C">
        <w:rPr>
          <w:lang w:val="ru-RU"/>
        </w:rPr>
        <w:t xml:space="preserve">коллективного формирования оптимальных и адаптивных решений, укрепляет легитимность таких решений и </w:t>
      </w:r>
      <w:r w:rsidR="00A616EB" w:rsidRPr="0020382C">
        <w:rPr>
          <w:lang w:val="ru-RU"/>
        </w:rPr>
        <w:t xml:space="preserve">обеспечивает </w:t>
      </w:r>
      <w:r w:rsidR="00857187" w:rsidRPr="0020382C">
        <w:rPr>
          <w:lang w:val="ru-RU"/>
        </w:rPr>
        <w:t xml:space="preserve">широкое участие в их принятии, </w:t>
      </w:r>
      <w:r w:rsidR="008B5044" w:rsidRPr="0020382C">
        <w:rPr>
          <w:lang w:val="ru-RU"/>
        </w:rPr>
        <w:t xml:space="preserve">а также </w:t>
      </w:r>
      <w:r w:rsidR="00222178" w:rsidRPr="0020382C">
        <w:rPr>
          <w:lang w:val="ru-RU"/>
        </w:rPr>
        <w:t xml:space="preserve">способствует </w:t>
      </w:r>
      <w:r w:rsidR="008B5044" w:rsidRPr="0020382C">
        <w:rPr>
          <w:lang w:val="ru-RU"/>
        </w:rPr>
        <w:t xml:space="preserve">их </w:t>
      </w:r>
      <w:r w:rsidR="00222178" w:rsidRPr="0020382C">
        <w:rPr>
          <w:lang w:val="ru-RU"/>
        </w:rPr>
        <w:t>лучшему соблюдению и более эффективной реализации</w:t>
      </w:r>
      <w:r w:rsidRPr="0020382C">
        <w:rPr>
          <w:lang w:val="ru-RU"/>
        </w:rPr>
        <w:t>. Рекомендуется согласовывать политику и предотвращать противоречия в правилах, внедряя механизмы межсекторальной</w:t>
      </w:r>
      <w:r w:rsidR="00C3283C" w:rsidRPr="0020382C">
        <w:rPr>
          <w:lang w:val="ru-RU"/>
        </w:rPr>
        <w:t> </w:t>
      </w:r>
      <w:r w:rsidRPr="0020382C">
        <w:rPr>
          <w:lang w:val="ru-RU"/>
        </w:rPr>
        <w:t>координации.</w:t>
      </w:r>
    </w:p>
    <w:p w14:paraId="73DAAED4" w14:textId="145D694E" w:rsidR="00E61553" w:rsidRPr="0020382C" w:rsidRDefault="00E61553" w:rsidP="00E61553">
      <w:pPr>
        <w:pStyle w:val="Heading3"/>
        <w:ind w:left="567" w:hanging="567"/>
        <w:rPr>
          <w:lang w:val="ru-RU"/>
        </w:rPr>
      </w:pPr>
      <w:bookmarkStart w:id="10" w:name="_Toc202790135"/>
      <w:bookmarkStart w:id="11" w:name="_Toc207372975"/>
      <w:r w:rsidRPr="0020382C">
        <w:rPr>
          <w:bCs/>
          <w:lang w:val="ru-RU"/>
        </w:rPr>
        <w:t>II</w:t>
      </w:r>
      <w:r w:rsidRPr="0020382C">
        <w:rPr>
          <w:lang w:val="ru-RU"/>
        </w:rPr>
        <w:tab/>
      </w:r>
      <w:r w:rsidRPr="0020382C">
        <w:rPr>
          <w:bCs/>
          <w:lang w:val="ru-RU"/>
        </w:rPr>
        <w:t>АДАПТАЦИЯ И УКРЕПЛЕНИЕ РЕГУЛЯТОРНОГО ПОТЕНЦИАЛА</w:t>
      </w:r>
      <w:bookmarkEnd w:id="10"/>
      <w:bookmarkEnd w:id="11"/>
    </w:p>
    <w:p w14:paraId="27720290" w14:textId="26B512D0" w:rsidR="00E61553" w:rsidRPr="0020382C" w:rsidRDefault="008B5044" w:rsidP="00E61553">
      <w:pPr>
        <w:pStyle w:val="Headingb"/>
        <w:rPr>
          <w:lang w:val="ru-RU"/>
        </w:rPr>
      </w:pPr>
      <w:bookmarkStart w:id="12" w:name="_Toc202790136"/>
      <w:bookmarkStart w:id="13" w:name="_Toc207372976"/>
      <w:r w:rsidRPr="0020382C">
        <w:rPr>
          <w:lang w:val="ru-RU"/>
        </w:rPr>
        <w:t xml:space="preserve">Расширение возможностей </w:t>
      </w:r>
      <w:r w:rsidR="00222178" w:rsidRPr="0020382C">
        <w:rPr>
          <w:lang w:val="ru-RU"/>
        </w:rPr>
        <w:t>регулятор</w:t>
      </w:r>
      <w:r w:rsidRPr="0020382C">
        <w:rPr>
          <w:lang w:val="ru-RU"/>
        </w:rPr>
        <w:t>ных органов</w:t>
      </w:r>
      <w:r w:rsidR="00222178" w:rsidRPr="0020382C">
        <w:rPr>
          <w:lang w:val="ru-RU"/>
        </w:rPr>
        <w:t xml:space="preserve"> </w:t>
      </w:r>
      <w:r w:rsidR="00E61553" w:rsidRPr="0020382C">
        <w:rPr>
          <w:lang w:val="ru-RU"/>
        </w:rPr>
        <w:t xml:space="preserve">с учетом </w:t>
      </w:r>
      <w:bookmarkEnd w:id="12"/>
      <w:r w:rsidR="00E61553" w:rsidRPr="0020382C">
        <w:rPr>
          <w:lang w:val="ru-RU"/>
        </w:rPr>
        <w:t>актуальной ситуации в сфере цифровых</w:t>
      </w:r>
      <w:r w:rsidR="008C5758" w:rsidRPr="0020382C">
        <w:rPr>
          <w:lang w:val="ru-RU"/>
        </w:rPr>
        <w:t> </w:t>
      </w:r>
      <w:r w:rsidR="00E61553" w:rsidRPr="0020382C">
        <w:rPr>
          <w:lang w:val="ru-RU"/>
        </w:rPr>
        <w:t>технологий</w:t>
      </w:r>
      <w:bookmarkEnd w:id="13"/>
    </w:p>
    <w:p w14:paraId="5BD9186A" w14:textId="2ABAC97E" w:rsidR="00E61553" w:rsidRPr="0020382C" w:rsidRDefault="00222178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Мы призываем директивные органы </w:t>
      </w:r>
      <w:r w:rsidR="00E61553" w:rsidRPr="0020382C">
        <w:rPr>
          <w:lang w:val="ru-RU"/>
        </w:rPr>
        <w:t>обеспечить, чтобы мандаты регуляторных органов отражали конвергенцию инфраструктуры, контента и услуг. Для этого может потребоваться надзор за цифровыми платформами, управлением данными или ИИ, а также межсекторальная координация для снижения фрагментированности и повышения эффективности достижения общественно значимых целей. Это также требует политической, оперативной и финансовой независимости для обеспечения возможности долгосрочного планирования, принятия беспристрастных решений и последовательного правоприменения вне рамок политических или рыночных</w:t>
      </w:r>
      <w:r w:rsidR="00C3283C" w:rsidRPr="0020382C">
        <w:rPr>
          <w:lang w:val="ru-RU"/>
        </w:rPr>
        <w:t> </w:t>
      </w:r>
      <w:r w:rsidR="00E61553" w:rsidRPr="0020382C">
        <w:rPr>
          <w:lang w:val="ru-RU"/>
        </w:rPr>
        <w:t>циклов.</w:t>
      </w:r>
    </w:p>
    <w:p w14:paraId="328A8D00" w14:textId="77777777" w:rsidR="00E61553" w:rsidRPr="0020382C" w:rsidRDefault="00E61553" w:rsidP="00E61553">
      <w:pPr>
        <w:pStyle w:val="Headingb"/>
        <w:rPr>
          <w:lang w:val="ru-RU"/>
        </w:rPr>
      </w:pPr>
      <w:bookmarkStart w:id="14" w:name="_Toc202790137"/>
      <w:bookmarkStart w:id="15" w:name="_Toc207372977"/>
      <w:r w:rsidRPr="0020382C">
        <w:rPr>
          <w:lang w:val="ru-RU"/>
        </w:rPr>
        <w:t>Инвестиции в стратегический потенциал</w:t>
      </w:r>
      <w:bookmarkEnd w:id="14"/>
      <w:bookmarkEnd w:id="15"/>
    </w:p>
    <w:p w14:paraId="08500176" w14:textId="0D1FAE27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Следует выходить за рамки исключительно технической модернизации. Необходимо обеспечивать устойчивое инвестирование в людские и финансовые ресурсы, необходимые для поддержания и расширения </w:t>
      </w:r>
      <w:r w:rsidR="00222178" w:rsidRPr="0020382C">
        <w:rPr>
          <w:lang w:val="ru-RU"/>
        </w:rPr>
        <w:t>новых технологических</w:t>
      </w:r>
      <w:r w:rsidRPr="0020382C">
        <w:rPr>
          <w:lang w:val="ru-RU"/>
        </w:rPr>
        <w:t xml:space="preserve"> инструментов </w:t>
      </w:r>
      <w:r w:rsidR="00222178" w:rsidRPr="0020382C">
        <w:rPr>
          <w:lang w:val="ru-RU"/>
        </w:rPr>
        <w:t xml:space="preserve">и методологий </w:t>
      </w:r>
      <w:r w:rsidRPr="0020382C">
        <w:rPr>
          <w:lang w:val="ru-RU"/>
        </w:rPr>
        <w:t xml:space="preserve">как части основной деятельности в области регулирования. Рекомендуется создавать многопрофильные группы, организовывать внутренние подразделения по прогнозированию и анализу данных, </w:t>
      </w:r>
      <w:r w:rsidR="00222178" w:rsidRPr="0020382C">
        <w:rPr>
          <w:lang w:val="ru-RU"/>
        </w:rPr>
        <w:t xml:space="preserve">выделять ресурсы, </w:t>
      </w:r>
      <w:r w:rsidRPr="0020382C">
        <w:rPr>
          <w:lang w:val="ru-RU"/>
        </w:rPr>
        <w:t xml:space="preserve">а также оптимизировать координацию между отделами. Также рекомендуется устанавливать партнерские отношения с </w:t>
      </w:r>
      <w:r w:rsidR="00222178" w:rsidRPr="0020382C">
        <w:rPr>
          <w:lang w:val="ru-RU"/>
        </w:rPr>
        <w:t xml:space="preserve">заинтересованными сторонами, включая </w:t>
      </w:r>
      <w:r w:rsidR="00F023A8" w:rsidRPr="0020382C">
        <w:rPr>
          <w:lang w:val="ru-RU"/>
        </w:rPr>
        <w:t xml:space="preserve">компании </w:t>
      </w:r>
      <w:r w:rsidR="00092F1D" w:rsidRPr="0020382C">
        <w:rPr>
          <w:lang w:val="ru-RU"/>
        </w:rPr>
        <w:t>отрасл</w:t>
      </w:r>
      <w:r w:rsidR="00F023A8" w:rsidRPr="0020382C">
        <w:rPr>
          <w:lang w:val="ru-RU"/>
        </w:rPr>
        <w:t>и</w:t>
      </w:r>
      <w:r w:rsidR="00222178" w:rsidRPr="0020382C">
        <w:rPr>
          <w:lang w:val="ru-RU"/>
        </w:rPr>
        <w:t xml:space="preserve">, </w:t>
      </w:r>
      <w:r w:rsidRPr="0020382C">
        <w:rPr>
          <w:lang w:val="ru-RU"/>
        </w:rPr>
        <w:t>академически</w:t>
      </w:r>
      <w:r w:rsidR="00222178" w:rsidRPr="0020382C">
        <w:rPr>
          <w:lang w:val="ru-RU"/>
        </w:rPr>
        <w:t>е</w:t>
      </w:r>
      <w:r w:rsidRPr="0020382C">
        <w:rPr>
          <w:lang w:val="ru-RU"/>
        </w:rPr>
        <w:t xml:space="preserve"> организации и аналитически</w:t>
      </w:r>
      <w:r w:rsidR="00222178" w:rsidRPr="0020382C">
        <w:rPr>
          <w:lang w:val="ru-RU"/>
        </w:rPr>
        <w:t>е</w:t>
      </w:r>
      <w:r w:rsidRPr="0020382C">
        <w:rPr>
          <w:lang w:val="ru-RU"/>
        </w:rPr>
        <w:t xml:space="preserve"> центр</w:t>
      </w:r>
      <w:r w:rsidR="00222178" w:rsidRPr="0020382C">
        <w:rPr>
          <w:lang w:val="ru-RU"/>
        </w:rPr>
        <w:t>ы</w:t>
      </w:r>
      <w:r w:rsidRPr="0020382C">
        <w:rPr>
          <w:lang w:val="ru-RU"/>
        </w:rPr>
        <w:t xml:space="preserve"> для поддержки непрерывного обучения и повышения осведомленности о регуляторной деятельности.</w:t>
      </w:r>
      <w:r w:rsidR="00092F1D" w:rsidRPr="0020382C">
        <w:rPr>
          <w:lang w:val="ru-RU"/>
        </w:rPr>
        <w:t xml:space="preserve"> </w:t>
      </w:r>
      <w:r w:rsidR="00F023A8" w:rsidRPr="0020382C">
        <w:rPr>
          <w:lang w:val="ru-RU"/>
        </w:rPr>
        <w:t>Следует и</w:t>
      </w:r>
      <w:r w:rsidR="00092F1D" w:rsidRPr="0020382C">
        <w:rPr>
          <w:lang w:val="ru-RU"/>
        </w:rPr>
        <w:t xml:space="preserve">спользовать </w:t>
      </w:r>
      <w:r w:rsidR="00F023A8" w:rsidRPr="0020382C">
        <w:rPr>
          <w:lang w:val="ru-RU"/>
        </w:rPr>
        <w:t>развитие</w:t>
      </w:r>
      <w:r w:rsidR="00092F1D" w:rsidRPr="0020382C">
        <w:rPr>
          <w:lang w:val="ru-RU"/>
        </w:rPr>
        <w:t xml:space="preserve"> компетенци</w:t>
      </w:r>
      <w:r w:rsidR="00F023A8" w:rsidRPr="0020382C">
        <w:rPr>
          <w:lang w:val="ru-RU"/>
        </w:rPr>
        <w:t>й</w:t>
      </w:r>
      <w:r w:rsidR="00092F1D" w:rsidRPr="0020382C">
        <w:rPr>
          <w:lang w:val="ru-RU"/>
        </w:rPr>
        <w:t xml:space="preserve"> и совместные консультации с регулятор</w:t>
      </w:r>
      <w:r w:rsidR="009F1A54" w:rsidRPr="0020382C">
        <w:rPr>
          <w:lang w:val="ru-RU"/>
        </w:rPr>
        <w:t>ными органами</w:t>
      </w:r>
      <w:r w:rsidR="00092F1D" w:rsidRPr="0020382C">
        <w:rPr>
          <w:lang w:val="ru-RU"/>
        </w:rPr>
        <w:t xml:space="preserve"> из более развитых цифровых рынков (обмен персоналом, совместные слушания), чтобы перенимать опыт регуляторной и отраслевой практики</w:t>
      </w:r>
      <w:r w:rsidR="009F1A54" w:rsidRPr="0020382C">
        <w:rPr>
          <w:lang w:val="ru-RU"/>
        </w:rPr>
        <w:t>.</w:t>
      </w:r>
    </w:p>
    <w:p w14:paraId="4C351C0C" w14:textId="77777777" w:rsidR="00E61553" w:rsidRPr="0020382C" w:rsidRDefault="00E61553" w:rsidP="00E61553">
      <w:pPr>
        <w:pStyle w:val="Headingb"/>
        <w:rPr>
          <w:lang w:val="ru-RU"/>
        </w:rPr>
      </w:pPr>
      <w:bookmarkStart w:id="16" w:name="_Toc202790138"/>
      <w:bookmarkStart w:id="17" w:name="_Toc207372978"/>
      <w:r w:rsidRPr="0020382C">
        <w:rPr>
          <w:lang w:val="ru-RU"/>
        </w:rPr>
        <w:t>Принятие инклюзивных решений на основе фактических данных</w:t>
      </w:r>
      <w:bookmarkEnd w:id="16"/>
      <w:bookmarkEnd w:id="17"/>
    </w:p>
    <w:p w14:paraId="2C81E2C3" w14:textId="54030A70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Необходимо укреплять регуляторный потенциал для принятия решений с учетом </w:t>
      </w:r>
      <w:r w:rsidR="00092F1D" w:rsidRPr="0020382C">
        <w:rPr>
          <w:lang w:val="ru-RU"/>
        </w:rPr>
        <w:t xml:space="preserve">фактических </w:t>
      </w:r>
      <w:r w:rsidRPr="0020382C">
        <w:rPr>
          <w:lang w:val="ru-RU"/>
        </w:rPr>
        <w:t xml:space="preserve">данных и рисков. Для обоснования принятия решений следует использовать </w:t>
      </w:r>
      <w:r w:rsidR="00092F1D" w:rsidRPr="0020382C">
        <w:rPr>
          <w:lang w:val="ru-RU"/>
        </w:rPr>
        <w:t xml:space="preserve">новые источники и </w:t>
      </w:r>
      <w:r w:rsidRPr="0020382C">
        <w:rPr>
          <w:lang w:val="ru-RU"/>
        </w:rPr>
        <w:t xml:space="preserve">платформы </w:t>
      </w:r>
      <w:r w:rsidRPr="0020382C">
        <w:rPr>
          <w:lang w:val="ru-RU"/>
        </w:rPr>
        <w:lastRenderedPageBreak/>
        <w:t xml:space="preserve">данных, аналитику при помощи ИИ и вклады заинтересованных сторон. </w:t>
      </w:r>
      <w:r w:rsidR="00B11755" w:rsidRPr="0020382C">
        <w:rPr>
          <w:lang w:val="ru-RU"/>
        </w:rPr>
        <w:t>Рекомендуется</w:t>
      </w:r>
      <w:r w:rsidRPr="0020382C">
        <w:rPr>
          <w:lang w:val="ru-RU"/>
        </w:rPr>
        <w:t xml:space="preserve"> приводить </w:t>
      </w:r>
      <w:r w:rsidR="00B11755" w:rsidRPr="0020382C">
        <w:rPr>
          <w:lang w:val="ru-RU"/>
        </w:rPr>
        <w:t xml:space="preserve">правила </w:t>
      </w:r>
      <w:r w:rsidRPr="0020382C">
        <w:rPr>
          <w:lang w:val="ru-RU"/>
        </w:rPr>
        <w:t>в соответствие с реальными условиями с помощью оценки регуляторного воздействия</w:t>
      </w:r>
      <w:r w:rsidR="00B11755" w:rsidRPr="0020382C">
        <w:rPr>
          <w:lang w:val="ru-RU"/>
        </w:rPr>
        <w:t>, учитывающей возможные различные последствия для разных заинтересованных сторон (включая отдельных поставщиков и потребителей, особенно из числа обслуживаемых</w:t>
      </w:r>
      <w:r w:rsidR="009F1A54" w:rsidRPr="0020382C">
        <w:rPr>
          <w:lang w:val="ru-RU"/>
        </w:rPr>
        <w:t xml:space="preserve"> в недостаточной степени</w:t>
      </w:r>
      <w:r w:rsidR="00B11755" w:rsidRPr="0020382C">
        <w:rPr>
          <w:lang w:val="ru-RU"/>
        </w:rPr>
        <w:t xml:space="preserve"> групп и местных новаторов), с</w:t>
      </w:r>
      <w:r w:rsidRPr="0020382C">
        <w:rPr>
          <w:lang w:val="ru-RU"/>
        </w:rPr>
        <w:t xml:space="preserve"> поэтапн</w:t>
      </w:r>
      <w:r w:rsidR="00B11755" w:rsidRPr="0020382C">
        <w:rPr>
          <w:lang w:val="ru-RU"/>
        </w:rPr>
        <w:t>ым</w:t>
      </w:r>
      <w:r w:rsidRPr="0020382C">
        <w:rPr>
          <w:lang w:val="ru-RU"/>
        </w:rPr>
        <w:t xml:space="preserve"> внедрени</w:t>
      </w:r>
      <w:r w:rsidR="00B11755" w:rsidRPr="0020382C">
        <w:rPr>
          <w:lang w:val="ru-RU"/>
        </w:rPr>
        <w:t>ем и регулярной оценкой для последовательного совершенствования рег</w:t>
      </w:r>
      <w:r w:rsidR="00F023A8" w:rsidRPr="0020382C">
        <w:rPr>
          <w:lang w:val="ru-RU"/>
        </w:rPr>
        <w:t xml:space="preserve">уляторных </w:t>
      </w:r>
      <w:r w:rsidR="00B11755" w:rsidRPr="0020382C">
        <w:rPr>
          <w:lang w:val="ru-RU"/>
        </w:rPr>
        <w:t>мер</w:t>
      </w:r>
      <w:r w:rsidRPr="0020382C">
        <w:rPr>
          <w:lang w:val="ru-RU"/>
        </w:rPr>
        <w:t>.</w:t>
      </w:r>
    </w:p>
    <w:p w14:paraId="0DE51202" w14:textId="77777777" w:rsidR="00E61553" w:rsidRPr="0020382C" w:rsidRDefault="00E61553" w:rsidP="00E61553">
      <w:pPr>
        <w:pStyle w:val="Headingb"/>
        <w:rPr>
          <w:lang w:val="ru-RU"/>
        </w:rPr>
      </w:pPr>
      <w:bookmarkStart w:id="18" w:name="_Toc202790139"/>
      <w:bookmarkStart w:id="19" w:name="_Toc207372979"/>
      <w:r w:rsidRPr="0020382C">
        <w:rPr>
          <w:lang w:val="ru-RU"/>
        </w:rPr>
        <w:t>Институционализация сотрудничества</w:t>
      </w:r>
      <w:bookmarkEnd w:id="18"/>
      <w:bookmarkEnd w:id="19"/>
    </w:p>
    <w:p w14:paraId="27F08EED" w14:textId="7E200FB5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Рекомендуется</w:t>
      </w:r>
      <w:r w:rsidR="00B11755" w:rsidRPr="0020382C">
        <w:rPr>
          <w:lang w:val="ru-RU"/>
        </w:rPr>
        <w:t xml:space="preserve"> </w:t>
      </w:r>
      <w:r w:rsidR="00223DCD" w:rsidRPr="0020382C">
        <w:rPr>
          <w:lang w:val="ru-RU"/>
        </w:rPr>
        <w:t xml:space="preserve">предоставить </w:t>
      </w:r>
      <w:r w:rsidR="00B11755" w:rsidRPr="0020382C">
        <w:rPr>
          <w:lang w:val="ru-RU"/>
        </w:rPr>
        <w:t>регуляторны</w:t>
      </w:r>
      <w:r w:rsidR="00223DCD" w:rsidRPr="0020382C">
        <w:rPr>
          <w:lang w:val="ru-RU"/>
        </w:rPr>
        <w:t xml:space="preserve">м </w:t>
      </w:r>
      <w:r w:rsidR="00B11755" w:rsidRPr="0020382C">
        <w:rPr>
          <w:lang w:val="ru-RU"/>
        </w:rPr>
        <w:t>орган</w:t>
      </w:r>
      <w:r w:rsidR="00223DCD" w:rsidRPr="0020382C">
        <w:rPr>
          <w:lang w:val="ru-RU"/>
        </w:rPr>
        <w:t>ам возможность</w:t>
      </w:r>
      <w:r w:rsidRPr="0020382C">
        <w:rPr>
          <w:lang w:val="ru-RU"/>
        </w:rPr>
        <w:t xml:space="preserve"> координировать деятельность в различных секторах и юрисдикциях</w:t>
      </w:r>
      <w:r w:rsidR="009F1A54" w:rsidRPr="0020382C">
        <w:rPr>
          <w:lang w:val="ru-RU"/>
        </w:rPr>
        <w:t>, в том числе,</w:t>
      </w:r>
      <w:r w:rsidRPr="0020382C">
        <w:rPr>
          <w:lang w:val="ru-RU"/>
        </w:rPr>
        <w:t xml:space="preserve"> в рамках совместных целевых групп, совместных регуляторных практикумов и межведомственных рабочих групп. Предлагается </w:t>
      </w:r>
      <w:r w:rsidR="00B11755" w:rsidRPr="0020382C">
        <w:rPr>
          <w:lang w:val="ru-RU"/>
        </w:rPr>
        <w:t>рассмотреть</w:t>
      </w:r>
      <w:r w:rsidRPr="0020382C">
        <w:rPr>
          <w:lang w:val="ru-RU"/>
        </w:rPr>
        <w:t xml:space="preserve"> разработанный МСЭ основанный на совместном управлении подход </w:t>
      </w:r>
      <w:r w:rsidR="00B37161" w:rsidRPr="0020382C">
        <w:rPr>
          <w:lang w:val="ru-RU"/>
        </w:rPr>
        <w:t>−</w:t>
      </w:r>
      <w:r w:rsidR="00B11755" w:rsidRPr="0020382C">
        <w:rPr>
          <w:lang w:val="ru-RU"/>
        </w:rPr>
        <w:t xml:space="preserve"> структурированное и прозрачное принятие решений с ч</w:t>
      </w:r>
      <w:r w:rsidR="009F1A54" w:rsidRPr="0020382C">
        <w:rPr>
          <w:lang w:val="ru-RU"/>
        </w:rPr>
        <w:t>е</w:t>
      </w:r>
      <w:r w:rsidR="00B11755" w:rsidRPr="0020382C">
        <w:rPr>
          <w:lang w:val="ru-RU"/>
        </w:rPr>
        <w:t>тко определ</w:t>
      </w:r>
      <w:r w:rsidR="009F1A54" w:rsidRPr="0020382C">
        <w:rPr>
          <w:lang w:val="ru-RU"/>
        </w:rPr>
        <w:t>е</w:t>
      </w:r>
      <w:r w:rsidR="00B11755" w:rsidRPr="0020382C">
        <w:rPr>
          <w:lang w:val="ru-RU"/>
        </w:rPr>
        <w:t>нными ролями, совместным использованием доказательной базы, ограниченными по времени планами работы и коллективной подотч</w:t>
      </w:r>
      <w:r w:rsidR="005D32B6" w:rsidRPr="0020382C">
        <w:rPr>
          <w:lang w:val="ru-RU"/>
        </w:rPr>
        <w:t>е</w:t>
      </w:r>
      <w:r w:rsidR="00B11755" w:rsidRPr="0020382C">
        <w:rPr>
          <w:lang w:val="ru-RU"/>
        </w:rPr>
        <w:t>тностью партн</w:t>
      </w:r>
      <w:r w:rsidR="005D32B6" w:rsidRPr="0020382C">
        <w:rPr>
          <w:lang w:val="ru-RU"/>
        </w:rPr>
        <w:t>е</w:t>
      </w:r>
      <w:r w:rsidR="00B11755" w:rsidRPr="0020382C">
        <w:rPr>
          <w:lang w:val="ru-RU"/>
        </w:rPr>
        <w:t>ров из государственного</w:t>
      </w:r>
      <w:r w:rsidR="005D32B6" w:rsidRPr="0020382C">
        <w:rPr>
          <w:lang w:val="ru-RU"/>
        </w:rPr>
        <w:t xml:space="preserve"> и </w:t>
      </w:r>
      <w:r w:rsidR="00B11755" w:rsidRPr="0020382C">
        <w:rPr>
          <w:lang w:val="ru-RU"/>
        </w:rPr>
        <w:t xml:space="preserve">частного секторов и гражданского общества </w:t>
      </w:r>
      <w:r w:rsidR="008C5758" w:rsidRPr="0020382C">
        <w:rPr>
          <w:lang w:val="ru-RU"/>
        </w:rPr>
        <w:sym w:font="Symbol" w:char="F02D"/>
      </w:r>
      <w:r w:rsidR="00B37161" w:rsidRPr="0020382C">
        <w:rPr>
          <w:lang w:val="ru-RU"/>
        </w:rPr>
        <w:t xml:space="preserve"> </w:t>
      </w:r>
      <w:r w:rsidR="005D32B6" w:rsidRPr="0020382C">
        <w:rPr>
          <w:lang w:val="ru-RU"/>
        </w:rPr>
        <w:t>с целью</w:t>
      </w:r>
      <w:r w:rsidRPr="0020382C">
        <w:rPr>
          <w:lang w:val="ru-RU"/>
        </w:rPr>
        <w:t xml:space="preserve"> разработки скоординированных и адаптивных решений для сложных </w:t>
      </w:r>
      <w:r w:rsidR="00B11755" w:rsidRPr="0020382C">
        <w:rPr>
          <w:lang w:val="ru-RU"/>
        </w:rPr>
        <w:t>задач</w:t>
      </w:r>
      <w:r w:rsidRPr="0020382C">
        <w:rPr>
          <w:lang w:val="ru-RU"/>
        </w:rPr>
        <w:t xml:space="preserve"> экосистемы. Подход, пр</w:t>
      </w:r>
      <w:r w:rsidR="0016235B" w:rsidRPr="0020382C">
        <w:rPr>
          <w:lang w:val="ru-RU"/>
        </w:rPr>
        <w:t>едусматривающий</w:t>
      </w:r>
      <w:r w:rsidRPr="0020382C">
        <w:rPr>
          <w:lang w:val="ru-RU"/>
        </w:rPr>
        <w:t xml:space="preserve"> вовлечение всех правительственных органов, становится </w:t>
      </w:r>
      <w:r w:rsidR="00B11755" w:rsidRPr="0020382C">
        <w:rPr>
          <w:lang w:val="ru-RU"/>
        </w:rPr>
        <w:t xml:space="preserve">все более </w:t>
      </w:r>
      <w:r w:rsidR="0016235B" w:rsidRPr="0020382C">
        <w:rPr>
          <w:lang w:val="ru-RU"/>
        </w:rPr>
        <w:t>необходимым</w:t>
      </w:r>
      <w:r w:rsidR="00B11755" w:rsidRPr="0020382C">
        <w:rPr>
          <w:lang w:val="ru-RU"/>
        </w:rPr>
        <w:t xml:space="preserve"> для</w:t>
      </w:r>
      <w:r w:rsidRPr="0020382C">
        <w:rPr>
          <w:lang w:val="ru-RU"/>
        </w:rPr>
        <w:t xml:space="preserve"> обеспеч</w:t>
      </w:r>
      <w:r w:rsidR="00B11755" w:rsidRPr="0020382C">
        <w:rPr>
          <w:lang w:val="ru-RU"/>
        </w:rPr>
        <w:t>ения</w:t>
      </w:r>
      <w:r w:rsidRPr="0020382C">
        <w:rPr>
          <w:lang w:val="ru-RU"/>
        </w:rPr>
        <w:t xml:space="preserve"> согласованност</w:t>
      </w:r>
      <w:r w:rsidR="00B11755" w:rsidRPr="0020382C">
        <w:rPr>
          <w:lang w:val="ru-RU"/>
        </w:rPr>
        <w:t>и</w:t>
      </w:r>
      <w:r w:rsidRPr="0020382C">
        <w:rPr>
          <w:lang w:val="ru-RU"/>
        </w:rPr>
        <w:t xml:space="preserve"> национальной цифровой политики и </w:t>
      </w:r>
      <w:r w:rsidR="0016235B" w:rsidRPr="0020382C">
        <w:rPr>
          <w:lang w:val="ru-RU"/>
        </w:rPr>
        <w:t>эффективного</w:t>
      </w:r>
      <w:r w:rsidRPr="0020382C">
        <w:rPr>
          <w:lang w:val="ru-RU"/>
        </w:rPr>
        <w:t xml:space="preserve"> управления сложными цифровыми экосистемами</w:t>
      </w:r>
      <w:r w:rsidR="00B11755" w:rsidRPr="0020382C">
        <w:rPr>
          <w:lang w:val="ru-RU"/>
        </w:rPr>
        <w:t xml:space="preserve">, </w:t>
      </w:r>
      <w:r w:rsidR="00555BE1" w:rsidRPr="0020382C">
        <w:rPr>
          <w:lang w:val="ru-RU"/>
        </w:rPr>
        <w:t>с признанием как взаимодополняющей роли регуляторных органов по отношению к правительствам, так и их самостоятельной роли.</w:t>
      </w:r>
    </w:p>
    <w:p w14:paraId="52A7D66A" w14:textId="77777777" w:rsidR="00E61553" w:rsidRPr="0020382C" w:rsidRDefault="00E61553" w:rsidP="00E61553">
      <w:pPr>
        <w:pStyle w:val="Headingb"/>
        <w:rPr>
          <w:lang w:val="ru-RU"/>
        </w:rPr>
      </w:pPr>
      <w:bookmarkStart w:id="20" w:name="_Toc202790140"/>
      <w:bookmarkStart w:id="21" w:name="_Toc207372980"/>
      <w:r w:rsidRPr="0020382C">
        <w:rPr>
          <w:lang w:val="ru-RU"/>
        </w:rPr>
        <w:t>Использование потенциала совместного регулирования и саморегулирования</w:t>
      </w:r>
      <w:bookmarkEnd w:id="20"/>
      <w:bookmarkEnd w:id="21"/>
    </w:p>
    <w:p w14:paraId="0BD982D1" w14:textId="50A73BC9" w:rsidR="00E61553" w:rsidRPr="0020382C" w:rsidRDefault="00E61553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В надлежащих случаях рекомендуется </w:t>
      </w:r>
      <w:r w:rsidR="0016235B" w:rsidRPr="0020382C">
        <w:rPr>
          <w:lang w:val="ru-RU"/>
        </w:rPr>
        <w:t xml:space="preserve">распределять или </w:t>
      </w:r>
      <w:r w:rsidRPr="0020382C">
        <w:rPr>
          <w:lang w:val="ru-RU"/>
        </w:rPr>
        <w:t xml:space="preserve">делегировать </w:t>
      </w:r>
      <w:r w:rsidR="0016235B" w:rsidRPr="0020382C">
        <w:rPr>
          <w:lang w:val="ru-RU"/>
        </w:rPr>
        <w:t>полномочия</w:t>
      </w:r>
      <w:r w:rsidRPr="0020382C">
        <w:rPr>
          <w:lang w:val="ru-RU"/>
        </w:rPr>
        <w:t xml:space="preserve"> доверенным партнерам с четкими механизмами подотчетности. Следует поддерживать совместное регулирование с экспертными учреждениями, структурами гражданского общества или </w:t>
      </w:r>
      <w:r w:rsidR="00F023A8" w:rsidRPr="0020382C">
        <w:rPr>
          <w:lang w:val="ru-RU"/>
        </w:rPr>
        <w:t xml:space="preserve">компаниями </w:t>
      </w:r>
      <w:r w:rsidRPr="0020382C">
        <w:rPr>
          <w:lang w:val="ru-RU"/>
        </w:rPr>
        <w:t>отрасл</w:t>
      </w:r>
      <w:r w:rsidR="00F023A8" w:rsidRPr="0020382C">
        <w:rPr>
          <w:lang w:val="ru-RU"/>
        </w:rPr>
        <w:t xml:space="preserve">и − </w:t>
      </w:r>
      <w:r w:rsidRPr="0020382C">
        <w:rPr>
          <w:lang w:val="ru-RU"/>
        </w:rPr>
        <w:t>особенно в таких стремительно развивающихся областях, как кибербезопасность, ИИ и управление данными</w:t>
      </w:r>
      <w:r w:rsidR="0016235B" w:rsidRPr="0020382C">
        <w:rPr>
          <w:lang w:val="ru-RU"/>
        </w:rPr>
        <w:t xml:space="preserve">, где менее гибкие модели могут препятствовать инвестициям и инновациям. </w:t>
      </w:r>
      <w:r w:rsidR="005D32B6" w:rsidRPr="0020382C">
        <w:rPr>
          <w:lang w:val="ru-RU"/>
        </w:rPr>
        <w:t>Необходимо и</w:t>
      </w:r>
      <w:r w:rsidR="0016235B" w:rsidRPr="0020382C">
        <w:rPr>
          <w:lang w:val="ru-RU"/>
        </w:rPr>
        <w:t xml:space="preserve">зучать способы, с помощью которых регуляторные органы могут сокращать собственную и </w:t>
      </w:r>
      <w:r w:rsidR="00223DCD" w:rsidRPr="0020382C">
        <w:rPr>
          <w:lang w:val="ru-RU"/>
        </w:rPr>
        <w:t>прочую</w:t>
      </w:r>
      <w:r w:rsidR="0016235B" w:rsidRPr="0020382C">
        <w:rPr>
          <w:lang w:val="ru-RU"/>
        </w:rPr>
        <w:t xml:space="preserve"> регуляторную нагрузку путем объединения и упрощения регуляторных моделей. Предлагается рассматривать </w:t>
      </w:r>
      <w:r w:rsidR="00223DCD" w:rsidRPr="0020382C">
        <w:rPr>
          <w:lang w:val="ru-RU"/>
        </w:rPr>
        <w:t xml:space="preserve">возможность использования </w:t>
      </w:r>
      <w:r w:rsidR="0016235B" w:rsidRPr="0020382C">
        <w:rPr>
          <w:lang w:val="ru-RU"/>
        </w:rPr>
        <w:t>добровольны</w:t>
      </w:r>
      <w:r w:rsidR="00223DCD" w:rsidRPr="0020382C">
        <w:rPr>
          <w:lang w:val="ru-RU"/>
        </w:rPr>
        <w:t>х</w:t>
      </w:r>
      <w:r w:rsidR="0016235B" w:rsidRPr="0020382C">
        <w:rPr>
          <w:lang w:val="ru-RU"/>
        </w:rPr>
        <w:t xml:space="preserve"> механизм</w:t>
      </w:r>
      <w:r w:rsidR="00223DCD" w:rsidRPr="0020382C">
        <w:rPr>
          <w:lang w:val="ru-RU"/>
        </w:rPr>
        <w:t>ов</w:t>
      </w:r>
      <w:r w:rsidR="0016235B" w:rsidRPr="0020382C">
        <w:rPr>
          <w:lang w:val="ru-RU"/>
        </w:rPr>
        <w:t>, разрабатываемы</w:t>
      </w:r>
      <w:r w:rsidR="00223DCD" w:rsidRPr="0020382C">
        <w:rPr>
          <w:lang w:val="ru-RU"/>
        </w:rPr>
        <w:t>х</w:t>
      </w:r>
      <w:r w:rsidR="0016235B" w:rsidRPr="0020382C">
        <w:rPr>
          <w:lang w:val="ru-RU"/>
        </w:rPr>
        <w:t xml:space="preserve"> </w:t>
      </w:r>
      <w:r w:rsidR="00223DCD" w:rsidRPr="0020382C">
        <w:rPr>
          <w:lang w:val="ru-RU"/>
        </w:rPr>
        <w:t xml:space="preserve">совместно </w:t>
      </w:r>
      <w:r w:rsidR="0016235B" w:rsidRPr="0020382C">
        <w:rPr>
          <w:lang w:val="ru-RU"/>
        </w:rPr>
        <w:t>с заинтересованными сторонами</w:t>
      </w:r>
      <w:r w:rsidR="00223DCD" w:rsidRPr="0020382C">
        <w:rPr>
          <w:lang w:val="ru-RU"/>
        </w:rPr>
        <w:t xml:space="preserve"> для стимулирования действий, в качестве </w:t>
      </w:r>
      <w:r w:rsidR="0016235B" w:rsidRPr="0020382C">
        <w:rPr>
          <w:lang w:val="ru-RU"/>
        </w:rPr>
        <w:t>нов</w:t>
      </w:r>
      <w:r w:rsidR="00223DCD" w:rsidRPr="0020382C">
        <w:rPr>
          <w:lang w:val="ru-RU"/>
        </w:rPr>
        <w:t>ых</w:t>
      </w:r>
      <w:r w:rsidR="0016235B" w:rsidRPr="0020382C">
        <w:rPr>
          <w:lang w:val="ru-RU"/>
        </w:rPr>
        <w:t xml:space="preserve"> модел</w:t>
      </w:r>
      <w:r w:rsidR="00223DCD" w:rsidRPr="0020382C">
        <w:rPr>
          <w:lang w:val="ru-RU"/>
        </w:rPr>
        <w:t>ей</w:t>
      </w:r>
      <w:r w:rsidR="0016235B" w:rsidRPr="0020382C">
        <w:rPr>
          <w:lang w:val="ru-RU"/>
        </w:rPr>
        <w:t xml:space="preserve"> регулирования, </w:t>
      </w:r>
      <w:r w:rsidR="009A5E32" w:rsidRPr="0020382C">
        <w:rPr>
          <w:lang w:val="ru-RU"/>
        </w:rPr>
        <w:t>при условии, что</w:t>
      </w:r>
      <w:r w:rsidR="0016235B" w:rsidRPr="0020382C">
        <w:rPr>
          <w:lang w:val="ru-RU"/>
        </w:rPr>
        <w:t xml:space="preserve"> компетентные органы </w:t>
      </w:r>
      <w:r w:rsidR="009A5E32" w:rsidRPr="0020382C">
        <w:rPr>
          <w:lang w:val="ru-RU"/>
        </w:rPr>
        <w:t xml:space="preserve">будут обеспечивать </w:t>
      </w:r>
      <w:r w:rsidR="0016235B" w:rsidRPr="0020382C">
        <w:rPr>
          <w:lang w:val="ru-RU"/>
        </w:rPr>
        <w:t>защиту конфиденциальности, выполнение этических обяза</w:t>
      </w:r>
      <w:r w:rsidR="005D32B6" w:rsidRPr="0020382C">
        <w:rPr>
          <w:lang w:val="ru-RU"/>
        </w:rPr>
        <w:t>нностей</w:t>
      </w:r>
      <w:r w:rsidR="0016235B" w:rsidRPr="0020382C">
        <w:rPr>
          <w:lang w:val="ru-RU"/>
        </w:rPr>
        <w:t xml:space="preserve"> и связанных с ними </w:t>
      </w:r>
      <w:r w:rsidR="005D32B6" w:rsidRPr="0020382C">
        <w:rPr>
          <w:lang w:val="ru-RU"/>
        </w:rPr>
        <w:t>обязательств</w:t>
      </w:r>
      <w:r w:rsidR="0016235B" w:rsidRPr="0020382C">
        <w:rPr>
          <w:lang w:val="ru-RU"/>
        </w:rPr>
        <w:t>.</w:t>
      </w:r>
    </w:p>
    <w:p w14:paraId="327C4B64" w14:textId="6869E946" w:rsidR="00E61553" w:rsidRPr="0020382C" w:rsidRDefault="00E61553" w:rsidP="00E61553">
      <w:pPr>
        <w:pStyle w:val="Headingb"/>
        <w:rPr>
          <w:lang w:val="ru-RU"/>
        </w:rPr>
      </w:pPr>
      <w:bookmarkStart w:id="22" w:name="_Toc202790141"/>
      <w:bookmarkStart w:id="23" w:name="_Toc207372981"/>
      <w:r w:rsidRPr="0020382C">
        <w:rPr>
          <w:lang w:val="ru-RU"/>
        </w:rPr>
        <w:t>Формирование инноваций в интересах общества</w:t>
      </w:r>
      <w:bookmarkEnd w:id="22"/>
      <w:bookmarkEnd w:id="23"/>
    </w:p>
    <w:p w14:paraId="65650F65" w14:textId="4DCC1323" w:rsidR="00E61553" w:rsidRPr="0020382C" w:rsidRDefault="00A25E55" w:rsidP="00E61553">
      <w:pPr>
        <w:rPr>
          <w:lang w:val="ru-RU"/>
        </w:rPr>
      </w:pPr>
      <w:r w:rsidRPr="0020382C">
        <w:rPr>
          <w:lang w:val="ru-RU"/>
        </w:rPr>
        <w:t>Рекомендуется с</w:t>
      </w:r>
      <w:r w:rsidR="0016235B" w:rsidRPr="0020382C">
        <w:rPr>
          <w:lang w:val="ru-RU"/>
        </w:rPr>
        <w:t>тимулировать и направлять инновации в русло</w:t>
      </w:r>
      <w:r w:rsidR="005D32B6" w:rsidRPr="0020382C">
        <w:rPr>
          <w:lang w:val="ru-RU"/>
        </w:rPr>
        <w:t xml:space="preserve"> развития</w:t>
      </w:r>
      <w:r w:rsidR="0016235B" w:rsidRPr="0020382C">
        <w:rPr>
          <w:lang w:val="ru-RU"/>
        </w:rPr>
        <w:t xml:space="preserve"> инклюзивн</w:t>
      </w:r>
      <w:r w:rsidR="009A5E32" w:rsidRPr="0020382C">
        <w:rPr>
          <w:lang w:val="ru-RU"/>
        </w:rPr>
        <w:t>ых</w:t>
      </w:r>
      <w:r w:rsidR="0016235B" w:rsidRPr="0020382C">
        <w:rPr>
          <w:lang w:val="ru-RU"/>
        </w:rPr>
        <w:t xml:space="preserve"> и устойчив</w:t>
      </w:r>
      <w:r w:rsidR="009A5E32" w:rsidRPr="0020382C">
        <w:rPr>
          <w:lang w:val="ru-RU"/>
        </w:rPr>
        <w:t>ых возможностей</w:t>
      </w:r>
      <w:r w:rsidR="0016235B" w:rsidRPr="0020382C">
        <w:rPr>
          <w:lang w:val="ru-RU"/>
        </w:rPr>
        <w:t xml:space="preserve"> установления соединений и цифровых рынков, способствующих социально</w:t>
      </w:r>
      <w:r w:rsidR="008C5758" w:rsidRPr="0020382C">
        <w:rPr>
          <w:lang w:val="ru-RU"/>
        </w:rPr>
        <w:t>­</w:t>
      </w:r>
      <w:r w:rsidR="0016235B" w:rsidRPr="0020382C">
        <w:rPr>
          <w:lang w:val="ru-RU"/>
        </w:rPr>
        <w:t xml:space="preserve">экономическому развитию. </w:t>
      </w:r>
      <w:r w:rsidRPr="0020382C">
        <w:rPr>
          <w:lang w:val="ru-RU"/>
        </w:rPr>
        <w:t>Необходимо в</w:t>
      </w:r>
      <w:r w:rsidR="0016235B" w:rsidRPr="0020382C">
        <w:rPr>
          <w:lang w:val="ru-RU"/>
        </w:rPr>
        <w:t xml:space="preserve">страивать алгоритмы безопасности и принципы инклюзивности в процессы принятия решений по </w:t>
      </w:r>
      <w:r w:rsidRPr="0020382C">
        <w:rPr>
          <w:lang w:val="ru-RU"/>
        </w:rPr>
        <w:t>стремительно</w:t>
      </w:r>
      <w:r w:rsidR="0016235B" w:rsidRPr="0020382C">
        <w:rPr>
          <w:lang w:val="ru-RU"/>
        </w:rPr>
        <w:t xml:space="preserve"> развивающимся направлениям</w:t>
      </w:r>
      <w:r w:rsidR="005D32B6" w:rsidRPr="0020382C">
        <w:rPr>
          <w:lang w:val="ru-RU"/>
        </w:rPr>
        <w:t>.</w:t>
      </w:r>
      <w:r w:rsidR="0016235B" w:rsidRPr="0020382C">
        <w:rPr>
          <w:lang w:val="ru-RU"/>
        </w:rPr>
        <w:t xml:space="preserve"> </w:t>
      </w:r>
      <w:r w:rsidR="005D32B6" w:rsidRPr="0020382C">
        <w:rPr>
          <w:lang w:val="ru-RU"/>
        </w:rPr>
        <w:t>Также необходимо о</w:t>
      </w:r>
      <w:r w:rsidRPr="0020382C">
        <w:rPr>
          <w:lang w:val="ru-RU"/>
        </w:rPr>
        <w:t xml:space="preserve">беспечить регуляторные органы возможностями </w:t>
      </w:r>
      <w:r w:rsidR="005D32B6" w:rsidRPr="0020382C">
        <w:rPr>
          <w:lang w:val="ru-RU"/>
        </w:rPr>
        <w:t>сбора и анализа</w:t>
      </w:r>
      <w:r w:rsidRPr="0020382C">
        <w:rPr>
          <w:lang w:val="ru-RU"/>
        </w:rPr>
        <w:t xml:space="preserve"> данных о потребителях и показателях результатов, чтобы обосновывать принимаемые решения, отслеживать практические преимущества и реагировать на </w:t>
      </w:r>
      <w:r w:rsidR="009A5E32" w:rsidRPr="0020382C">
        <w:rPr>
          <w:lang w:val="ru-RU"/>
        </w:rPr>
        <w:t xml:space="preserve">неравномерное воздействие </w:t>
      </w:r>
      <w:r w:rsidRPr="0020382C">
        <w:rPr>
          <w:lang w:val="ru-RU"/>
        </w:rPr>
        <w:t>новых технологий.</w:t>
      </w:r>
    </w:p>
    <w:p w14:paraId="6B87675B" w14:textId="128D544F" w:rsidR="008C5758" w:rsidRPr="0020382C" w:rsidRDefault="008C5758" w:rsidP="00E61553">
      <w:pPr>
        <w:pStyle w:val="Heading3"/>
        <w:ind w:left="567" w:hanging="567"/>
        <w:rPr>
          <w:lang w:val="ru-RU"/>
        </w:rPr>
      </w:pPr>
      <w:bookmarkStart w:id="24" w:name="_Toc202790142"/>
      <w:bookmarkStart w:id="25" w:name="_Toc207372982"/>
      <w:r w:rsidRPr="0020382C">
        <w:rPr>
          <w:bCs/>
          <w:lang w:val="ru-RU"/>
        </w:rPr>
        <w:t>III</w:t>
      </w:r>
      <w:r w:rsidRPr="0020382C">
        <w:rPr>
          <w:lang w:val="ru-RU"/>
        </w:rPr>
        <w:tab/>
      </w:r>
      <w:r w:rsidRPr="0020382C">
        <w:rPr>
          <w:bCs/>
          <w:lang w:val="ru-RU"/>
        </w:rPr>
        <w:t>ИСПОЛЬЗОВАНИЕ ПОЯВЛЯЮЩИХСЯ ТЕХНОЛОГИЙ ДЛЯ СОВЕРШЕНСТВОВАНИЯ РЕГУЛИРОВАНИЯ</w:t>
      </w:r>
      <w:bookmarkEnd w:id="24"/>
      <w:bookmarkEnd w:id="25"/>
    </w:p>
    <w:p w14:paraId="44950CD6" w14:textId="77777777" w:rsidR="008C5758" w:rsidRPr="0020382C" w:rsidRDefault="008C5758" w:rsidP="00E61553">
      <w:pPr>
        <w:pStyle w:val="Headingb"/>
        <w:rPr>
          <w:lang w:val="ru-RU"/>
        </w:rPr>
      </w:pPr>
      <w:bookmarkStart w:id="26" w:name="_Toc202790143"/>
      <w:bookmarkStart w:id="27" w:name="_Toc207372983"/>
      <w:r w:rsidRPr="0020382C">
        <w:rPr>
          <w:lang w:val="ru-RU"/>
        </w:rPr>
        <w:t>Использование новых инструментов на протяжении всего цикла регулирования</w:t>
      </w:r>
      <w:bookmarkEnd w:id="26"/>
      <w:bookmarkEnd w:id="27"/>
    </w:p>
    <w:p w14:paraId="251A5479" w14:textId="77777777" w:rsidR="008C5758" w:rsidRPr="0020382C" w:rsidRDefault="008C5758" w:rsidP="00E61553">
      <w:pPr>
        <w:rPr>
          <w:lang w:val="ru-RU"/>
        </w:rPr>
      </w:pPr>
      <w:r w:rsidRPr="0020382C">
        <w:rPr>
          <w:lang w:val="ru-RU"/>
        </w:rPr>
        <w:t xml:space="preserve">В соответствующих случаях необходимо включать технологии, такие как ИИ, большие данные, блокчейн и IoT, в системы регуляторного надзора, соблюдения требований и принятия решений, работая на тем, чтобы такие технологии стали их встроенной функцией. Примерами могут служить регулирование на основе данных, мониторинг спектра в режиме реального времени, автоматические </w:t>
      </w:r>
      <w:r w:rsidRPr="0020382C">
        <w:rPr>
          <w:lang w:val="ru-RU"/>
        </w:rPr>
        <w:lastRenderedPageBreak/>
        <w:t>оповещения о соответствии требованиям и "умные" системы лицензирования, а также другие применения RegTech и SupReg.</w:t>
      </w:r>
    </w:p>
    <w:p w14:paraId="7E275A8E" w14:textId="77777777" w:rsidR="008C5758" w:rsidRPr="0020382C" w:rsidRDefault="008C5758" w:rsidP="00E61553">
      <w:pPr>
        <w:rPr>
          <w:lang w:val="ru-RU"/>
        </w:rPr>
      </w:pPr>
      <w:r w:rsidRPr="0020382C">
        <w:rPr>
          <w:lang w:val="ru-RU"/>
        </w:rPr>
        <w:t>Необходимо обеспечить совместную разработку таких приложений для стимулирования потенциальной совместимости с отраслевыми приложениями и итеративной разработки экспериментальных приложений и приложений для тестовых сценариев. Важно упрощать и упорядочивать регуляторные процессы для отрасли с целью снижения затрат на соблюдение требований и упрощения ведения бизнеса при сохранении надзорной деятельности.</w:t>
      </w:r>
    </w:p>
    <w:p w14:paraId="46C9E70E" w14:textId="77777777" w:rsidR="008C5758" w:rsidRPr="0020382C" w:rsidRDefault="008C5758" w:rsidP="00E61553">
      <w:pPr>
        <w:pStyle w:val="Headingb"/>
        <w:rPr>
          <w:lang w:val="ru-RU"/>
        </w:rPr>
      </w:pPr>
      <w:bookmarkStart w:id="28" w:name="_Toc202790144"/>
      <w:bookmarkStart w:id="29" w:name="_Toc207372984"/>
      <w:r w:rsidRPr="0020382C">
        <w:rPr>
          <w:lang w:val="ru-RU"/>
        </w:rPr>
        <w:t>Использование данных для адаптивного надзора</w:t>
      </w:r>
      <w:bookmarkEnd w:id="28"/>
      <w:bookmarkEnd w:id="29"/>
    </w:p>
    <w:p w14:paraId="4AB1EC76" w14:textId="77777777" w:rsidR="008C5758" w:rsidRPr="0020382C" w:rsidRDefault="008C5758" w:rsidP="00E61553">
      <w:pPr>
        <w:rPr>
          <w:lang w:val="ru-RU"/>
        </w:rPr>
      </w:pPr>
      <w:r w:rsidRPr="0020382C">
        <w:rPr>
          <w:lang w:val="ru-RU"/>
        </w:rPr>
        <w:t>Рекомендуется создавать интегрированные системы данных, с тем чтобы обеспечить поддержку эффективного соблюдения нормативных требований. Такие системы могут объединять, в частности, информацию, предоставляемую компаниями отрасли, данные датчиков и информацию, получаемую от широкой аудитории. Необходимо обнаруживать пробелы в обслуживании, своевременно выявлять риски и содействовать целевому принятию мер, а также размещать интерактивные информационные панели, которые помогают соблюдать нормативные требования и облегчают выбор потребителей.</w:t>
      </w:r>
      <w:r w:rsidRPr="0020382C">
        <w:rPr>
          <w:rFonts w:ascii="Helvetica Neue" w:eastAsia="Times New Roman" w:hAnsi="Helvetica Neue" w:cs="Helvetica Neue"/>
          <w:color w:val="000000"/>
          <w:kern w:val="0"/>
          <w:sz w:val="26"/>
          <w:szCs w:val="26"/>
          <w:lang w:val="ru-RU" w:eastAsia="zh-CN"/>
          <w14:ligatures w14:val="none"/>
        </w:rPr>
        <w:t xml:space="preserve"> </w:t>
      </w:r>
      <w:r w:rsidRPr="0020382C">
        <w:rPr>
          <w:lang w:val="ru-RU"/>
        </w:rPr>
        <w:t>Необходимо использовать эти стратегии для формирования целостных представлений о реалиях рынка с большей детализацией.</w:t>
      </w:r>
    </w:p>
    <w:p w14:paraId="26C945AF" w14:textId="77777777" w:rsidR="008C5758" w:rsidRPr="0020382C" w:rsidRDefault="008C5758" w:rsidP="00E61553">
      <w:pPr>
        <w:pStyle w:val="Headingb"/>
        <w:rPr>
          <w:lang w:val="ru-RU"/>
        </w:rPr>
      </w:pPr>
      <w:bookmarkStart w:id="30" w:name="_Toc202790145"/>
      <w:bookmarkStart w:id="31" w:name="_Toc207372985"/>
      <w:r w:rsidRPr="0020382C">
        <w:rPr>
          <w:lang w:val="ru-RU"/>
        </w:rPr>
        <w:t>Модернизация участия с помощью технологий</w:t>
      </w:r>
      <w:bookmarkEnd w:id="30"/>
      <w:bookmarkEnd w:id="31"/>
    </w:p>
    <w:p w14:paraId="128303BF" w14:textId="52E80B67" w:rsidR="008C5758" w:rsidRPr="0020382C" w:rsidRDefault="008C5758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Рекомендуется представлять цифровые порталы, интерактивные платформы открытых данных и мобильные инструменты для обеспечения прозрачности решений и упрощения участия пользователей, не имеющих отношения к отрасли. Необходимо разрабатывать эти проекты с учетом потребностей пользователей в обслуживаемых в недостаточной степени или отдаленных сообществах. Следует совершенствовать процесс использования данных заинтересованными сторонами и сбор обратной связи от заинтересованных сторон с помощью таких инструментов, как чат-боты или информационные панели на основе карт.</w:t>
      </w:r>
    </w:p>
    <w:p w14:paraId="47338091" w14:textId="77777777" w:rsidR="008C5758" w:rsidRPr="0020382C" w:rsidRDefault="008C5758" w:rsidP="00E61553">
      <w:pPr>
        <w:pStyle w:val="Headingb"/>
        <w:rPr>
          <w:lang w:val="ru-RU"/>
        </w:rPr>
      </w:pPr>
      <w:bookmarkStart w:id="32" w:name="_Toc202790146"/>
      <w:bookmarkStart w:id="33" w:name="_Toc207372986"/>
      <w:r w:rsidRPr="0020382C">
        <w:rPr>
          <w:lang w:val="ru-RU"/>
        </w:rPr>
        <w:t>Институционализация сотрудничества</w:t>
      </w:r>
      <w:bookmarkEnd w:id="32"/>
      <w:bookmarkEnd w:id="33"/>
    </w:p>
    <w:p w14:paraId="1DD80DC6" w14:textId="77777777" w:rsidR="008C5758" w:rsidRPr="0020382C" w:rsidRDefault="008C5758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Перед официальным принятием регуляторных мер в областях повышенного риска и повышенной неопределенности следует проводить их тестирование с помощью инструментов экспериментальных сред, практикумов на основе реальных данных, моделей и сценариев. Необходимо использовать признанные технические стандарты (например, в области ИИ, кибербезопасности, цифровой идентичности и квантовых технологий) и сертификацию на основе стандартов для структурирования инструментов экспериментальных сред и ускорения безопасного масштабирования. Важно ускорить анализ по итогам консультаций и повысить оперативность с помощью инструментов на базе ИИ. Рекомендуется обеспечивать результативность и ответственное внедрение инноваций путем разработки таких экспериментальных основ совместно с компаниями отрасли и другими заинтересованными сторонами.</w:t>
      </w:r>
    </w:p>
    <w:p w14:paraId="04952945" w14:textId="77777777" w:rsidR="008C5758" w:rsidRPr="0020382C" w:rsidRDefault="008C5758" w:rsidP="00E61553">
      <w:pPr>
        <w:pStyle w:val="Headingb"/>
        <w:rPr>
          <w:lang w:val="ru-RU"/>
        </w:rPr>
      </w:pPr>
      <w:bookmarkStart w:id="34" w:name="_Toc202790147"/>
      <w:bookmarkStart w:id="35" w:name="_Toc207372987"/>
      <w:r w:rsidRPr="0020382C">
        <w:rPr>
          <w:lang w:val="ru-RU"/>
        </w:rPr>
        <w:t>Учет доверия и этических норм на этапе проектировани</w:t>
      </w:r>
      <w:bookmarkEnd w:id="34"/>
      <w:r w:rsidRPr="0020382C">
        <w:rPr>
          <w:lang w:val="ru-RU"/>
        </w:rPr>
        <w:t>я</w:t>
      </w:r>
      <w:bookmarkEnd w:id="35"/>
    </w:p>
    <w:p w14:paraId="695CE25A" w14:textId="77777777" w:rsidR="008C5758" w:rsidRPr="0020382C" w:rsidRDefault="008C5758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Следует подавать пример в использовании технологий в рамках организации. Важно внедрять инструменты обеспечения конфиденциальности и стандарты для данных о потребителях и отраслевых данных, установить четкую ответственность и процедуры обжалования в отношении автоматизированного принятия решений в соответствии с административным законодательством каждой юрисдикции и принятыми глобальными принципами надежного ИИ и защиты данных. Необходимо четко информировать общественность о том, как именно используются технологии и какие меры защиты при этом обеспечиваются.</w:t>
      </w:r>
    </w:p>
    <w:p w14:paraId="2B648FEE" w14:textId="77777777" w:rsidR="008C5758" w:rsidRPr="0020382C" w:rsidRDefault="008C5758" w:rsidP="00E61553">
      <w:pPr>
        <w:pStyle w:val="Headingb"/>
        <w:rPr>
          <w:rFonts w:cs="Calibri"/>
          <w:szCs w:val="23"/>
          <w:lang w:val="ru-RU"/>
        </w:rPr>
      </w:pPr>
      <w:bookmarkStart w:id="36" w:name="_Toc207372988"/>
      <w:r w:rsidRPr="0020382C">
        <w:rPr>
          <w:lang w:val="ru-RU"/>
        </w:rPr>
        <w:lastRenderedPageBreak/>
        <w:t>Использование появляющихся технологий для обеспечения устойчивости космической деятельности</w:t>
      </w:r>
      <w:bookmarkEnd w:id="36"/>
    </w:p>
    <w:p w14:paraId="4BF27341" w14:textId="44E49940" w:rsidR="008C5758" w:rsidRPr="0020382C" w:rsidRDefault="008C5758" w:rsidP="00E61553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Регуляторным органам в области ИКТ, имеющим полномочия в космической сфере, следует использовать ИИ и другие инструменты для мониторинга космического движения, предотвращения столкновений и оптимизации использования орбитальных ресурсов. В случае отсутствия таких полномочий, необходимо обеспечить координацию с компетентным космическим ведомством, содействовать обмену данными и принятию мер, основанных на стандартах безопасности, чтобы космические службы оставались безопасными и надежными компонентами цифровой инфраструктуры.</w:t>
      </w:r>
    </w:p>
    <w:p w14:paraId="2F3C5DA1" w14:textId="77777777" w:rsidR="008C5758" w:rsidRPr="0020382C" w:rsidRDefault="008C5758" w:rsidP="00E61553">
      <w:pPr>
        <w:pStyle w:val="Headingb"/>
        <w:rPr>
          <w:lang w:val="ru-RU"/>
        </w:rPr>
      </w:pPr>
      <w:bookmarkStart w:id="37" w:name="_Toc202790148"/>
      <w:bookmarkStart w:id="38" w:name="_Toc207372989"/>
      <w:r w:rsidRPr="0020382C">
        <w:rPr>
          <w:lang w:val="ru-RU"/>
        </w:rPr>
        <w:t>Создание потенциала для эффективного выполнения задач</w:t>
      </w:r>
      <w:bookmarkEnd w:id="37"/>
      <w:bookmarkEnd w:id="38"/>
    </w:p>
    <w:p w14:paraId="39E0BB3C" w14:textId="77777777" w:rsidR="008C5758" w:rsidRPr="0020382C" w:rsidRDefault="008C5758" w:rsidP="00E61553">
      <w:pPr>
        <w:rPr>
          <w:lang w:val="ru-RU"/>
        </w:rPr>
      </w:pPr>
      <w:r w:rsidRPr="0020382C">
        <w:rPr>
          <w:lang w:val="ru-RU"/>
        </w:rPr>
        <w:t>Необходимо признавать, что для цифровой трансформации требуется стратегическое мышление, а не только программное обеспечение. Важно инвестировать в перспективных междисциплинарных специалистов, продвигать открытые стандарты и развивать инфраструктуру, охватывающую все правительственные органы, во избежание дублирования и чрезмерной зависимости от проприетарных систем.</w:t>
      </w:r>
    </w:p>
    <w:p w14:paraId="7D7BCD27" w14:textId="77777777" w:rsidR="008C5758" w:rsidRPr="0020382C" w:rsidRDefault="008C5758" w:rsidP="004561B1">
      <w:pPr>
        <w:pStyle w:val="Heading3"/>
        <w:ind w:left="567" w:hanging="567"/>
        <w:rPr>
          <w:bCs/>
          <w:lang w:val="ru-RU"/>
        </w:rPr>
      </w:pPr>
      <w:bookmarkStart w:id="39" w:name="_Toc202790149"/>
      <w:bookmarkStart w:id="40" w:name="_Toc207372990"/>
      <w:r w:rsidRPr="0020382C">
        <w:rPr>
          <w:bCs/>
          <w:lang w:val="ru-RU"/>
        </w:rPr>
        <w:t>IV</w:t>
      </w:r>
      <w:r w:rsidRPr="0020382C">
        <w:rPr>
          <w:lang w:val="ru-RU"/>
        </w:rPr>
        <w:tab/>
      </w:r>
      <w:r w:rsidRPr="0020382C">
        <w:rPr>
          <w:bCs/>
          <w:lang w:val="ru-RU"/>
        </w:rPr>
        <w:t>УКРЕПЛЕНИЕ ТРАНСГРАНИЧНОГО СОТРУДНИЧЕСТВА ДЛЯ СОЕДИНЕННОГО БУДУЩЕГО</w:t>
      </w:r>
      <w:bookmarkEnd w:id="39"/>
      <w:bookmarkEnd w:id="40"/>
    </w:p>
    <w:p w14:paraId="117A41A3" w14:textId="77777777" w:rsidR="008C5758" w:rsidRPr="0020382C" w:rsidRDefault="008C5758" w:rsidP="004561B1">
      <w:pPr>
        <w:pStyle w:val="Headingb"/>
        <w:rPr>
          <w:lang w:val="ru-RU"/>
        </w:rPr>
      </w:pPr>
      <w:bookmarkStart w:id="41" w:name="_Toc202790150"/>
      <w:bookmarkStart w:id="42" w:name="_Toc207372991"/>
      <w:r w:rsidRPr="0020382C">
        <w:rPr>
          <w:lang w:val="ru-RU"/>
        </w:rPr>
        <w:t>Ориентирование сотрудничества на результаты</w:t>
      </w:r>
      <w:bookmarkEnd w:id="41"/>
      <w:bookmarkEnd w:id="42"/>
    </w:p>
    <w:p w14:paraId="1A34D66B" w14:textId="77777777" w:rsidR="008C5758" w:rsidRPr="0020382C" w:rsidRDefault="008C5758" w:rsidP="004561B1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Следует использовать региональные и международные партнерства для решения общих задач и реализации приоритетов, от координации использования спектра и кибербезопасности до управления в сфере ИИ с учетом принятых нормативных положений и принципов. Рекомендуется отдавать приоритет совместным действиям, регуляторным экспериментальным средам и мерам по обеспечению соблюдения правил, которые приносят реальный результат для потребителей, а не только официальным соглашениям и ресурсам соответственно.</w:t>
      </w:r>
    </w:p>
    <w:p w14:paraId="7812964B" w14:textId="77777777" w:rsidR="008C5758" w:rsidRPr="0020382C" w:rsidRDefault="008C5758" w:rsidP="004561B1">
      <w:pPr>
        <w:pStyle w:val="Headingb"/>
        <w:rPr>
          <w:lang w:val="ru-RU"/>
        </w:rPr>
      </w:pPr>
      <w:bookmarkStart w:id="43" w:name="_Toc202790151"/>
      <w:bookmarkStart w:id="44" w:name="_Toc207372992"/>
      <w:r w:rsidRPr="0020382C">
        <w:rPr>
          <w:lang w:val="ru-RU"/>
        </w:rPr>
        <w:t>Содействие регуляторной совместимости в соответствующих случаях</w:t>
      </w:r>
      <w:bookmarkEnd w:id="43"/>
      <w:bookmarkEnd w:id="44"/>
    </w:p>
    <w:p w14:paraId="7C1CA9C3" w14:textId="77777777" w:rsidR="008C5758" w:rsidRPr="0020382C" w:rsidRDefault="008C5758" w:rsidP="004561B1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Важно содействовать согласованию в таких сферах, как цифровая торговля, этика ИИ и защита данных, посредством обеспечения единых базовых показателей и принципов с учетом существующих или принятых глобальных и региональных принципов и рекомендаций при условии реализации явных мер защиты внутренней регуляторной среды. Общие принципы политики и согласованное планирование помогают сбалансировать функциональную совместимость и суверенитет.</w:t>
      </w:r>
    </w:p>
    <w:p w14:paraId="72A99B0B" w14:textId="77777777" w:rsidR="008C5758" w:rsidRPr="0020382C" w:rsidRDefault="008C5758" w:rsidP="004561B1">
      <w:pPr>
        <w:pStyle w:val="Headingb"/>
        <w:rPr>
          <w:lang w:val="ru-RU"/>
        </w:rPr>
      </w:pPr>
      <w:bookmarkStart w:id="45" w:name="_Toc202790152"/>
      <w:bookmarkStart w:id="46" w:name="_Toc207372993"/>
      <w:r w:rsidRPr="0020382C">
        <w:rPr>
          <w:lang w:val="ru-RU"/>
        </w:rPr>
        <w:t>Создание общей инфраструктуры обучения</w:t>
      </w:r>
      <w:bookmarkEnd w:id="45"/>
      <w:bookmarkEnd w:id="46"/>
    </w:p>
    <w:p w14:paraId="6FADE2EA" w14:textId="77777777" w:rsidR="008C5758" w:rsidRPr="0020382C" w:rsidRDefault="008C5758" w:rsidP="004561B1">
      <w:pPr>
        <w:rPr>
          <w:rFonts w:cs="Calibri"/>
          <w:szCs w:val="23"/>
          <w:lang w:val="ru-RU"/>
        </w:rPr>
      </w:pPr>
      <w:r w:rsidRPr="0020382C">
        <w:rPr>
          <w:lang w:val="ru-RU"/>
        </w:rPr>
        <w:t>Важно создавать механизмы для обмена примерами передового опыта, например сообщества специалистов-практиков, платформы совместной профессиональной подготовки и схемы наставничества. Необходимо использовать страновой опыт в области экспериментов и инноваций для поддержки усовершенствований в регуляторной среде, которые могут быть адаптированы к различным рынкам и контекстам. Рекомендуется поддерживать инструменты открытого доступа к знаниям, которые могут быть адаптированы к местным условиям и повторно использованы другими регуляторными органами.</w:t>
      </w:r>
    </w:p>
    <w:p w14:paraId="7CE716D4" w14:textId="77777777" w:rsidR="008C5758" w:rsidRPr="0020382C" w:rsidRDefault="008C5758" w:rsidP="004561B1">
      <w:pPr>
        <w:pStyle w:val="Headingb"/>
        <w:rPr>
          <w:lang w:val="ru-RU"/>
        </w:rPr>
      </w:pPr>
      <w:bookmarkStart w:id="47" w:name="_Toc202790153"/>
      <w:bookmarkStart w:id="48" w:name="_Toc207372994"/>
      <w:r w:rsidRPr="0020382C">
        <w:rPr>
          <w:lang w:val="ru-RU"/>
        </w:rPr>
        <w:t>Координация данных, инструментов и стандартов</w:t>
      </w:r>
      <w:bookmarkEnd w:id="47"/>
      <w:bookmarkEnd w:id="48"/>
    </w:p>
    <w:p w14:paraId="4863AB8A" w14:textId="77777777" w:rsidR="008C5758" w:rsidRPr="0020382C" w:rsidRDefault="008C5758" w:rsidP="004561B1">
      <w:pPr>
        <w:rPr>
          <w:lang w:val="ru-RU"/>
        </w:rPr>
      </w:pPr>
      <w:r w:rsidRPr="0020382C">
        <w:rPr>
          <w:lang w:val="ru-RU"/>
        </w:rPr>
        <w:t xml:space="preserve">Необходимо содействовать обеспечению функциональной совместимости на этапе проектирования. Каждая страна должна самостоятельно определять подходящих партнеров: отечественные ведомства, регуляторные органы соседних стран, региональные организации и организации по стандартизации и в соответствующих случаях согласовывать регуляторные меры с использованием общих API, показателей и протоколов обмена данными. Следует рассмотреть возможность создания рамочных соглашений о сотрудничестве для обмена данными с сохранением конфиденциальности </w:t>
      </w:r>
      <w:r w:rsidRPr="0020382C">
        <w:rPr>
          <w:lang w:val="ru-RU"/>
        </w:rPr>
        <w:lastRenderedPageBreak/>
        <w:t>(например, агрегированными данными об инцидентах/производительности) в целях поддержки согласованной надзорной деятельности и реагирования на трансграничные инциденты.</w:t>
      </w:r>
    </w:p>
    <w:p w14:paraId="32B8B5F5" w14:textId="77777777" w:rsidR="008C5758" w:rsidRPr="0020382C" w:rsidRDefault="008C5758" w:rsidP="004561B1">
      <w:pPr>
        <w:pStyle w:val="Headingb"/>
        <w:rPr>
          <w:lang w:val="ru-RU"/>
        </w:rPr>
      </w:pPr>
      <w:bookmarkStart w:id="49" w:name="_Toc202790154"/>
      <w:bookmarkStart w:id="50" w:name="_Toc207372995"/>
      <w:r w:rsidRPr="0020382C">
        <w:rPr>
          <w:lang w:val="ru-RU"/>
        </w:rPr>
        <w:t>Отстаивание региональных интересов и цифрового суверенитета</w:t>
      </w:r>
      <w:bookmarkEnd w:id="49"/>
      <w:bookmarkEnd w:id="50"/>
    </w:p>
    <w:p w14:paraId="73295643" w14:textId="4C5CDBC8" w:rsidR="008C5758" w:rsidRPr="0020382C" w:rsidRDefault="008C5758" w:rsidP="004561B1">
      <w:pPr>
        <w:rPr>
          <w:lang w:val="ru-RU"/>
        </w:rPr>
      </w:pPr>
      <w:r w:rsidRPr="0020382C">
        <w:rPr>
          <w:lang w:val="ru-RU"/>
        </w:rPr>
        <w:t>Необходимо координировать действия на региональном уровне, чтобы влиять на формирующиеся международные структуры, обеспечивая адаптацию к различным национальным контекстам. Рекомендуется участвовать в работе многосторонних форумов и региональных платформ, поддерживать региональные инициативы и наращивать региональный потенциал и создавать общие механизмы для реализации общих позиций, обеспечивая сохранность сферы национальной политики.</w:t>
      </w:r>
    </w:p>
    <w:p w14:paraId="13DF3583" w14:textId="21687521" w:rsidR="008C5758" w:rsidRPr="0020382C" w:rsidRDefault="008C5758" w:rsidP="006110D9">
      <w:pPr>
        <w:pStyle w:val="Headingb"/>
        <w:rPr>
          <w:lang w:val="ru-RU"/>
        </w:rPr>
      </w:pPr>
      <w:bookmarkStart w:id="51" w:name="_Toc202790155"/>
      <w:bookmarkStart w:id="52" w:name="_Toc207372996"/>
      <w:r w:rsidRPr="0020382C">
        <w:rPr>
          <w:lang w:val="ru-RU"/>
        </w:rPr>
        <w:t>Использование регионального и международного сотрудничества для ускорения реализации национальных планов</w:t>
      </w:r>
      <w:bookmarkEnd w:id="51"/>
      <w:bookmarkEnd w:id="52"/>
    </w:p>
    <w:p w14:paraId="7514AF17" w14:textId="77777777" w:rsidR="008C5758" w:rsidRPr="0020382C" w:rsidRDefault="008C5758" w:rsidP="004561B1">
      <w:pPr>
        <w:rPr>
          <w:lang w:val="ru-RU"/>
        </w:rPr>
      </w:pPr>
      <w:r w:rsidRPr="0020382C">
        <w:rPr>
          <w:lang w:val="ru-RU"/>
        </w:rPr>
        <w:t>В зависимости от национального контекста важно сотрудничать с региональными органами, аналогичными регуляторными органами и организациями по стандартизации для обмена опытом, достижения точечного согласования в тех случаях, когда это сокращает дублирование или ускоряет внедрение (например, в области планирования спектра, обеспечения безопасности и функциональной совместимости), и мобилизации совместных возможностей для продвижения национальных регуляторных и инновационных целей. Рекомендуется интегрировать координацию в существующие структуры, формировать специализированные подразделения, содействовать трансграничному планированию и отслеживать реальное воздействие сотрудничества. Важно интегрировать системную координацию и консультации в институциональную структуру и выработку политики для поддержки при необходимости постоянного согласования между политикой, отраслями и заинтересованными сторонами.</w:t>
      </w:r>
    </w:p>
    <w:p w14:paraId="358DF0A7" w14:textId="77777777" w:rsidR="008C5758" w:rsidRPr="0020382C" w:rsidRDefault="008C5758" w:rsidP="004561B1">
      <w:pPr>
        <w:rPr>
          <w:lang w:val="ru-RU"/>
        </w:rPr>
      </w:pPr>
      <w:r w:rsidRPr="0020382C">
        <w:rPr>
          <w:lang w:val="ru-RU"/>
        </w:rPr>
        <w:t>Международным организациям следует использовать свою объединяющую силу для налаживания взаимодействия между регуляторными органами и содействия созданию возможностей для взаимного обучения, исходя из конкретных потребностей и проблем. Необходимо способствовать оптимальному использованию глобальных ресурсов, сочетая общий опыт с локализованными применениями. С помощью технологий следует поддерживать разработку инструментов обмена знаниями с открытым доступом, которые могут быть адаптированы на местном уровне и повторно использованы различными регуляторными органами, а также содействовать обеспечению функциональной совместимости на этапе проектирования посредством регуляторных систем и общепринятых показателей.</w:t>
      </w:r>
    </w:p>
    <w:p w14:paraId="215614B5" w14:textId="77777777" w:rsidR="008C5758" w:rsidRPr="0020382C" w:rsidRDefault="008C5758" w:rsidP="006110D9">
      <w:pPr>
        <w:pStyle w:val="Headingb"/>
        <w:rPr>
          <w:lang w:val="ru-RU"/>
        </w:rPr>
      </w:pPr>
      <w:bookmarkStart w:id="53" w:name="_Toc207372997"/>
      <w:r w:rsidRPr="0020382C">
        <w:rPr>
          <w:lang w:val="ru-RU"/>
        </w:rPr>
        <w:t>Содействие развитию партнерских отношений и привлечению инвестиций</w:t>
      </w:r>
      <w:bookmarkEnd w:id="53"/>
      <w:r w:rsidRPr="0020382C">
        <w:rPr>
          <w:lang w:val="ru-RU"/>
        </w:rPr>
        <w:t xml:space="preserve"> </w:t>
      </w:r>
    </w:p>
    <w:p w14:paraId="7E6515A7" w14:textId="77777777" w:rsidR="008C5758" w:rsidRPr="0020382C" w:rsidRDefault="008C5758" w:rsidP="006110D9">
      <w:pPr>
        <w:rPr>
          <w:lang w:val="ru-RU"/>
        </w:rPr>
      </w:pPr>
      <w:r w:rsidRPr="0020382C">
        <w:rPr>
          <w:lang w:val="ru-RU"/>
        </w:rPr>
        <w:t>Следует признать необходимость инновационных инвестиционных моделей для поддержки устойчивого развертывания электросвязи/ИКТ и цифровой инфраструктуры, при одновременном обеспечении равных условий для всех участников рынка и применении мер по защите конкуренции. В связи с сохраняющимися финансовыми трудностями в сельских и отдаленных районах мы призываем разрабатывать инклюзивные политические и регуляторные подходы, которые создадут благоприятную среду для формирования партнерств в рамках государственного сектора и государственно-частных партнерств, сотрудничества между различными правительственными органами и долгосрочного цифрового развития.</w:t>
      </w:r>
    </w:p>
    <w:p w14:paraId="06FCA6D3" w14:textId="77777777" w:rsidR="008C5758" w:rsidRPr="0020382C" w:rsidRDefault="008C5758" w:rsidP="004561B1">
      <w:pPr>
        <w:pStyle w:val="Heading3"/>
        <w:ind w:left="567" w:hanging="567"/>
        <w:rPr>
          <w:rFonts w:cs="Calibri"/>
          <w:szCs w:val="23"/>
          <w:lang w:val="ru-RU"/>
        </w:rPr>
      </w:pPr>
      <w:bookmarkStart w:id="54" w:name="_Toc207372998"/>
      <w:r w:rsidRPr="0020382C">
        <w:rPr>
          <w:bCs/>
          <w:lang w:val="ru-RU"/>
        </w:rPr>
        <w:t>V</w:t>
      </w:r>
      <w:r w:rsidRPr="0020382C">
        <w:rPr>
          <w:lang w:val="ru-RU"/>
        </w:rPr>
        <w:tab/>
      </w:r>
      <w:r w:rsidRPr="0020382C">
        <w:rPr>
          <w:bCs/>
          <w:lang w:val="ru-RU"/>
        </w:rPr>
        <w:t>ДАЛЬНЕЙШИЕ ДЕЙСТВИЯ</w:t>
      </w:r>
      <w:bookmarkEnd w:id="54"/>
    </w:p>
    <w:p w14:paraId="2598A992" w14:textId="77777777" w:rsidR="008C5758" w:rsidRPr="0020382C" w:rsidRDefault="008C5758" w:rsidP="004561B1">
      <w:pPr>
        <w:rPr>
          <w:rFonts w:cs="Calibri"/>
          <w:szCs w:val="23"/>
          <w:lang w:val="ru-RU"/>
        </w:rPr>
      </w:pPr>
      <w:r w:rsidRPr="0020382C">
        <w:rPr>
          <w:lang w:val="ru-RU"/>
        </w:rPr>
        <w:t xml:space="preserve">В условиях постоянных изменений и технологических потрясений регулирование может стать проводником ответственных инноваций, который содействует экономическому росту, рыночной конкуренции и обеспечению общественного блага. </w:t>
      </w:r>
      <w:r w:rsidRPr="0020382C">
        <w:rPr>
          <w:rFonts w:cs="Calibri"/>
          <w:bCs/>
          <w:szCs w:val="23"/>
          <w:lang w:val="ru-RU"/>
        </w:rPr>
        <w:t xml:space="preserve">Мы не действуем изолированно – благодаря внутренним инновациям, достаточному потенциалу и тесным партнерским отношениям внутри и между нашими рынками, мы можем </w:t>
      </w:r>
      <w:r w:rsidRPr="0020382C">
        <w:rPr>
          <w:lang w:val="ru-RU"/>
        </w:rPr>
        <w:t xml:space="preserve">перейти от установления правил к созданию экосистем. В изложенных в настоящих руководящих указаниях принципах и подходах предлагается четкий путь </w:t>
      </w:r>
      <w:r w:rsidRPr="0020382C">
        <w:rPr>
          <w:lang w:val="ru-RU"/>
        </w:rPr>
        <w:lastRenderedPageBreak/>
        <w:t>укрепления общественного доверия, поддержания особой роли регуляторных органов, защиты общественных интересов, содействия цифровому развитию, при котором никто не будет забыт, и повышения коллективной способности управлять взаимосвязанным, динамичным и взаимозависимым цифровым миром.</w:t>
      </w:r>
    </w:p>
    <w:p w14:paraId="6CAE135D" w14:textId="77777777" w:rsidR="008C5758" w:rsidRPr="0020382C" w:rsidRDefault="008C5758" w:rsidP="008847AD">
      <w:pPr>
        <w:spacing w:before="720"/>
        <w:jc w:val="center"/>
        <w:rPr>
          <w:lang w:val="ru-RU"/>
        </w:rPr>
      </w:pPr>
      <w:r w:rsidRPr="0020382C">
        <w:rPr>
          <w:lang w:val="ru-RU"/>
        </w:rPr>
        <w:t>______________</w:t>
      </w:r>
    </w:p>
    <w:sectPr w:rsidR="008C5758" w:rsidRPr="0020382C" w:rsidSect="003E322A">
      <w:headerReference w:type="default" r:id="rId8"/>
      <w:headerReference w:type="first" r:id="rId9"/>
      <w:pgSz w:w="11907" w:h="16834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42FAF" w14:textId="77777777" w:rsidR="001F4248" w:rsidRDefault="001F4248">
      <w:r>
        <w:separator/>
      </w:r>
    </w:p>
  </w:endnote>
  <w:endnote w:type="continuationSeparator" w:id="0">
    <w:p w14:paraId="7E0EDB44" w14:textId="77777777" w:rsidR="001F4248" w:rsidRDefault="001F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CDF9" w14:textId="77777777" w:rsidR="001F4248" w:rsidRDefault="001F4248">
      <w:r>
        <w:t>____________________</w:t>
      </w:r>
    </w:p>
  </w:footnote>
  <w:footnote w:type="continuationSeparator" w:id="0">
    <w:p w14:paraId="4B963AD3" w14:textId="77777777" w:rsidR="001F4248" w:rsidRDefault="001F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87023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AB70E" w14:textId="43563496" w:rsidR="004C4383" w:rsidRDefault="004C438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68249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5D8984" w14:textId="48D264D8" w:rsidR="004C4383" w:rsidRDefault="004C438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53"/>
    <w:rsid w:val="00005BE0"/>
    <w:rsid w:val="000121D7"/>
    <w:rsid w:val="00020CF6"/>
    <w:rsid w:val="0002183E"/>
    <w:rsid w:val="000569B4"/>
    <w:rsid w:val="0006007D"/>
    <w:rsid w:val="00080E82"/>
    <w:rsid w:val="00092F1D"/>
    <w:rsid w:val="000B0682"/>
    <w:rsid w:val="000B2DE7"/>
    <w:rsid w:val="000E568E"/>
    <w:rsid w:val="0010592E"/>
    <w:rsid w:val="00123520"/>
    <w:rsid w:val="0014229E"/>
    <w:rsid w:val="0014734F"/>
    <w:rsid w:val="00156890"/>
    <w:rsid w:val="0015710D"/>
    <w:rsid w:val="0016235B"/>
    <w:rsid w:val="00163A32"/>
    <w:rsid w:val="00165D06"/>
    <w:rsid w:val="00192B41"/>
    <w:rsid w:val="001B7B09"/>
    <w:rsid w:val="001E6719"/>
    <w:rsid w:val="001E7F50"/>
    <w:rsid w:val="001F4248"/>
    <w:rsid w:val="0020382C"/>
    <w:rsid w:val="002134EB"/>
    <w:rsid w:val="00222178"/>
    <w:rsid w:val="00223DCD"/>
    <w:rsid w:val="00225368"/>
    <w:rsid w:val="00227FF0"/>
    <w:rsid w:val="00291EB6"/>
    <w:rsid w:val="002C3F32"/>
    <w:rsid w:val="002D2F57"/>
    <w:rsid w:val="002D48C5"/>
    <w:rsid w:val="002F5DFA"/>
    <w:rsid w:val="003076CD"/>
    <w:rsid w:val="0033025A"/>
    <w:rsid w:val="00345D2A"/>
    <w:rsid w:val="003471F2"/>
    <w:rsid w:val="00351E5D"/>
    <w:rsid w:val="00357011"/>
    <w:rsid w:val="003E322A"/>
    <w:rsid w:val="003F0424"/>
    <w:rsid w:val="003F099E"/>
    <w:rsid w:val="003F235E"/>
    <w:rsid w:val="00401FD7"/>
    <w:rsid w:val="004023E0"/>
    <w:rsid w:val="00403DD8"/>
    <w:rsid w:val="00442515"/>
    <w:rsid w:val="004561B1"/>
    <w:rsid w:val="0045686C"/>
    <w:rsid w:val="004918C4"/>
    <w:rsid w:val="00497703"/>
    <w:rsid w:val="004A0374"/>
    <w:rsid w:val="004A45B5"/>
    <w:rsid w:val="004C4383"/>
    <w:rsid w:val="004D0129"/>
    <w:rsid w:val="00515795"/>
    <w:rsid w:val="00522AE3"/>
    <w:rsid w:val="00532202"/>
    <w:rsid w:val="00545342"/>
    <w:rsid w:val="00555BE1"/>
    <w:rsid w:val="005A64D5"/>
    <w:rsid w:val="005B3DEC"/>
    <w:rsid w:val="005D32B6"/>
    <w:rsid w:val="00601994"/>
    <w:rsid w:val="00660449"/>
    <w:rsid w:val="00672F8A"/>
    <w:rsid w:val="006902ED"/>
    <w:rsid w:val="00694B1C"/>
    <w:rsid w:val="006E2D42"/>
    <w:rsid w:val="00703676"/>
    <w:rsid w:val="00707304"/>
    <w:rsid w:val="00720BE9"/>
    <w:rsid w:val="00732269"/>
    <w:rsid w:val="00734068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57187"/>
    <w:rsid w:val="008847AD"/>
    <w:rsid w:val="008B5044"/>
    <w:rsid w:val="008B5421"/>
    <w:rsid w:val="008B62B4"/>
    <w:rsid w:val="008C2194"/>
    <w:rsid w:val="008C5758"/>
    <w:rsid w:val="008D2D7B"/>
    <w:rsid w:val="008E0737"/>
    <w:rsid w:val="008F0175"/>
    <w:rsid w:val="008F7C2C"/>
    <w:rsid w:val="00940E96"/>
    <w:rsid w:val="00950A82"/>
    <w:rsid w:val="009A5E32"/>
    <w:rsid w:val="009B0BAE"/>
    <w:rsid w:val="009C1C89"/>
    <w:rsid w:val="009F1A54"/>
    <w:rsid w:val="009F3448"/>
    <w:rsid w:val="00A01CF9"/>
    <w:rsid w:val="00A20B63"/>
    <w:rsid w:val="00A25E55"/>
    <w:rsid w:val="00A616EB"/>
    <w:rsid w:val="00A71773"/>
    <w:rsid w:val="00A9068A"/>
    <w:rsid w:val="00AE2C85"/>
    <w:rsid w:val="00B0107F"/>
    <w:rsid w:val="00B11755"/>
    <w:rsid w:val="00B12A37"/>
    <w:rsid w:val="00B37161"/>
    <w:rsid w:val="00B41837"/>
    <w:rsid w:val="00B63EF2"/>
    <w:rsid w:val="00B758D4"/>
    <w:rsid w:val="00B766D8"/>
    <w:rsid w:val="00BA7D89"/>
    <w:rsid w:val="00BC0D39"/>
    <w:rsid w:val="00BC7BC0"/>
    <w:rsid w:val="00BD34D5"/>
    <w:rsid w:val="00BD57B7"/>
    <w:rsid w:val="00BE63E2"/>
    <w:rsid w:val="00C005AD"/>
    <w:rsid w:val="00C3283C"/>
    <w:rsid w:val="00C462C5"/>
    <w:rsid w:val="00CA6EB5"/>
    <w:rsid w:val="00CD2009"/>
    <w:rsid w:val="00CF629C"/>
    <w:rsid w:val="00D631AA"/>
    <w:rsid w:val="00D92EEA"/>
    <w:rsid w:val="00D93FB6"/>
    <w:rsid w:val="00DA5D4E"/>
    <w:rsid w:val="00DA770A"/>
    <w:rsid w:val="00DB5C16"/>
    <w:rsid w:val="00E04A03"/>
    <w:rsid w:val="00E05752"/>
    <w:rsid w:val="00E176BA"/>
    <w:rsid w:val="00E35C8D"/>
    <w:rsid w:val="00E423EC"/>
    <w:rsid w:val="00E55121"/>
    <w:rsid w:val="00E57892"/>
    <w:rsid w:val="00E61553"/>
    <w:rsid w:val="00EB4FCB"/>
    <w:rsid w:val="00EC6BC5"/>
    <w:rsid w:val="00ED4028"/>
    <w:rsid w:val="00F023A8"/>
    <w:rsid w:val="00F348D0"/>
    <w:rsid w:val="00F35898"/>
    <w:rsid w:val="00F5225B"/>
    <w:rsid w:val="00F9132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4FB3B"/>
  <w15:docId w15:val="{89BE7C9F-EB5E-492B-8EED-EC649E7A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83C"/>
    <w:pPr>
      <w:spacing w:after="120"/>
    </w:pPr>
    <w:rPr>
      <w:rFonts w:asciiTheme="minorHAnsi" w:eastAsiaTheme="minorHAnsi" w:hAnsiTheme="minorHAnsi" w:cstheme="minorBidi"/>
      <w:kern w:val="2"/>
      <w:sz w:val="22"/>
      <w:szCs w:val="24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62555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uiPriority w:val="39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left" w:pos="5954"/>
        <w:tab w:val="right" w:pos="9639"/>
      </w:tabs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227FF0"/>
    <w:pPr>
      <w:tabs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left" w:pos="1134"/>
      </w:tabs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right" w:pos="1531"/>
        <w:tab w:val="left" w:pos="170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E61553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1553"/>
    <w:rPr>
      <w:rFonts w:asciiTheme="minorHAnsi" w:hAnsiTheme="minorHAnsi"/>
      <w:b/>
      <w:sz w:val="22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61553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3F0424"/>
    <w:rPr>
      <w:rFonts w:asciiTheme="minorHAnsi" w:eastAsiaTheme="minorHAnsi" w:hAnsiTheme="minorHAnsi" w:cstheme="minorBidi"/>
      <w:kern w:val="2"/>
      <w:sz w:val="22"/>
      <w:szCs w:val="24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E848-B9E2-40FB-9A16-4A77C34C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3</TotalTime>
  <Pages>7</Pages>
  <Words>2403</Words>
  <Characters>19047</Characters>
  <Application>Microsoft Office Word</Application>
  <DocSecurity>0</DocSecurity>
  <Lines>158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21408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SV</dc:creator>
  <cp:keywords>C2024, C24, Council-24</cp:keywords>
  <dc:description/>
  <cp:lastModifiedBy>Conde, Tamaiti</cp:lastModifiedBy>
  <cp:revision>4</cp:revision>
  <cp:lastPrinted>2006-03-28T16:12:00Z</cp:lastPrinted>
  <dcterms:created xsi:type="dcterms:W3CDTF">2025-08-29T13:24:00Z</dcterms:created>
  <dcterms:modified xsi:type="dcterms:W3CDTF">2025-08-30T08:10:00Z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