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BACB" w14:textId="7377AF26" w:rsidR="00442586" w:rsidRPr="005530F1" w:rsidRDefault="00442586" w:rsidP="00F05CAE">
      <w:pPr>
        <w:rPr>
          <w:rFonts w:eastAsia="STKaiti" w:cstheme="minorHAnsi"/>
          <w:lang w:val="en-US" w:eastAsia="zh-CN"/>
        </w:rPr>
      </w:pPr>
      <w:r w:rsidRPr="00442586">
        <w:rPr>
          <w:rFonts w:eastAsia="STKaiti" w:cstheme="minorHAnsi" w:hint="eastAsia"/>
          <w:lang w:val="en-US" w:eastAsia="zh-CN"/>
        </w:rPr>
        <w:t>草案</w:t>
      </w:r>
      <w:r w:rsidRPr="00442586">
        <w:rPr>
          <w:rFonts w:eastAsia="STKaiti" w:cstheme="minorHAnsi" w:hint="eastAsia"/>
          <w:lang w:val="en-US" w:eastAsia="zh-CN"/>
        </w:rPr>
        <w:t xml:space="preserve">2 </w:t>
      </w:r>
      <w:r w:rsidRPr="00442586">
        <w:rPr>
          <w:rFonts w:eastAsia="STKaiti" w:cstheme="minorHAnsi" w:hint="eastAsia"/>
          <w:lang w:val="en-US" w:eastAsia="zh-CN"/>
        </w:rPr>
        <w:t>–</w:t>
      </w:r>
      <w:r w:rsidRPr="00442586">
        <w:rPr>
          <w:rFonts w:eastAsia="STKaiti" w:cstheme="minorHAnsi" w:hint="eastAsia"/>
          <w:lang w:val="en-US" w:eastAsia="zh-CN"/>
        </w:rPr>
        <w:t xml:space="preserve"> GSR-25</w:t>
      </w:r>
      <w:r w:rsidRPr="00442586">
        <w:rPr>
          <w:rFonts w:eastAsia="STKaiti" w:cstheme="minorHAnsi" w:hint="eastAsia"/>
          <w:lang w:val="en-US" w:eastAsia="zh-CN"/>
        </w:rPr>
        <w:t>最佳做法导则</w:t>
      </w:r>
    </w:p>
    <w:p w14:paraId="68A2333B" w14:textId="77777777" w:rsidR="00A50A68" w:rsidRDefault="00A50A68" w:rsidP="00F05CAE">
      <w:pPr>
        <w:rPr>
          <w:rFonts w:ascii="SimSun" w:hAnsi="SimSun"/>
          <w:b/>
          <w:bCs/>
          <w:sz w:val="28"/>
          <w:szCs w:val="28"/>
          <w:lang w:val="en-US" w:eastAsia="zh-CN"/>
        </w:rPr>
      </w:pPr>
      <w:r>
        <w:rPr>
          <w:rFonts w:ascii="SimSun" w:hAnsi="SimSun" w:hint="eastAsia"/>
          <w:b/>
          <w:bCs/>
          <w:sz w:val="28"/>
          <w:szCs w:val="28"/>
          <w:lang w:eastAsia="zh-CN"/>
        </w:rPr>
        <w:t>赋能监管机构成为数字生态系统建设者</w:t>
      </w:r>
    </w:p>
    <w:p w14:paraId="319441A4" w14:textId="77777777" w:rsidR="00A50A68" w:rsidRDefault="00A50A68" w:rsidP="005530F1">
      <w:pPr>
        <w:ind w:firstLineChars="200" w:firstLine="480"/>
        <w:rPr>
          <w:rFonts w:ascii="Calibri" w:hAnsi="Calibri"/>
          <w:sz w:val="23"/>
          <w:szCs w:val="23"/>
          <w:lang w:val="en-GB" w:eastAsia="zh-CN"/>
        </w:rPr>
      </w:pPr>
      <w:r>
        <w:rPr>
          <w:rFonts w:ascii="SimSun" w:hAnsi="SimSun" w:hint="eastAsia"/>
          <w:szCs w:val="23"/>
          <w:lang w:eastAsia="zh-CN"/>
        </w:rPr>
        <w:t>随着数字技术改变社会联系、开展贸易、学习、治理的方式</w:t>
      </w:r>
      <w:r w:rsidRPr="00442586">
        <w:rPr>
          <w:rFonts w:ascii="SimSun" w:hAnsi="SimSun" w:hint="eastAsia"/>
          <w:szCs w:val="23"/>
          <w:lang w:val="en-US" w:eastAsia="zh-CN"/>
        </w:rPr>
        <w:t>，</w:t>
      </w:r>
      <w:r>
        <w:rPr>
          <w:rFonts w:ascii="SimSun" w:hAnsi="SimSun" w:hint="eastAsia"/>
          <w:szCs w:val="23"/>
          <w:lang w:eastAsia="zh-CN"/>
        </w:rPr>
        <w:t>电信</w:t>
      </w:r>
      <w:r w:rsidRPr="00442586">
        <w:rPr>
          <w:rFonts w:ascii="SimSun" w:hAnsi="SimSun" w:hint="eastAsia"/>
          <w:szCs w:val="23"/>
          <w:lang w:val="en-US" w:eastAsia="zh-CN"/>
        </w:rPr>
        <w:t>/</w:t>
      </w:r>
      <w:r w:rsidRPr="00442586">
        <w:rPr>
          <w:rFonts w:hint="eastAsia"/>
          <w:szCs w:val="23"/>
          <w:lang w:val="en-US" w:eastAsia="zh-CN"/>
        </w:rPr>
        <w:t>ICT</w:t>
      </w:r>
      <w:r>
        <w:rPr>
          <w:rFonts w:ascii="SimSun" w:hAnsi="SimSun" w:hint="eastAsia"/>
          <w:szCs w:val="23"/>
          <w:lang w:eastAsia="zh-CN"/>
        </w:rPr>
        <w:t>监管机构肩负的责任不仅仅是监管市场。他们必须调整，将创新置于机构使命的核心，并协助构建具有复原力以及面向未来的数字生态系统。这一转型要求在监管方式和思维方式上不断演进，采用新工具，并深化</w:t>
      </w:r>
      <w:r>
        <w:rPr>
          <w:rFonts w:hint="eastAsia"/>
          <w:szCs w:val="23"/>
          <w:lang w:eastAsia="zh-CN"/>
        </w:rPr>
        <w:t>跨行业和跨国界的协作。</w:t>
      </w:r>
    </w:p>
    <w:p w14:paraId="1FA6F6F0" w14:textId="21D1E625" w:rsidR="00A50A68" w:rsidRDefault="00A50A68" w:rsidP="005530F1">
      <w:pPr>
        <w:ind w:firstLineChars="200" w:firstLine="480"/>
        <w:rPr>
          <w:szCs w:val="23"/>
          <w:lang w:eastAsia="zh-CN"/>
        </w:rPr>
      </w:pPr>
      <w:r>
        <w:rPr>
          <w:rFonts w:hint="eastAsia"/>
          <w:szCs w:val="23"/>
          <w:lang w:eastAsia="zh-CN"/>
        </w:rPr>
        <w:t>二十年来</w:t>
      </w:r>
      <w:r w:rsidRPr="00442586">
        <w:rPr>
          <w:rFonts w:hint="eastAsia"/>
          <w:szCs w:val="23"/>
          <w:lang w:val="en-GB" w:eastAsia="zh-CN"/>
        </w:rPr>
        <w:t>，</w:t>
      </w:r>
      <w:r w:rsidRPr="00442586">
        <w:rPr>
          <w:rFonts w:hint="eastAsia"/>
          <w:szCs w:val="23"/>
          <w:lang w:val="en-GB" w:eastAsia="zh-CN"/>
        </w:rPr>
        <w:t>GSR</w:t>
      </w:r>
      <w:r>
        <w:rPr>
          <w:rFonts w:hint="eastAsia"/>
          <w:szCs w:val="23"/>
          <w:lang w:eastAsia="zh-CN"/>
        </w:rPr>
        <w:t>最佳做法导则帮助制定了合理的监管原则并营造了有利的环境。在此基础上，我们</w:t>
      </w:r>
      <w:r>
        <w:rPr>
          <w:rFonts w:hint="eastAsia"/>
          <w:szCs w:val="23"/>
          <w:lang w:eastAsia="zh-CN"/>
        </w:rPr>
        <w:t xml:space="preserve"> </w:t>
      </w:r>
      <w:r w:rsidR="00003E17" w:rsidRPr="00003E17">
        <w:rPr>
          <w:szCs w:val="23"/>
          <w:lang w:eastAsia="zh-CN"/>
        </w:rPr>
        <w:t>–</w:t>
      </w:r>
      <w:r>
        <w:rPr>
          <w:rFonts w:hint="eastAsia"/>
          <w:szCs w:val="23"/>
          <w:lang w:eastAsia="zh-CN"/>
        </w:rPr>
        <w:t xml:space="preserve"> </w:t>
      </w:r>
      <w:r>
        <w:rPr>
          <w:rFonts w:hint="eastAsia"/>
          <w:szCs w:val="23"/>
          <w:lang w:eastAsia="zh-CN"/>
        </w:rPr>
        <w:t>出席</w:t>
      </w:r>
      <w:r>
        <w:rPr>
          <w:rFonts w:hint="eastAsia"/>
          <w:szCs w:val="23"/>
          <w:lang w:eastAsia="zh-CN"/>
        </w:rPr>
        <w:t>2025</w:t>
      </w:r>
      <w:r>
        <w:rPr>
          <w:rFonts w:hint="eastAsia"/>
          <w:szCs w:val="23"/>
          <w:lang w:eastAsia="zh-CN"/>
        </w:rPr>
        <w:t>年全球监管机构专题研讨会的监管机构</w:t>
      </w:r>
      <w:r>
        <w:rPr>
          <w:rFonts w:hint="eastAsia"/>
          <w:szCs w:val="23"/>
          <w:lang w:eastAsia="zh-CN"/>
        </w:rPr>
        <w:t xml:space="preserve"> </w:t>
      </w:r>
      <w:r w:rsidR="0004799B" w:rsidRPr="0004799B">
        <w:rPr>
          <w:szCs w:val="23"/>
          <w:lang w:eastAsia="zh-CN"/>
        </w:rPr>
        <w:t>–</w:t>
      </w:r>
      <w:r>
        <w:rPr>
          <w:rFonts w:hint="eastAsia"/>
          <w:szCs w:val="23"/>
          <w:lang w:eastAsia="zh-CN"/>
        </w:rPr>
        <w:t xml:space="preserve"> </w:t>
      </w:r>
      <w:r>
        <w:rPr>
          <w:rFonts w:hint="eastAsia"/>
          <w:szCs w:val="23"/>
          <w:lang w:eastAsia="zh-CN"/>
        </w:rPr>
        <w:t>认识到这一变革的节奏和我们做出响应的紧迫性。应对当今的挑战并为未来做好准备，要求监管机构重新审视我们作为数字生态系统建设者的角色：召集合作伙伴，统一规则和激励措施，开放共享数据和基础设施，利用证据和测试建立包容、可信的数字市场。</w:t>
      </w:r>
    </w:p>
    <w:p w14:paraId="635C1E2A" w14:textId="77777777" w:rsidR="00A50A68" w:rsidRDefault="00A50A68" w:rsidP="005530F1">
      <w:pPr>
        <w:ind w:firstLineChars="200" w:firstLine="480"/>
        <w:rPr>
          <w:rFonts w:ascii="SimSun" w:hAnsi="SimSun"/>
          <w:szCs w:val="23"/>
          <w:lang w:eastAsia="zh-CN"/>
        </w:rPr>
      </w:pPr>
      <w:r>
        <w:rPr>
          <w:rFonts w:ascii="SimSun" w:hAnsi="SimSun" w:hint="eastAsia"/>
          <w:szCs w:val="23"/>
          <w:lang w:eastAsia="zh-CN"/>
        </w:rPr>
        <w:t>这些导则反映了我们的共同承诺：以国家经验为基础，以全球视角为指导，着眼于发挥切实可行、具有前瞻性的监管领导力，确保无人掉队。</w:t>
      </w:r>
    </w:p>
    <w:p w14:paraId="5FFE2E50" w14:textId="77777777" w:rsidR="00A50A68" w:rsidRDefault="00A50A68" w:rsidP="005530F1">
      <w:pPr>
        <w:pStyle w:val="Heading1"/>
        <w:rPr>
          <w:rFonts w:cstheme="majorBidi"/>
          <w:lang w:eastAsia="zh-CN"/>
        </w:rPr>
      </w:pPr>
      <w:bookmarkStart w:id="0" w:name="_Toc204780019"/>
      <w:proofErr w:type="gramStart"/>
      <w:r w:rsidRPr="005530F1">
        <w:rPr>
          <w:rFonts w:hint="eastAsia"/>
          <w:lang w:eastAsia="zh-CN"/>
        </w:rPr>
        <w:t>一</w:t>
      </w:r>
      <w:proofErr w:type="gramEnd"/>
      <w:r w:rsidRPr="005530F1">
        <w:rPr>
          <w:rFonts w:hint="eastAsia"/>
          <w:lang w:eastAsia="zh-CN"/>
        </w:rPr>
        <w:tab/>
      </w:r>
      <w:r w:rsidRPr="005530F1">
        <w:rPr>
          <w:rFonts w:hint="eastAsia"/>
          <w:lang w:eastAsia="zh-CN"/>
        </w:rPr>
        <w:t>促进监管方法的创新</w:t>
      </w:r>
      <w:bookmarkEnd w:id="0"/>
    </w:p>
    <w:p w14:paraId="354392F9" w14:textId="77777777" w:rsidR="00A50A68" w:rsidRPr="002012C4" w:rsidRDefault="00A50A68" w:rsidP="005530F1">
      <w:pPr>
        <w:pStyle w:val="Headingb"/>
        <w:rPr>
          <w:lang w:eastAsia="zh-CN"/>
        </w:rPr>
      </w:pPr>
      <w:bookmarkStart w:id="1" w:name="_Toc204780020"/>
      <w:r>
        <w:rPr>
          <w:rFonts w:hint="eastAsia"/>
          <w:lang w:eastAsia="zh-CN"/>
        </w:rPr>
        <w:t>使创新成为核心的监管</w:t>
      </w:r>
      <w:r>
        <w:rPr>
          <w:rFonts w:hint="eastAsia"/>
          <w:szCs w:val="23"/>
          <w:lang w:eastAsia="zh-CN"/>
        </w:rPr>
        <w:t>实践</w:t>
      </w:r>
      <w:bookmarkEnd w:id="1"/>
    </w:p>
    <w:p w14:paraId="7C6A211C" w14:textId="5654169C" w:rsidR="00A50A68" w:rsidRDefault="00A50A68" w:rsidP="005530F1">
      <w:pPr>
        <w:ind w:firstLineChars="200" w:firstLine="480"/>
        <w:rPr>
          <w:rFonts w:ascii="SimSun" w:hAnsi="SimSun"/>
          <w:szCs w:val="23"/>
          <w:lang w:eastAsia="zh-CN"/>
        </w:rPr>
      </w:pPr>
      <w:r>
        <w:rPr>
          <w:rFonts w:ascii="SimSun" w:hAnsi="SimSun" w:hint="eastAsia"/>
          <w:szCs w:val="23"/>
          <w:lang w:eastAsia="zh-CN"/>
        </w:rPr>
        <w:t>监管机构不应将创新视作附带项目，而应将其视为监管设计和实施的核心部分。通过将试点项目嵌入年度工作计划、使用监管</w:t>
      </w:r>
      <w:r w:rsidR="00C36B7A">
        <w:rPr>
          <w:rFonts w:ascii="SimSun" w:hAnsi="SimSun" w:hint="eastAsia"/>
          <w:szCs w:val="23"/>
          <w:lang w:eastAsia="zh-CN"/>
        </w:rPr>
        <w:t>沙箱</w:t>
      </w:r>
      <w:r>
        <w:rPr>
          <w:rFonts w:ascii="SimSun" w:hAnsi="SimSun" w:hint="eastAsia"/>
          <w:szCs w:val="23"/>
          <w:lang w:eastAsia="zh-CN"/>
        </w:rPr>
        <w:t>，并在全面部署前测试轻度监管规则，使试验制度化。为从失败中学习留出空间，认识到并非每次创新都能成功，但每一次尝试都能带来宝贵的见解，从而完善未来的监管方法。</w:t>
      </w:r>
    </w:p>
    <w:p w14:paraId="0E853A64" w14:textId="77777777" w:rsidR="00A50A68" w:rsidRDefault="00A50A68" w:rsidP="005530F1">
      <w:pPr>
        <w:pStyle w:val="Headingb"/>
        <w:rPr>
          <w:rFonts w:cstheme="majorBidi"/>
          <w:szCs w:val="32"/>
          <w:lang w:eastAsia="zh-CN"/>
        </w:rPr>
      </w:pPr>
      <w:bookmarkStart w:id="2" w:name="_Toc204780021"/>
      <w:r>
        <w:rPr>
          <w:rFonts w:hint="eastAsia"/>
          <w:lang w:eastAsia="zh-CN"/>
        </w:rPr>
        <w:t>培养面向未来的技能和思维方式</w:t>
      </w:r>
      <w:bookmarkEnd w:id="2"/>
    </w:p>
    <w:p w14:paraId="281DD4B0" w14:textId="77777777" w:rsidR="00A50A68" w:rsidRDefault="00A50A68" w:rsidP="005530F1">
      <w:pPr>
        <w:ind w:firstLineChars="200" w:firstLine="480"/>
        <w:rPr>
          <w:rFonts w:ascii="SimSun" w:hAnsi="SimSun"/>
          <w:szCs w:val="23"/>
          <w:lang w:eastAsia="zh-CN"/>
        </w:rPr>
      </w:pPr>
      <w:r>
        <w:rPr>
          <w:rFonts w:ascii="SimSun" w:hAnsi="SimSun" w:hint="eastAsia"/>
          <w:szCs w:val="23"/>
          <w:lang w:eastAsia="zh-CN"/>
        </w:rPr>
        <w:t>除了在电信/</w:t>
      </w:r>
      <w:r>
        <w:rPr>
          <w:rFonts w:hint="eastAsia"/>
          <w:szCs w:val="23"/>
          <w:lang w:eastAsia="zh-CN"/>
        </w:rPr>
        <w:t>ICT</w:t>
      </w:r>
      <w:r>
        <w:rPr>
          <w:rFonts w:ascii="SimSun" w:hAnsi="SimSun" w:hint="eastAsia"/>
          <w:szCs w:val="23"/>
          <w:lang w:eastAsia="zh-CN"/>
        </w:rPr>
        <w:t>、数字、新兴技术（如人工智能（</w:t>
      </w:r>
      <w:r>
        <w:rPr>
          <w:rFonts w:hint="eastAsia"/>
          <w:szCs w:val="23"/>
          <w:lang w:eastAsia="zh-CN"/>
        </w:rPr>
        <w:t>AI</w:t>
      </w:r>
      <w:r>
        <w:rPr>
          <w:rFonts w:ascii="SimSun" w:hAnsi="SimSun" w:hint="eastAsia"/>
          <w:szCs w:val="23"/>
          <w:lang w:eastAsia="zh-CN"/>
        </w:rPr>
        <w:t>）、物联网、空间和卫星业务及量子技术）、区块链和高级网络安全框架方面的技术知识外，监管机构还需要通过实用、循证的方法加以实施的政策原型设计、行为洞察力和系统思维方面的技能。通过支持为员工提供持续的同行互学机会并将跨学科协作纳入机构日常工作，培育敏捷、适应未来的监管文化。</w:t>
      </w:r>
    </w:p>
    <w:p w14:paraId="1B752CEC" w14:textId="77777777" w:rsidR="00A50A68" w:rsidRDefault="00A50A68" w:rsidP="002012C4">
      <w:pPr>
        <w:pStyle w:val="Headingb"/>
        <w:rPr>
          <w:rFonts w:cstheme="majorBidi"/>
          <w:szCs w:val="32"/>
          <w:lang w:eastAsia="zh-CN"/>
        </w:rPr>
      </w:pPr>
      <w:bookmarkStart w:id="3" w:name="_Toc204780022"/>
      <w:r>
        <w:rPr>
          <w:rFonts w:hint="eastAsia"/>
          <w:lang w:eastAsia="zh-CN"/>
        </w:rPr>
        <w:t>实现灵活和富有远见的监管</w:t>
      </w:r>
      <w:bookmarkEnd w:id="3"/>
    </w:p>
    <w:p w14:paraId="79490A0F" w14:textId="77777777" w:rsidR="00A50A68" w:rsidRDefault="00A50A68" w:rsidP="005530F1">
      <w:pPr>
        <w:ind w:firstLineChars="200" w:firstLine="480"/>
        <w:rPr>
          <w:rFonts w:ascii="SimSun" w:hAnsi="SimSun"/>
          <w:szCs w:val="23"/>
          <w:lang w:eastAsia="zh-CN"/>
        </w:rPr>
      </w:pPr>
      <w:r>
        <w:rPr>
          <w:rFonts w:ascii="SimSun" w:hAnsi="SimSun" w:hint="eastAsia"/>
          <w:szCs w:val="23"/>
          <w:lang w:eastAsia="zh-CN"/>
        </w:rPr>
        <w:t>实施灵活的框架，例如基于成果或基于原则的监管、并酌情考虑诸如分级许可和日落条款等安排，实现因地制宜的监管响应，以适应技术和市场的发展。使用数据、战略远见、水平扫描和预测框架（包括能够及时采取行动的场景、早期预警指标和预先商定的触发因素），来更好地识别出新风险和新机遇，从而引导创新，而不是简单地被动应对。</w:t>
      </w:r>
      <w:r w:rsidRPr="00C36B7A">
        <w:rPr>
          <w:rFonts w:ascii="SimSun" w:hAnsi="SimSun" w:hint="eastAsia"/>
          <w:szCs w:val="23"/>
          <w:lang w:eastAsia="zh-CN"/>
        </w:rPr>
        <w:t>利用频谱和空间技术作为创新平台。</w:t>
      </w:r>
    </w:p>
    <w:p w14:paraId="0213E7BA" w14:textId="77777777" w:rsidR="00A50A68" w:rsidRDefault="00A50A68" w:rsidP="002012C4">
      <w:pPr>
        <w:pStyle w:val="Headingb"/>
        <w:rPr>
          <w:rFonts w:cstheme="majorBidi"/>
          <w:szCs w:val="32"/>
          <w:lang w:eastAsia="zh-CN"/>
        </w:rPr>
      </w:pPr>
      <w:bookmarkStart w:id="4" w:name="_Toc204780023"/>
      <w:r>
        <w:rPr>
          <w:rFonts w:hint="eastAsia"/>
          <w:lang w:eastAsia="zh-CN"/>
        </w:rPr>
        <w:t>协作创新</w:t>
      </w:r>
      <w:bookmarkEnd w:id="4"/>
    </w:p>
    <w:p w14:paraId="50AD6ADD" w14:textId="77777777" w:rsidR="00A50A68" w:rsidRDefault="00A50A68" w:rsidP="002012C4">
      <w:pPr>
        <w:ind w:firstLineChars="200" w:firstLine="480"/>
        <w:rPr>
          <w:rFonts w:ascii="Calibri" w:eastAsiaTheme="minorEastAsia" w:hAnsi="Calibri"/>
          <w:szCs w:val="23"/>
          <w:lang w:eastAsia="zh-CN"/>
        </w:rPr>
      </w:pPr>
      <w:r>
        <w:rPr>
          <w:rFonts w:ascii="SimSun" w:hAnsi="SimSun" w:hint="eastAsia"/>
          <w:szCs w:val="23"/>
          <w:lang w:eastAsia="zh-CN"/>
        </w:rPr>
        <w:t>将利益攸关方的参与范围从一次性磋商扩大到与各部委、市场参与者、学术界和各行各业的民间团体建立持续解决问题的伙伴关系。共同创造的解决方案允许不同参与者的经验多样化，以共同为最佳和适应性解决方案提供信息，建立合法性和所有权共享，并改善合</w:t>
      </w:r>
      <w:proofErr w:type="gramStart"/>
      <w:r>
        <w:rPr>
          <w:rFonts w:ascii="SimSun" w:hAnsi="SimSun" w:hint="eastAsia"/>
          <w:szCs w:val="23"/>
          <w:lang w:eastAsia="zh-CN"/>
        </w:rPr>
        <w:t>规</w:t>
      </w:r>
      <w:proofErr w:type="gramEnd"/>
      <w:r>
        <w:rPr>
          <w:rFonts w:ascii="SimSun" w:hAnsi="SimSun" w:hint="eastAsia"/>
          <w:szCs w:val="23"/>
          <w:lang w:eastAsia="zh-CN"/>
        </w:rPr>
        <w:t>性和实施。通过嵌入跨部门一致性机制，统一政策并防止规则冲突。</w:t>
      </w:r>
    </w:p>
    <w:p w14:paraId="27E98525" w14:textId="77777777" w:rsidR="00A50A68" w:rsidRPr="00DC69E0" w:rsidRDefault="00A50A68" w:rsidP="00DC69E0">
      <w:pPr>
        <w:pStyle w:val="Heading1"/>
        <w:rPr>
          <w:lang w:eastAsia="zh-CN"/>
        </w:rPr>
      </w:pPr>
      <w:bookmarkStart w:id="5" w:name="_Toc204780024"/>
      <w:r w:rsidRPr="00DC69E0">
        <w:rPr>
          <w:rFonts w:hint="eastAsia"/>
          <w:lang w:eastAsia="zh-CN"/>
        </w:rPr>
        <w:lastRenderedPageBreak/>
        <w:t>二</w:t>
      </w:r>
      <w:r w:rsidRPr="00DC69E0">
        <w:rPr>
          <w:rFonts w:hint="eastAsia"/>
          <w:lang w:eastAsia="zh-CN"/>
        </w:rPr>
        <w:tab/>
      </w:r>
      <w:r w:rsidRPr="00DC69E0">
        <w:rPr>
          <w:rFonts w:hint="eastAsia"/>
          <w:lang w:eastAsia="zh-CN"/>
        </w:rPr>
        <w:t>调整并加强监管能力</w:t>
      </w:r>
      <w:bookmarkEnd w:id="5"/>
    </w:p>
    <w:p w14:paraId="44A5934A" w14:textId="77777777" w:rsidR="00A50A68" w:rsidRPr="002012C4" w:rsidRDefault="00A50A68" w:rsidP="002012C4">
      <w:pPr>
        <w:pStyle w:val="Headingb"/>
        <w:rPr>
          <w:lang w:eastAsia="zh-CN"/>
        </w:rPr>
      </w:pPr>
      <w:bookmarkStart w:id="6" w:name="_Toc204780025"/>
      <w:r>
        <w:rPr>
          <w:rFonts w:hint="eastAsia"/>
          <w:lang w:eastAsia="zh-CN"/>
        </w:rPr>
        <w:t>为监管机构赋能，以适应数字现实</w:t>
      </w:r>
      <w:bookmarkEnd w:id="6"/>
    </w:p>
    <w:p w14:paraId="1F10563A" w14:textId="77777777" w:rsidR="00A50A68" w:rsidRDefault="00A50A68" w:rsidP="002012C4">
      <w:pPr>
        <w:ind w:firstLineChars="200" w:firstLine="480"/>
        <w:rPr>
          <w:rFonts w:ascii="Calibri" w:eastAsiaTheme="minorEastAsia" w:hAnsi="Calibri"/>
          <w:szCs w:val="23"/>
          <w:lang w:eastAsia="zh-CN"/>
        </w:rPr>
      </w:pPr>
      <w:r>
        <w:rPr>
          <w:rFonts w:ascii="SimSun" w:hAnsi="SimSun" w:hint="eastAsia"/>
          <w:szCs w:val="23"/>
          <w:lang w:eastAsia="zh-CN"/>
        </w:rPr>
        <w:t>我们鼓励决策机构确保监管机构的职责范围能够反映基础设施、内容与服务的融合。这可能需要对数字平台、数据治理或</w:t>
      </w:r>
      <w:r>
        <w:rPr>
          <w:rFonts w:hint="eastAsia"/>
          <w:szCs w:val="23"/>
          <w:lang w:eastAsia="zh-CN"/>
        </w:rPr>
        <w:t>AI</w:t>
      </w:r>
      <w:r>
        <w:rPr>
          <w:rFonts w:ascii="SimSun" w:hAnsi="SimSun" w:hint="eastAsia"/>
          <w:szCs w:val="23"/>
          <w:lang w:val="en-US" w:eastAsia="zh-CN"/>
        </w:rPr>
        <w:t>予以监督</w:t>
      </w:r>
      <w:r>
        <w:rPr>
          <w:rFonts w:ascii="SimSun" w:hAnsi="SimSun" w:hint="eastAsia"/>
          <w:szCs w:val="23"/>
          <w:lang w:eastAsia="zh-CN"/>
        </w:rPr>
        <w:t>，同时加强跨部门协调，以减少各自为政的情况并强化公共利益成果</w:t>
      </w:r>
      <w:r>
        <w:rPr>
          <w:rFonts w:hint="eastAsia"/>
          <w:szCs w:val="23"/>
          <w:lang w:eastAsia="zh-CN"/>
        </w:rPr>
        <w:t>。</w:t>
      </w:r>
      <w:r>
        <w:rPr>
          <w:rFonts w:ascii="SimSun" w:hAnsi="SimSun" w:hint="eastAsia"/>
          <w:szCs w:val="23"/>
          <w:lang w:eastAsia="zh-CN"/>
        </w:rPr>
        <w:t>这也要求政治、运营和财务独立，以在政治或市场周期之外实现长期规划、</w:t>
      </w:r>
      <w:proofErr w:type="gramStart"/>
      <w:r>
        <w:rPr>
          <w:rFonts w:ascii="SimSun" w:hAnsi="SimSun" w:hint="eastAsia"/>
          <w:szCs w:val="23"/>
          <w:lang w:eastAsia="zh-CN"/>
        </w:rPr>
        <w:t>公正决策</w:t>
      </w:r>
      <w:proofErr w:type="gramEnd"/>
      <w:r>
        <w:rPr>
          <w:rFonts w:ascii="SimSun" w:hAnsi="SimSun" w:hint="eastAsia"/>
          <w:szCs w:val="23"/>
          <w:lang w:eastAsia="zh-CN"/>
        </w:rPr>
        <w:t>和执法一致。</w:t>
      </w:r>
    </w:p>
    <w:p w14:paraId="50C8A877" w14:textId="77777777" w:rsidR="00A50A68" w:rsidRDefault="00A50A68" w:rsidP="002012C4">
      <w:pPr>
        <w:pStyle w:val="Headingb"/>
        <w:rPr>
          <w:rFonts w:cstheme="majorBidi"/>
          <w:szCs w:val="32"/>
          <w:lang w:eastAsia="zh-CN"/>
        </w:rPr>
      </w:pPr>
      <w:bookmarkStart w:id="7" w:name="_Toc204780026"/>
      <w:r>
        <w:rPr>
          <w:rFonts w:hint="eastAsia"/>
          <w:lang w:eastAsia="zh-CN"/>
        </w:rPr>
        <w:t>投资于战略能力</w:t>
      </w:r>
      <w:bookmarkEnd w:id="7"/>
    </w:p>
    <w:p w14:paraId="3CF3BC51" w14:textId="77777777" w:rsidR="00A50A68" w:rsidRDefault="00A50A68" w:rsidP="002012C4">
      <w:pPr>
        <w:ind w:firstLineChars="200" w:firstLine="480"/>
        <w:rPr>
          <w:rFonts w:ascii="SimSun" w:hAnsi="SimSun"/>
          <w:szCs w:val="23"/>
          <w:lang w:eastAsia="zh-CN"/>
        </w:rPr>
      </w:pPr>
      <w:r>
        <w:rPr>
          <w:rFonts w:ascii="SimSun" w:hAnsi="SimSun" w:hint="eastAsia"/>
          <w:szCs w:val="23"/>
          <w:lang w:eastAsia="zh-CN"/>
        </w:rPr>
        <w:t>不仅关注技术升级，还要确保对维持和扩大新技术工具及方法所需的人力和财务资源进行持续投入，使其成为核心监管工作的一部分。建立多学科团队，建立内部前瞻和数据分析部门，划拨资源并简化跨部门的协调。与业界、学术界和智库等利益攸关方开展合作，支持持续学习和监管情报。利用同侪技能提升和与较成熟数字市场的监管机构的联合磋商（人员交流、联合听证会），从监管和行业实践中吸取经验。</w:t>
      </w:r>
    </w:p>
    <w:p w14:paraId="6D8C3628" w14:textId="77777777" w:rsidR="00A50A68" w:rsidRDefault="00A50A68" w:rsidP="002012C4">
      <w:pPr>
        <w:pStyle w:val="Headingb"/>
        <w:rPr>
          <w:rFonts w:cstheme="majorBidi"/>
          <w:szCs w:val="32"/>
          <w:lang w:eastAsia="zh-CN"/>
        </w:rPr>
      </w:pPr>
      <w:bookmarkStart w:id="8" w:name="_Toc204780027"/>
      <w:r>
        <w:rPr>
          <w:rFonts w:hint="eastAsia"/>
          <w:lang w:eastAsia="zh-CN"/>
        </w:rPr>
        <w:t>确保决策具有包容性且有据可依</w:t>
      </w:r>
      <w:bookmarkEnd w:id="8"/>
    </w:p>
    <w:p w14:paraId="3706885B" w14:textId="77777777" w:rsidR="00A50A68" w:rsidRDefault="00A50A68" w:rsidP="002012C4">
      <w:pPr>
        <w:ind w:firstLineChars="200" w:firstLine="480"/>
        <w:rPr>
          <w:rFonts w:ascii="SimSun" w:hAnsi="SimSun"/>
          <w:szCs w:val="23"/>
          <w:lang w:eastAsia="zh-CN"/>
        </w:rPr>
      </w:pPr>
      <w:r>
        <w:rPr>
          <w:rFonts w:ascii="SimSun" w:hAnsi="SimSun" w:hint="eastAsia"/>
          <w:szCs w:val="23"/>
          <w:lang w:eastAsia="zh-CN"/>
        </w:rPr>
        <w:t>加强基于证据和风险的决策监管能力。利用新的数据源和平台、</w:t>
      </w:r>
      <w:r>
        <w:rPr>
          <w:rFonts w:hint="eastAsia"/>
          <w:szCs w:val="23"/>
          <w:lang w:eastAsia="zh-CN"/>
        </w:rPr>
        <w:t>AI</w:t>
      </w:r>
      <w:r>
        <w:rPr>
          <w:rFonts w:ascii="SimSun" w:hAnsi="SimSun" w:hint="eastAsia"/>
          <w:szCs w:val="23"/>
          <w:lang w:eastAsia="zh-CN"/>
        </w:rPr>
        <w:t>分析和利益攸关方的输入意见，为决策提供支持。通过监管影响评估将不同利益相关方（包括不同的供应商和消费者，特别是服务不足的群体和本地创新者）可能产生的不同后果纳入</w:t>
      </w:r>
      <w:proofErr w:type="gramStart"/>
      <w:r>
        <w:rPr>
          <w:rFonts w:ascii="SimSun" w:hAnsi="SimSun" w:hint="eastAsia"/>
          <w:szCs w:val="23"/>
          <w:lang w:eastAsia="zh-CN"/>
        </w:rPr>
        <w:t>考量</w:t>
      </w:r>
      <w:proofErr w:type="gramEnd"/>
      <w:r>
        <w:rPr>
          <w:rFonts w:ascii="SimSun" w:hAnsi="SimSun" w:hint="eastAsia"/>
          <w:szCs w:val="23"/>
          <w:lang w:eastAsia="zh-CN"/>
        </w:rPr>
        <w:t>，分阶段实施，并进行反复评估，以不断改进监管措施，使规则与现实情况相一致。</w:t>
      </w:r>
    </w:p>
    <w:p w14:paraId="10A9CD39" w14:textId="77777777" w:rsidR="00A50A68" w:rsidRDefault="00A50A68" w:rsidP="002012C4">
      <w:pPr>
        <w:pStyle w:val="Headingb"/>
        <w:rPr>
          <w:rFonts w:cstheme="majorBidi"/>
          <w:szCs w:val="32"/>
          <w:lang w:eastAsia="zh-CN"/>
        </w:rPr>
      </w:pPr>
      <w:bookmarkStart w:id="9" w:name="_Toc204780028"/>
      <w:r>
        <w:rPr>
          <w:rFonts w:hint="eastAsia"/>
          <w:lang w:eastAsia="zh-CN"/>
        </w:rPr>
        <w:t>使协作制度化</w:t>
      </w:r>
      <w:bookmarkEnd w:id="9"/>
    </w:p>
    <w:p w14:paraId="5D32C618" w14:textId="0A7291CB" w:rsidR="00A50A68" w:rsidRDefault="00A50A68" w:rsidP="002012C4">
      <w:pPr>
        <w:ind w:firstLineChars="200" w:firstLine="480"/>
        <w:rPr>
          <w:rFonts w:ascii="SimSun" w:hAnsi="SimSun"/>
          <w:szCs w:val="23"/>
          <w:lang w:eastAsia="zh-CN"/>
        </w:rPr>
      </w:pPr>
      <w:r>
        <w:rPr>
          <w:rFonts w:ascii="SimSun" w:hAnsi="SimSun" w:hint="eastAsia"/>
          <w:szCs w:val="23"/>
          <w:lang w:eastAsia="zh-CN"/>
        </w:rPr>
        <w:t>使监管机构利用联合任务组、共享的监管实验室和机构间工作组等形式，进行跨部门和跨辖区的协调。考虑国际电联的协作治理方式</w:t>
      </w:r>
      <w:r w:rsidR="003D3BE6" w:rsidRPr="003D3BE6">
        <w:rPr>
          <w:rFonts w:cstheme="minorHAnsi"/>
          <w:szCs w:val="23"/>
          <w:lang w:eastAsia="zh-CN"/>
        </w:rPr>
        <w:t xml:space="preserve"> </w:t>
      </w:r>
      <w:r w:rsidR="00F3690D" w:rsidRPr="006434A7">
        <w:rPr>
          <w:rFonts w:cstheme="minorHAnsi"/>
          <w:szCs w:val="23"/>
          <w:lang w:eastAsia="zh-CN"/>
        </w:rPr>
        <w:t>–</w:t>
      </w:r>
      <w:r w:rsidR="003D3BE6" w:rsidRPr="003D3BE6">
        <w:rPr>
          <w:rFonts w:cstheme="minorHAnsi"/>
          <w:szCs w:val="23"/>
          <w:lang w:eastAsia="zh-CN"/>
        </w:rPr>
        <w:t xml:space="preserve"> </w:t>
      </w:r>
      <w:r>
        <w:rPr>
          <w:rFonts w:ascii="SimSun" w:hAnsi="SimSun" w:hint="eastAsia"/>
          <w:szCs w:val="23"/>
          <w:lang w:eastAsia="zh-CN"/>
        </w:rPr>
        <w:t>结构化、透明的决策、明确的职责、共享的证据、有时限的工作计划以及公共、私人和民间团体合作伙伴之间的联合问责</w:t>
      </w:r>
      <w:r w:rsidR="006434A7" w:rsidRPr="006434A7">
        <w:rPr>
          <w:rFonts w:cstheme="minorHAnsi"/>
          <w:szCs w:val="23"/>
          <w:lang w:eastAsia="zh-CN"/>
        </w:rPr>
        <w:t xml:space="preserve"> </w:t>
      </w:r>
      <w:r w:rsidR="00F3690D" w:rsidRPr="006434A7">
        <w:rPr>
          <w:rFonts w:cstheme="minorHAnsi"/>
          <w:szCs w:val="23"/>
          <w:lang w:eastAsia="zh-CN"/>
        </w:rPr>
        <w:t>–</w:t>
      </w:r>
      <w:r w:rsidR="006434A7" w:rsidRPr="006434A7">
        <w:rPr>
          <w:rFonts w:cstheme="minorHAnsi"/>
          <w:szCs w:val="23"/>
          <w:lang w:eastAsia="zh-CN"/>
        </w:rPr>
        <w:t xml:space="preserve"> </w:t>
      </w:r>
      <w:r>
        <w:rPr>
          <w:rFonts w:ascii="SimSun" w:hAnsi="SimSun" w:hint="eastAsia"/>
          <w:szCs w:val="23"/>
          <w:lang w:eastAsia="zh-CN"/>
        </w:rPr>
        <w:t>，设计协调一致且具有适应性的措施，应对复杂生态系统的挑战。认识到监管机构相对于政府的互补和独特作用，“政府总动员”方法对于确保国家数字政策的连贯性和有效治理复杂数字生态系统越来越重要。</w:t>
      </w:r>
    </w:p>
    <w:p w14:paraId="7FE65E02" w14:textId="77777777" w:rsidR="00A50A68" w:rsidRDefault="00A50A68" w:rsidP="002012C4">
      <w:pPr>
        <w:pStyle w:val="Headingb"/>
        <w:rPr>
          <w:rFonts w:cstheme="majorBidi"/>
          <w:szCs w:val="32"/>
          <w:lang w:eastAsia="zh-CN"/>
        </w:rPr>
      </w:pPr>
      <w:bookmarkStart w:id="10" w:name="_Toc204780029"/>
      <w:r>
        <w:rPr>
          <w:rFonts w:hint="eastAsia"/>
          <w:lang w:eastAsia="zh-CN"/>
        </w:rPr>
        <w:t>利用共同与自我监管</w:t>
      </w:r>
      <w:bookmarkEnd w:id="10"/>
    </w:p>
    <w:p w14:paraId="43B16405" w14:textId="77777777" w:rsidR="00A50A68" w:rsidRDefault="00A50A68" w:rsidP="002012C4">
      <w:pPr>
        <w:ind w:firstLineChars="200" w:firstLine="480"/>
        <w:rPr>
          <w:rFonts w:ascii="Calibri" w:hAnsi="Calibri"/>
          <w:szCs w:val="23"/>
          <w:lang w:eastAsia="zh-CN"/>
        </w:rPr>
      </w:pPr>
      <w:r>
        <w:rPr>
          <w:rFonts w:hint="eastAsia"/>
          <w:szCs w:val="23"/>
          <w:lang w:eastAsia="zh-CN"/>
        </w:rPr>
        <w:t>酌情将职责委托给具有</w:t>
      </w:r>
      <w:proofErr w:type="gramStart"/>
      <w:r>
        <w:rPr>
          <w:rFonts w:hint="eastAsia"/>
          <w:szCs w:val="23"/>
          <w:lang w:eastAsia="zh-CN"/>
        </w:rPr>
        <w:t>明确问</w:t>
      </w:r>
      <w:proofErr w:type="gramEnd"/>
      <w:r>
        <w:rPr>
          <w:rFonts w:hint="eastAsia"/>
          <w:szCs w:val="23"/>
          <w:lang w:eastAsia="zh-CN"/>
        </w:rPr>
        <w:t>责机制的值得信赖的伙伴或与其共享职责。支持与专业机构、民间团体或行业参与者的共同监管</w:t>
      </w:r>
      <w:r>
        <w:rPr>
          <w:rFonts w:hint="eastAsia"/>
          <w:szCs w:val="23"/>
          <w:lang w:eastAsia="zh-CN"/>
        </w:rPr>
        <w:t xml:space="preserve"> </w:t>
      </w:r>
      <w:r w:rsidRPr="006434A7">
        <w:rPr>
          <w:rFonts w:cstheme="minorHAnsi"/>
          <w:szCs w:val="23"/>
          <w:lang w:eastAsia="zh-CN"/>
        </w:rPr>
        <w:t>–</w:t>
      </w:r>
      <w:r>
        <w:rPr>
          <w:rFonts w:hint="eastAsia"/>
          <w:szCs w:val="23"/>
          <w:lang w:eastAsia="zh-CN"/>
        </w:rPr>
        <w:t xml:space="preserve"> </w:t>
      </w:r>
      <w:r>
        <w:rPr>
          <w:rFonts w:hint="eastAsia"/>
          <w:szCs w:val="23"/>
          <w:lang w:eastAsia="zh-CN"/>
        </w:rPr>
        <w:t>尤其是在网络安全、</w:t>
      </w:r>
      <w:r>
        <w:rPr>
          <w:rFonts w:hint="eastAsia"/>
          <w:szCs w:val="23"/>
          <w:lang w:eastAsia="zh-CN"/>
        </w:rPr>
        <w:t>AI</w:t>
      </w:r>
      <w:r>
        <w:rPr>
          <w:rFonts w:hint="eastAsia"/>
          <w:szCs w:val="23"/>
          <w:lang w:eastAsia="zh-CN"/>
        </w:rPr>
        <w:t>和数据治理等快速发展的领域，在这些领域，缺乏敏捷性的模式可能会阻碍投资和创新。探索监管机构可以通过汇集和简化监管模式来减轻自身和其他机构监管负担的方法。考虑与利益攸关方共同设计的自愿机制，作为一种新的监管模式来刺激行动，同时确保主管部门保护隐私、道德责任和相关义务。</w:t>
      </w:r>
    </w:p>
    <w:p w14:paraId="0756DFDF" w14:textId="77777777" w:rsidR="00A50A68" w:rsidRDefault="00A50A68" w:rsidP="002012C4">
      <w:pPr>
        <w:pStyle w:val="Headingb"/>
        <w:rPr>
          <w:rFonts w:cstheme="majorBidi"/>
          <w:szCs w:val="32"/>
          <w:lang w:eastAsia="zh-CN"/>
        </w:rPr>
      </w:pPr>
      <w:bookmarkStart w:id="11" w:name="_Toc204780030"/>
      <w:r>
        <w:rPr>
          <w:rFonts w:hint="eastAsia"/>
          <w:lang w:eastAsia="zh-CN"/>
        </w:rPr>
        <w:t>塑造创新，实现公共价值</w:t>
      </w:r>
      <w:bookmarkEnd w:id="11"/>
    </w:p>
    <w:p w14:paraId="2AD72F80" w14:textId="77777777" w:rsidR="00A50A68" w:rsidRDefault="00A50A68" w:rsidP="002012C4">
      <w:pPr>
        <w:ind w:firstLineChars="200" w:firstLine="480"/>
        <w:rPr>
          <w:rFonts w:ascii="Calibri" w:eastAsiaTheme="minorEastAsia" w:hAnsi="Calibri"/>
          <w:lang w:eastAsia="zh-CN"/>
        </w:rPr>
      </w:pPr>
      <w:r>
        <w:rPr>
          <w:rFonts w:ascii="SimSun" w:hAnsi="SimSun" w:hint="eastAsia"/>
          <w:lang w:eastAsia="zh-CN"/>
        </w:rPr>
        <w:t>促成和引导创新，实现包容和</w:t>
      </w:r>
      <w:proofErr w:type="gramStart"/>
      <w:r>
        <w:rPr>
          <w:rFonts w:ascii="SimSun" w:hAnsi="SimSun" w:hint="eastAsia"/>
          <w:lang w:eastAsia="zh-CN"/>
        </w:rPr>
        <w:t>可</w:t>
      </w:r>
      <w:proofErr w:type="gramEnd"/>
      <w:r>
        <w:rPr>
          <w:rFonts w:ascii="SimSun" w:hAnsi="SimSun" w:hint="eastAsia"/>
          <w:lang w:eastAsia="zh-CN"/>
        </w:rPr>
        <w:t>持续的连通性以及支持社会经济发展的数字市场。将安全设计理念和包容性纳入快速发展领域的决策中。资源监管机构能够收集和分析消费者数据和结果指标，为决策提供信息，跟踪现实世界的收益，并应对新技术的不同影响。</w:t>
      </w:r>
    </w:p>
    <w:p w14:paraId="1C4611E7" w14:textId="77777777" w:rsidR="00A50A68" w:rsidRDefault="00A50A68" w:rsidP="002012C4">
      <w:pPr>
        <w:pStyle w:val="Heading1"/>
        <w:rPr>
          <w:lang w:eastAsia="zh-CN"/>
        </w:rPr>
      </w:pPr>
      <w:bookmarkStart w:id="12" w:name="_Toc204780031"/>
      <w:r w:rsidRPr="002012C4">
        <w:rPr>
          <w:rFonts w:hint="eastAsia"/>
          <w:lang w:eastAsia="zh-CN"/>
        </w:rPr>
        <w:lastRenderedPageBreak/>
        <w:t>三</w:t>
      </w:r>
      <w:r w:rsidRPr="002012C4">
        <w:rPr>
          <w:rFonts w:hint="eastAsia"/>
          <w:lang w:eastAsia="zh-CN"/>
        </w:rPr>
        <w:tab/>
      </w:r>
      <w:r w:rsidRPr="002012C4">
        <w:rPr>
          <w:rFonts w:hint="eastAsia"/>
          <w:lang w:eastAsia="zh-CN"/>
        </w:rPr>
        <w:t>利用新兴技术实现卓越监管</w:t>
      </w:r>
      <w:bookmarkEnd w:id="12"/>
    </w:p>
    <w:p w14:paraId="47297A92" w14:textId="77777777" w:rsidR="00A50A68" w:rsidRPr="002012C4" w:rsidRDefault="00A50A68" w:rsidP="002012C4">
      <w:pPr>
        <w:pStyle w:val="Headingb"/>
        <w:rPr>
          <w:lang w:eastAsia="zh-CN"/>
        </w:rPr>
      </w:pPr>
      <w:bookmarkStart w:id="13" w:name="_Toc204780032"/>
      <w:r>
        <w:rPr>
          <w:rFonts w:hint="eastAsia"/>
          <w:lang w:eastAsia="zh-CN"/>
        </w:rPr>
        <w:t>在整个监管周期中使用新工具</w:t>
      </w:r>
      <w:bookmarkEnd w:id="13"/>
    </w:p>
    <w:p w14:paraId="1D5020F6" w14:textId="77777777" w:rsidR="00A50A68" w:rsidRDefault="00A50A68" w:rsidP="002012C4">
      <w:pPr>
        <w:ind w:firstLineChars="200" w:firstLine="480"/>
        <w:rPr>
          <w:rFonts w:ascii="Calibri" w:hAnsi="Calibri"/>
          <w:szCs w:val="23"/>
          <w:lang w:eastAsia="zh-CN"/>
        </w:rPr>
      </w:pPr>
      <w:r>
        <w:rPr>
          <w:rFonts w:hint="eastAsia"/>
          <w:szCs w:val="23"/>
          <w:lang w:eastAsia="zh-CN"/>
        </w:rPr>
        <w:t>将</w:t>
      </w:r>
      <w:r>
        <w:rPr>
          <w:rFonts w:hint="eastAsia"/>
          <w:szCs w:val="23"/>
          <w:lang w:eastAsia="zh-CN"/>
        </w:rPr>
        <w:t>AI</w:t>
      </w:r>
      <w:r>
        <w:rPr>
          <w:rFonts w:hint="eastAsia"/>
          <w:szCs w:val="23"/>
          <w:lang w:eastAsia="zh-CN"/>
        </w:rPr>
        <w:t>、大数据、区块链和</w:t>
      </w:r>
      <w:proofErr w:type="gramStart"/>
      <w:r>
        <w:rPr>
          <w:rFonts w:hint="eastAsia"/>
          <w:szCs w:val="23"/>
          <w:lang w:eastAsia="zh-CN"/>
        </w:rPr>
        <w:t>物联网</w:t>
      </w:r>
      <w:proofErr w:type="gramEnd"/>
      <w:r>
        <w:rPr>
          <w:rFonts w:hint="eastAsia"/>
          <w:szCs w:val="23"/>
          <w:lang w:eastAsia="zh-CN"/>
        </w:rPr>
        <w:t>（</w:t>
      </w:r>
      <w:proofErr w:type="spellStart"/>
      <w:r>
        <w:rPr>
          <w:rFonts w:hint="eastAsia"/>
          <w:szCs w:val="23"/>
          <w:lang w:eastAsia="zh-CN"/>
        </w:rPr>
        <w:t>LoT</w:t>
      </w:r>
      <w:proofErr w:type="spellEnd"/>
      <w:r>
        <w:rPr>
          <w:rFonts w:hint="eastAsia"/>
          <w:szCs w:val="23"/>
          <w:lang w:eastAsia="zh-CN"/>
        </w:rPr>
        <w:t>）等技术酌情融入监管、合</w:t>
      </w:r>
      <w:proofErr w:type="gramStart"/>
      <w:r>
        <w:rPr>
          <w:rFonts w:hint="eastAsia"/>
          <w:szCs w:val="23"/>
          <w:lang w:eastAsia="zh-CN"/>
        </w:rPr>
        <w:t>规</w:t>
      </w:r>
      <w:proofErr w:type="gramEnd"/>
      <w:r>
        <w:rPr>
          <w:rFonts w:hint="eastAsia"/>
          <w:szCs w:val="23"/>
          <w:lang w:eastAsia="zh-CN"/>
        </w:rPr>
        <w:t>和决策中</w:t>
      </w:r>
      <w:r>
        <w:rPr>
          <w:rFonts w:hint="eastAsia"/>
          <w:szCs w:val="23"/>
          <w:lang w:eastAsia="zh-CN"/>
        </w:rPr>
        <w:t xml:space="preserve"> </w:t>
      </w:r>
      <w:r w:rsidRPr="00F3690D">
        <w:rPr>
          <w:rFonts w:cstheme="minorHAnsi"/>
          <w:szCs w:val="23"/>
          <w:lang w:eastAsia="zh-CN"/>
        </w:rPr>
        <w:t>–</w:t>
      </w:r>
      <w:r>
        <w:rPr>
          <w:rFonts w:hint="eastAsia"/>
          <w:szCs w:val="23"/>
          <w:lang w:eastAsia="zh-CN"/>
        </w:rPr>
        <w:t xml:space="preserve"> </w:t>
      </w:r>
      <w:r>
        <w:rPr>
          <w:rFonts w:hint="eastAsia"/>
          <w:szCs w:val="23"/>
          <w:lang w:eastAsia="zh-CN"/>
        </w:rPr>
        <w:t>努力使它们成为内嵌功能。例如：通过数据实施的监管、实时频谱检测、自动合</w:t>
      </w:r>
      <w:proofErr w:type="gramStart"/>
      <w:r>
        <w:rPr>
          <w:rFonts w:hint="eastAsia"/>
          <w:szCs w:val="23"/>
          <w:lang w:eastAsia="zh-CN"/>
        </w:rPr>
        <w:t>规</w:t>
      </w:r>
      <w:proofErr w:type="gramEnd"/>
      <w:r>
        <w:rPr>
          <w:rFonts w:hint="eastAsia"/>
          <w:szCs w:val="23"/>
          <w:lang w:eastAsia="zh-CN"/>
        </w:rPr>
        <w:t>告警和智能许可系统，以及其他</w:t>
      </w:r>
      <w:proofErr w:type="spellStart"/>
      <w:r>
        <w:rPr>
          <w:rFonts w:hint="eastAsia"/>
          <w:szCs w:val="23"/>
          <w:lang w:eastAsia="zh-CN"/>
        </w:rPr>
        <w:t>RegTech</w:t>
      </w:r>
      <w:proofErr w:type="spellEnd"/>
      <w:r>
        <w:rPr>
          <w:rFonts w:hint="eastAsia"/>
          <w:szCs w:val="23"/>
          <w:lang w:eastAsia="zh-CN"/>
        </w:rPr>
        <w:t>和</w:t>
      </w:r>
      <w:proofErr w:type="spellStart"/>
      <w:r>
        <w:rPr>
          <w:rFonts w:hint="eastAsia"/>
          <w:szCs w:val="23"/>
          <w:lang w:eastAsia="zh-CN"/>
        </w:rPr>
        <w:t>SupReg</w:t>
      </w:r>
      <w:proofErr w:type="spellEnd"/>
      <w:r>
        <w:rPr>
          <w:rFonts w:hint="eastAsia"/>
          <w:szCs w:val="23"/>
          <w:lang w:eastAsia="zh-CN"/>
        </w:rPr>
        <w:t>应用。</w:t>
      </w:r>
    </w:p>
    <w:p w14:paraId="260D42C1" w14:textId="77777777" w:rsidR="00A50A68" w:rsidRDefault="00A50A68" w:rsidP="002012C4">
      <w:pPr>
        <w:ind w:firstLineChars="200" w:firstLine="480"/>
        <w:rPr>
          <w:szCs w:val="23"/>
          <w:lang w:eastAsia="zh-CN"/>
        </w:rPr>
      </w:pPr>
      <w:r>
        <w:rPr>
          <w:rFonts w:hint="eastAsia"/>
          <w:szCs w:val="23"/>
          <w:lang w:eastAsia="zh-CN"/>
        </w:rPr>
        <w:t>共同设计此类应用，以鼓励与行业应用的潜在互操作性，并迭代实验性、测试用例应用。简化行业监管流程，在确保监管力度的同时，降低合</w:t>
      </w:r>
      <w:proofErr w:type="gramStart"/>
      <w:r>
        <w:rPr>
          <w:rFonts w:hint="eastAsia"/>
          <w:szCs w:val="23"/>
          <w:lang w:eastAsia="zh-CN"/>
        </w:rPr>
        <w:t>规</w:t>
      </w:r>
      <w:proofErr w:type="gramEnd"/>
      <w:r>
        <w:rPr>
          <w:rFonts w:hint="eastAsia"/>
          <w:szCs w:val="23"/>
          <w:lang w:eastAsia="zh-CN"/>
        </w:rPr>
        <w:t>成本，提高营商便利度。</w:t>
      </w:r>
    </w:p>
    <w:p w14:paraId="65C6A13B" w14:textId="77777777" w:rsidR="00A50A68" w:rsidRDefault="00A50A68" w:rsidP="002012C4">
      <w:pPr>
        <w:pStyle w:val="Headingb"/>
        <w:rPr>
          <w:rFonts w:cstheme="majorBidi"/>
          <w:szCs w:val="32"/>
          <w:lang w:eastAsia="zh-CN"/>
        </w:rPr>
      </w:pPr>
      <w:bookmarkStart w:id="14" w:name="_Toc204780033"/>
      <w:r>
        <w:rPr>
          <w:rFonts w:hint="eastAsia"/>
          <w:lang w:eastAsia="zh-CN"/>
        </w:rPr>
        <w:t>利用数据进行响应式监督</w:t>
      </w:r>
      <w:bookmarkEnd w:id="14"/>
    </w:p>
    <w:p w14:paraId="10243A57" w14:textId="77777777" w:rsidR="00A50A68" w:rsidRDefault="00A50A68" w:rsidP="002012C4">
      <w:pPr>
        <w:ind w:firstLineChars="200" w:firstLine="480"/>
        <w:rPr>
          <w:rFonts w:ascii="Calibri" w:eastAsiaTheme="minorEastAsia" w:hAnsi="Calibri"/>
          <w:szCs w:val="23"/>
          <w:lang w:eastAsia="zh-CN"/>
        </w:rPr>
      </w:pPr>
      <w:r>
        <w:rPr>
          <w:rFonts w:hint="eastAsia"/>
          <w:szCs w:val="23"/>
          <w:lang w:eastAsia="zh-CN"/>
        </w:rPr>
        <w:t>建立集成数据系统，以帮助实现有效的监管合</w:t>
      </w:r>
      <w:proofErr w:type="gramStart"/>
      <w:r>
        <w:rPr>
          <w:rFonts w:hint="eastAsia"/>
          <w:szCs w:val="23"/>
          <w:lang w:eastAsia="zh-CN"/>
        </w:rPr>
        <w:t>规</w:t>
      </w:r>
      <w:proofErr w:type="gramEnd"/>
      <w:r>
        <w:rPr>
          <w:rFonts w:hint="eastAsia"/>
          <w:szCs w:val="23"/>
          <w:lang w:eastAsia="zh-CN"/>
        </w:rPr>
        <w:t>。此类系统可以综合行业提交资料、传感数据和</w:t>
      </w:r>
      <w:proofErr w:type="gramStart"/>
      <w:r>
        <w:rPr>
          <w:rFonts w:hint="eastAsia"/>
          <w:szCs w:val="23"/>
          <w:lang w:eastAsia="zh-CN"/>
        </w:rPr>
        <w:t>众包</w:t>
      </w:r>
      <w:proofErr w:type="gramEnd"/>
      <w:r>
        <w:rPr>
          <w:rFonts w:hint="eastAsia"/>
          <w:szCs w:val="23"/>
          <w:lang w:eastAsia="zh-CN"/>
        </w:rPr>
        <w:t>信息等。发现服务缺口、及早识别风险，并在</w:t>
      </w:r>
      <w:proofErr w:type="gramStart"/>
      <w:r>
        <w:rPr>
          <w:rFonts w:hint="eastAsia"/>
          <w:szCs w:val="23"/>
          <w:lang w:eastAsia="zh-CN"/>
        </w:rPr>
        <w:t>最</w:t>
      </w:r>
      <w:proofErr w:type="gramEnd"/>
      <w:r>
        <w:rPr>
          <w:rFonts w:hint="eastAsia"/>
          <w:szCs w:val="23"/>
          <w:lang w:eastAsia="zh-CN"/>
        </w:rPr>
        <w:t>关键的领域指导干预措施，发布交互式信息概览来指导合</w:t>
      </w:r>
      <w:proofErr w:type="gramStart"/>
      <w:r>
        <w:rPr>
          <w:rFonts w:hint="eastAsia"/>
          <w:szCs w:val="23"/>
          <w:lang w:eastAsia="zh-CN"/>
        </w:rPr>
        <w:t>规</w:t>
      </w:r>
      <w:proofErr w:type="gramEnd"/>
      <w:r>
        <w:rPr>
          <w:rFonts w:hint="eastAsia"/>
          <w:szCs w:val="23"/>
          <w:lang w:eastAsia="zh-CN"/>
        </w:rPr>
        <w:t>工作和消费者选择。使用这些策略构建更精细的市场现状全貌。</w:t>
      </w:r>
    </w:p>
    <w:p w14:paraId="58DED047" w14:textId="77777777" w:rsidR="00A50A68" w:rsidRDefault="00A50A68" w:rsidP="002012C4">
      <w:pPr>
        <w:pStyle w:val="Headingb"/>
        <w:rPr>
          <w:rFonts w:cstheme="majorBidi"/>
          <w:szCs w:val="32"/>
          <w:lang w:eastAsia="zh-CN"/>
        </w:rPr>
      </w:pPr>
      <w:bookmarkStart w:id="15" w:name="_Toc204780034"/>
      <w:r>
        <w:rPr>
          <w:rFonts w:hint="eastAsia"/>
          <w:lang w:eastAsia="zh-CN"/>
        </w:rPr>
        <w:t>通过技术实现互动现代化</w:t>
      </w:r>
      <w:bookmarkEnd w:id="15"/>
    </w:p>
    <w:p w14:paraId="76E9283A" w14:textId="77777777" w:rsidR="00A50A68" w:rsidRDefault="00A50A68" w:rsidP="002012C4">
      <w:pPr>
        <w:ind w:firstLineChars="200" w:firstLine="480"/>
        <w:rPr>
          <w:rFonts w:ascii="Calibri" w:hAnsi="Calibri"/>
          <w:szCs w:val="23"/>
          <w:lang w:eastAsia="zh-CN"/>
        </w:rPr>
      </w:pPr>
      <w:r>
        <w:rPr>
          <w:rFonts w:hint="eastAsia"/>
          <w:szCs w:val="23"/>
          <w:lang w:eastAsia="zh-CN"/>
        </w:rPr>
        <w:t>启动数字门户、交互式开放数据平台和移动工具，提高决策透明度，</w:t>
      </w:r>
      <w:proofErr w:type="gramStart"/>
      <w:r>
        <w:rPr>
          <w:rFonts w:hint="eastAsia"/>
          <w:szCs w:val="23"/>
          <w:lang w:eastAsia="zh-CN"/>
        </w:rPr>
        <w:t>简化非行业</w:t>
      </w:r>
      <w:proofErr w:type="gramEnd"/>
      <w:r>
        <w:rPr>
          <w:rFonts w:hint="eastAsia"/>
          <w:szCs w:val="23"/>
          <w:lang w:eastAsia="zh-CN"/>
        </w:rPr>
        <w:t>用户的参与。在开发这些项目时，，要考虑到服务不足或偏远社区用户的需求。使用</w:t>
      </w:r>
      <w:r>
        <w:rPr>
          <w:rFonts w:hint="eastAsia"/>
          <w:szCs w:val="23"/>
          <w:lang w:eastAsia="zh-CN"/>
        </w:rPr>
        <w:t>AI</w:t>
      </w:r>
      <w:r>
        <w:rPr>
          <w:rFonts w:hint="eastAsia"/>
          <w:szCs w:val="23"/>
          <w:lang w:eastAsia="zh-CN"/>
        </w:rPr>
        <w:t>聊天机器人或基于地图的信息概览等工具来改善利益攸关方使用的数据和利益攸关方的反馈机制。</w:t>
      </w:r>
    </w:p>
    <w:p w14:paraId="69B9439C" w14:textId="77777777" w:rsidR="00A50A68" w:rsidRDefault="00A50A68" w:rsidP="002012C4">
      <w:pPr>
        <w:pStyle w:val="Headingb"/>
        <w:rPr>
          <w:rFonts w:cstheme="majorBidi"/>
          <w:szCs w:val="32"/>
          <w:lang w:eastAsia="zh-CN"/>
        </w:rPr>
      </w:pPr>
      <w:bookmarkStart w:id="16" w:name="_Toc204780035"/>
      <w:r>
        <w:rPr>
          <w:rFonts w:hint="eastAsia"/>
          <w:lang w:eastAsia="zh-CN"/>
        </w:rPr>
        <w:t>使实验制度化</w:t>
      </w:r>
      <w:bookmarkEnd w:id="16"/>
    </w:p>
    <w:p w14:paraId="0363B255" w14:textId="77777777" w:rsidR="00A50A68" w:rsidRDefault="00A50A68" w:rsidP="002012C4">
      <w:pPr>
        <w:ind w:firstLineChars="200" w:firstLine="480"/>
        <w:rPr>
          <w:rFonts w:ascii="Calibri" w:hAnsi="Calibri"/>
          <w:szCs w:val="23"/>
          <w:lang w:eastAsia="zh-CN"/>
        </w:rPr>
      </w:pPr>
      <w:r>
        <w:rPr>
          <w:rFonts w:hint="eastAsia"/>
          <w:szCs w:val="23"/>
          <w:lang w:eastAsia="zh-CN"/>
        </w:rPr>
        <w:t>在高风险或高不确定性领域制定规则之前，使用沙箱、生活实验室、模拟和场景工具测试监管响应。利用公认的技术标准（例如，人工智能、网络安全、数字身份、量子）和基于标准的认证来</w:t>
      </w:r>
      <w:proofErr w:type="gramStart"/>
      <w:r>
        <w:rPr>
          <w:rFonts w:hint="eastAsia"/>
          <w:szCs w:val="23"/>
          <w:lang w:eastAsia="zh-CN"/>
        </w:rPr>
        <w:t>构建沙</w:t>
      </w:r>
      <w:proofErr w:type="gramEnd"/>
      <w:r>
        <w:rPr>
          <w:rFonts w:hint="eastAsia"/>
          <w:szCs w:val="23"/>
          <w:lang w:eastAsia="zh-CN"/>
        </w:rPr>
        <w:t>箱并加快安全扩展。利用</w:t>
      </w:r>
      <w:r>
        <w:rPr>
          <w:rFonts w:hint="eastAsia"/>
          <w:szCs w:val="23"/>
          <w:lang w:eastAsia="zh-CN"/>
        </w:rPr>
        <w:t>AI</w:t>
      </w:r>
      <w:r>
        <w:rPr>
          <w:rFonts w:hint="eastAsia"/>
          <w:szCs w:val="23"/>
          <w:lang w:eastAsia="zh-CN"/>
        </w:rPr>
        <w:t>辅助工具加速协商分析并提高响应能力。通过与业界和其他利益攸关方共同设计这些实验框架，确保有效性和负责任的创新。</w:t>
      </w:r>
    </w:p>
    <w:p w14:paraId="22BD279E" w14:textId="77777777" w:rsidR="00A50A68" w:rsidRDefault="00A50A68" w:rsidP="002012C4">
      <w:pPr>
        <w:pStyle w:val="Headingb"/>
        <w:rPr>
          <w:rFonts w:cstheme="majorBidi"/>
          <w:szCs w:val="32"/>
          <w:lang w:eastAsia="zh-CN"/>
        </w:rPr>
      </w:pPr>
      <w:bookmarkStart w:id="17" w:name="_Toc204780036"/>
      <w:r>
        <w:rPr>
          <w:rFonts w:hint="eastAsia"/>
          <w:lang w:eastAsia="zh-CN"/>
        </w:rPr>
        <w:t>为信任和道德规范而设计</w:t>
      </w:r>
      <w:bookmarkEnd w:id="17"/>
    </w:p>
    <w:p w14:paraId="4DA5AFD7" w14:textId="77777777" w:rsidR="00A50A68" w:rsidRDefault="00A50A68" w:rsidP="002012C4">
      <w:pPr>
        <w:ind w:firstLineChars="200" w:firstLine="480"/>
        <w:rPr>
          <w:rFonts w:ascii="Calibri" w:hAnsi="Calibri"/>
          <w:szCs w:val="23"/>
          <w:lang w:eastAsia="zh-CN"/>
        </w:rPr>
      </w:pPr>
      <w:r>
        <w:rPr>
          <w:rFonts w:hint="eastAsia"/>
          <w:szCs w:val="23"/>
          <w:lang w:eastAsia="zh-CN"/>
        </w:rPr>
        <w:t>在内部技术使用方面以身作则。对消费者和行业数据使用隐私保护工具和标准，建立明确的问责制，呼吁实现与每个司法管辖区的行政法相关的自动化决策，并遵循可信赖的</w:t>
      </w:r>
      <w:r>
        <w:rPr>
          <w:rFonts w:hint="eastAsia"/>
          <w:szCs w:val="23"/>
          <w:lang w:eastAsia="zh-CN"/>
        </w:rPr>
        <w:t>AI</w:t>
      </w:r>
      <w:r>
        <w:rPr>
          <w:rFonts w:hint="eastAsia"/>
          <w:szCs w:val="23"/>
          <w:lang w:eastAsia="zh-CN"/>
        </w:rPr>
        <w:t>和数据保护全球原则。向公众清晰地说明技术的使用方式和所采取的保障措施。</w:t>
      </w:r>
    </w:p>
    <w:p w14:paraId="6857A3F8" w14:textId="77777777" w:rsidR="00A50A68" w:rsidRDefault="00A50A68" w:rsidP="002012C4">
      <w:pPr>
        <w:pStyle w:val="Headingb"/>
        <w:rPr>
          <w:rFonts w:cstheme="majorBidi"/>
          <w:szCs w:val="32"/>
          <w:lang w:eastAsia="zh-CN"/>
        </w:rPr>
      </w:pPr>
      <w:bookmarkStart w:id="18" w:name="_Toc204780037"/>
      <w:r>
        <w:rPr>
          <w:rFonts w:hint="eastAsia"/>
          <w:lang w:eastAsia="zh-CN"/>
        </w:rPr>
        <w:t>利用新兴技术实现空间可持续性</w:t>
      </w:r>
      <w:bookmarkEnd w:id="18"/>
    </w:p>
    <w:p w14:paraId="053A4B45" w14:textId="77777777" w:rsidR="00A50A68" w:rsidRDefault="00A50A68" w:rsidP="002012C4">
      <w:pPr>
        <w:ind w:firstLineChars="200" w:firstLine="480"/>
        <w:rPr>
          <w:rFonts w:ascii="Calibri" w:hAnsi="Calibri"/>
          <w:szCs w:val="23"/>
          <w:lang w:eastAsia="zh-CN"/>
        </w:rPr>
      </w:pPr>
      <w:r>
        <w:rPr>
          <w:rFonts w:hint="eastAsia"/>
          <w:szCs w:val="23"/>
          <w:lang w:eastAsia="zh-CN"/>
        </w:rPr>
        <w:t>在</w:t>
      </w:r>
      <w:r>
        <w:rPr>
          <w:rFonts w:hint="eastAsia"/>
          <w:szCs w:val="23"/>
          <w:lang w:eastAsia="zh-CN"/>
        </w:rPr>
        <w:t>ICT</w:t>
      </w:r>
      <w:r>
        <w:rPr>
          <w:rFonts w:hint="eastAsia"/>
          <w:szCs w:val="23"/>
          <w:lang w:eastAsia="zh-CN"/>
        </w:rPr>
        <w:t>监管机构负责管理空间业务的情况下，使用人工智能和其他工具进行空间业务监控、防撞和轨道资源优化。如未能做到这一点，则启动与主管空间管理机构的协调，促进数据共享和基于标准的安全措施，使空间业务仍然是数字基础设施中安全、可靠的组成部分。</w:t>
      </w:r>
    </w:p>
    <w:p w14:paraId="2866584E" w14:textId="77777777" w:rsidR="00A50A68" w:rsidRDefault="00A50A68" w:rsidP="002012C4">
      <w:pPr>
        <w:pStyle w:val="Headingb"/>
        <w:rPr>
          <w:rFonts w:cstheme="majorBidi"/>
          <w:szCs w:val="32"/>
          <w:lang w:eastAsia="zh-CN"/>
        </w:rPr>
      </w:pPr>
      <w:bookmarkStart w:id="19" w:name="_Toc204780038"/>
      <w:r>
        <w:rPr>
          <w:rFonts w:hint="eastAsia"/>
          <w:lang w:eastAsia="zh-CN"/>
        </w:rPr>
        <w:t>提升交付能力</w:t>
      </w:r>
      <w:bookmarkEnd w:id="19"/>
    </w:p>
    <w:p w14:paraId="795671B0" w14:textId="77777777" w:rsidR="00A50A68" w:rsidRDefault="00A50A68" w:rsidP="002012C4">
      <w:pPr>
        <w:ind w:firstLineChars="200" w:firstLine="480"/>
        <w:rPr>
          <w:rFonts w:ascii="Calibri" w:hAnsi="Calibri"/>
          <w:szCs w:val="23"/>
          <w:lang w:eastAsia="zh-CN"/>
        </w:rPr>
      </w:pPr>
      <w:r>
        <w:rPr>
          <w:rFonts w:hint="eastAsia"/>
          <w:szCs w:val="23"/>
          <w:lang w:eastAsia="zh-CN"/>
        </w:rPr>
        <w:t>应认识到数字化转型需要战略，而不仅仅是软件。投资于跨学科人才，推广开放标准，并在政府机构间开发共享的基础设施，以避免重复和对专有系统的过度依赖。</w:t>
      </w:r>
    </w:p>
    <w:p w14:paraId="0454667A" w14:textId="77777777" w:rsidR="00A50A68" w:rsidRDefault="00A50A68" w:rsidP="002012C4">
      <w:pPr>
        <w:pStyle w:val="Heading1"/>
        <w:rPr>
          <w:bCs/>
          <w:lang w:eastAsia="zh-CN"/>
        </w:rPr>
      </w:pPr>
      <w:bookmarkStart w:id="20" w:name="_Toc204780039"/>
      <w:r w:rsidRPr="002012C4">
        <w:rPr>
          <w:rFonts w:hint="eastAsia"/>
          <w:lang w:eastAsia="zh-CN"/>
        </w:rPr>
        <w:lastRenderedPageBreak/>
        <w:t>四</w:t>
      </w:r>
      <w:r w:rsidRPr="002012C4">
        <w:rPr>
          <w:rFonts w:hint="eastAsia"/>
          <w:lang w:eastAsia="zh-CN"/>
        </w:rPr>
        <w:tab/>
      </w:r>
      <w:r w:rsidRPr="002012C4">
        <w:rPr>
          <w:rFonts w:hint="eastAsia"/>
          <w:lang w:eastAsia="zh-CN"/>
        </w:rPr>
        <w:t>加强跨境合作，迈向互联未来</w:t>
      </w:r>
      <w:bookmarkEnd w:id="20"/>
    </w:p>
    <w:p w14:paraId="34EBFB69" w14:textId="77777777" w:rsidR="00A50A68" w:rsidRPr="002012C4" w:rsidRDefault="00A50A68" w:rsidP="002012C4">
      <w:pPr>
        <w:pStyle w:val="Headingb"/>
        <w:rPr>
          <w:lang w:eastAsia="zh-CN"/>
        </w:rPr>
      </w:pPr>
      <w:bookmarkStart w:id="21" w:name="_Toc204780040"/>
      <w:r>
        <w:rPr>
          <w:rFonts w:hint="eastAsia"/>
          <w:lang w:eastAsia="zh-CN"/>
        </w:rPr>
        <w:t>开展务实协作</w:t>
      </w:r>
      <w:bookmarkEnd w:id="21"/>
    </w:p>
    <w:p w14:paraId="5C18C19C" w14:textId="201A14E4" w:rsidR="00A50A68" w:rsidRDefault="00A50A68" w:rsidP="002012C4">
      <w:pPr>
        <w:ind w:firstLineChars="200" w:firstLine="480"/>
        <w:rPr>
          <w:rFonts w:ascii="Calibri" w:hAnsi="Calibri"/>
          <w:szCs w:val="23"/>
          <w:lang w:eastAsia="zh-CN"/>
        </w:rPr>
      </w:pPr>
      <w:r>
        <w:rPr>
          <w:rFonts w:hint="eastAsia"/>
          <w:szCs w:val="23"/>
          <w:lang w:eastAsia="zh-CN"/>
        </w:rPr>
        <w:t>利用区域性和国际性伙伴关系，解决从频谱协调、网络安全到</w:t>
      </w:r>
      <w:r>
        <w:rPr>
          <w:rFonts w:hint="eastAsia"/>
          <w:szCs w:val="23"/>
          <w:lang w:eastAsia="zh-CN"/>
        </w:rPr>
        <w:t>AI</w:t>
      </w:r>
      <w:r>
        <w:rPr>
          <w:rFonts w:hint="eastAsia"/>
          <w:szCs w:val="23"/>
          <w:lang w:eastAsia="zh-CN"/>
        </w:rPr>
        <w:t>治理等共同挑战和优先事项，同时考虑到既定的全球规则和原则。优先考虑能够对消费者带来切实影响而非仅是正式协议的联合活动、监管</w:t>
      </w:r>
      <w:r w:rsidR="00C36B7A">
        <w:rPr>
          <w:rFonts w:hint="eastAsia"/>
          <w:szCs w:val="23"/>
          <w:lang w:eastAsia="zh-CN"/>
        </w:rPr>
        <w:t>沙箱</w:t>
      </w:r>
      <w:r>
        <w:rPr>
          <w:rFonts w:hint="eastAsia"/>
          <w:szCs w:val="23"/>
          <w:lang w:eastAsia="zh-CN"/>
        </w:rPr>
        <w:t>或执法工作，并相应地提供资源。</w:t>
      </w:r>
    </w:p>
    <w:p w14:paraId="3CC86F0A" w14:textId="77777777" w:rsidR="00A50A68" w:rsidRDefault="00A50A68" w:rsidP="002012C4">
      <w:pPr>
        <w:pStyle w:val="Headingb"/>
        <w:rPr>
          <w:rFonts w:cstheme="majorBidi"/>
          <w:szCs w:val="32"/>
          <w:lang w:eastAsia="zh-CN"/>
        </w:rPr>
      </w:pPr>
      <w:bookmarkStart w:id="22" w:name="_Toc204780041"/>
      <w:r>
        <w:rPr>
          <w:rFonts w:hint="eastAsia"/>
          <w:lang w:eastAsia="zh-CN"/>
        </w:rPr>
        <w:t>促进监管互操作性，创造更多价值</w:t>
      </w:r>
      <w:bookmarkEnd w:id="22"/>
    </w:p>
    <w:p w14:paraId="7058A5A7" w14:textId="77777777" w:rsidR="00A50A68" w:rsidRDefault="00A50A68" w:rsidP="002012C4">
      <w:pPr>
        <w:ind w:firstLineChars="200" w:firstLine="480"/>
        <w:rPr>
          <w:rFonts w:ascii="Calibri" w:hAnsi="Calibri"/>
          <w:szCs w:val="23"/>
          <w:lang w:eastAsia="zh-CN"/>
        </w:rPr>
      </w:pPr>
      <w:r>
        <w:rPr>
          <w:rFonts w:hint="eastAsia"/>
          <w:szCs w:val="23"/>
          <w:lang w:eastAsia="zh-CN"/>
        </w:rPr>
        <w:t>鼓励在数字贸易、</w:t>
      </w:r>
      <w:r>
        <w:rPr>
          <w:rFonts w:hint="eastAsia"/>
          <w:szCs w:val="23"/>
          <w:lang w:eastAsia="zh-CN"/>
        </w:rPr>
        <w:t>AI</w:t>
      </w:r>
      <w:r>
        <w:rPr>
          <w:rFonts w:hint="eastAsia"/>
          <w:szCs w:val="23"/>
          <w:lang w:eastAsia="zh-CN"/>
        </w:rPr>
        <w:t>伦理和数据保护等领域通过共同的基线和原则寻求协调一致，同时关注现有或既定的全球和区域原则及建议，并明确保障国内政策空间。共享的政策原则和协调的时机有助于在互操作性与主权之间取得平衡。</w:t>
      </w:r>
    </w:p>
    <w:p w14:paraId="13D7DB67" w14:textId="77777777" w:rsidR="00A50A68" w:rsidRDefault="00A50A68" w:rsidP="002012C4">
      <w:pPr>
        <w:pStyle w:val="Headingb"/>
        <w:rPr>
          <w:rFonts w:cstheme="majorBidi"/>
          <w:szCs w:val="32"/>
          <w:lang w:eastAsia="zh-CN"/>
        </w:rPr>
      </w:pPr>
      <w:bookmarkStart w:id="23" w:name="_Toc204780042"/>
      <w:r>
        <w:rPr>
          <w:rFonts w:hint="eastAsia"/>
          <w:lang w:eastAsia="zh-CN"/>
        </w:rPr>
        <w:t>构建共享学习基础设施</w:t>
      </w:r>
      <w:bookmarkEnd w:id="23"/>
    </w:p>
    <w:p w14:paraId="5B08A8E7" w14:textId="77777777" w:rsidR="00A50A68" w:rsidRDefault="00A50A68" w:rsidP="002012C4">
      <w:pPr>
        <w:ind w:firstLineChars="200" w:firstLine="480"/>
        <w:rPr>
          <w:rFonts w:ascii="Calibri" w:hAnsi="Calibri"/>
          <w:szCs w:val="23"/>
          <w:lang w:eastAsia="zh-CN"/>
        </w:rPr>
      </w:pPr>
      <w:r>
        <w:rPr>
          <w:rFonts w:hint="eastAsia"/>
          <w:szCs w:val="23"/>
          <w:lang w:eastAsia="zh-CN"/>
        </w:rPr>
        <w:t>建立实践社区、联合培训平台和同行指导计划等最佳做法分享机制。利用各国在试验和创新方面的经验，支持适应不同市场和环境的监管进步。支持开放获取的知识工具，使其能够因地制宜，并供其他监管机构重复使用。</w:t>
      </w:r>
    </w:p>
    <w:p w14:paraId="76447F61" w14:textId="77777777" w:rsidR="00A50A68" w:rsidRDefault="00A50A68" w:rsidP="002012C4">
      <w:pPr>
        <w:pStyle w:val="Headingb"/>
        <w:rPr>
          <w:rFonts w:cstheme="majorBidi"/>
          <w:szCs w:val="32"/>
          <w:lang w:eastAsia="zh-CN"/>
        </w:rPr>
      </w:pPr>
      <w:bookmarkStart w:id="24" w:name="_Toc204780043"/>
      <w:r>
        <w:rPr>
          <w:rFonts w:hint="eastAsia"/>
          <w:lang w:eastAsia="zh-CN"/>
        </w:rPr>
        <w:t>协调数据、工具和标准</w:t>
      </w:r>
      <w:bookmarkEnd w:id="24"/>
    </w:p>
    <w:p w14:paraId="3CD7A7CC" w14:textId="7EDDED8E" w:rsidR="00A50A68" w:rsidRDefault="00A50A68" w:rsidP="002012C4">
      <w:pPr>
        <w:ind w:firstLineChars="200" w:firstLine="480"/>
        <w:rPr>
          <w:rFonts w:ascii="Calibri" w:hAnsi="Calibri"/>
          <w:szCs w:val="23"/>
          <w:lang w:eastAsia="zh-CN"/>
        </w:rPr>
      </w:pPr>
      <w:r>
        <w:rPr>
          <w:rFonts w:hint="eastAsia"/>
          <w:szCs w:val="23"/>
          <w:lang w:eastAsia="zh-CN"/>
        </w:rPr>
        <w:t>促进监管体系的互操作性设计。每个国家都应确定合适的合作伙伴</w:t>
      </w:r>
      <w:r w:rsidR="00F3690D">
        <w:rPr>
          <w:rFonts w:hint="eastAsia"/>
          <w:szCs w:val="23"/>
          <w:lang w:eastAsia="zh-CN"/>
        </w:rPr>
        <w:t xml:space="preserve"> </w:t>
      </w:r>
      <w:r w:rsidR="00F3690D" w:rsidRPr="006434A7">
        <w:rPr>
          <w:rFonts w:cstheme="minorHAnsi"/>
          <w:szCs w:val="23"/>
          <w:lang w:eastAsia="zh-CN"/>
        </w:rPr>
        <w:t>–</w:t>
      </w:r>
      <w:r w:rsidR="00F3690D">
        <w:rPr>
          <w:rFonts w:cstheme="minorHAnsi" w:hint="eastAsia"/>
          <w:szCs w:val="23"/>
          <w:lang w:eastAsia="zh-CN"/>
        </w:rPr>
        <w:t xml:space="preserve"> </w:t>
      </w:r>
      <w:r>
        <w:rPr>
          <w:rFonts w:hint="eastAsia"/>
          <w:szCs w:val="23"/>
          <w:lang w:eastAsia="zh-CN"/>
        </w:rPr>
        <w:t>国内机构、邻国监管机构、区域机构和标准组织</w:t>
      </w:r>
      <w:r w:rsidR="00F3690D">
        <w:rPr>
          <w:rFonts w:hint="eastAsia"/>
          <w:szCs w:val="23"/>
          <w:lang w:eastAsia="zh-CN"/>
        </w:rPr>
        <w:t xml:space="preserve"> </w:t>
      </w:r>
      <w:r w:rsidR="00F3690D" w:rsidRPr="006434A7">
        <w:rPr>
          <w:rFonts w:cstheme="minorHAnsi"/>
          <w:szCs w:val="23"/>
          <w:lang w:eastAsia="zh-CN"/>
        </w:rPr>
        <w:t>–</w:t>
      </w:r>
      <w:r w:rsidR="00F3690D">
        <w:rPr>
          <w:rFonts w:cstheme="minorHAnsi" w:hint="eastAsia"/>
          <w:szCs w:val="23"/>
          <w:lang w:eastAsia="zh-CN"/>
        </w:rPr>
        <w:t xml:space="preserve"> </w:t>
      </w:r>
      <w:r>
        <w:rPr>
          <w:rFonts w:hint="eastAsia"/>
          <w:szCs w:val="23"/>
          <w:lang w:eastAsia="zh-CN"/>
        </w:rPr>
        <w:t>并在能够创造价值的领域协调监管行动，例如使用通用</w:t>
      </w:r>
      <w:r>
        <w:rPr>
          <w:rFonts w:hint="eastAsia"/>
          <w:szCs w:val="23"/>
          <w:lang w:eastAsia="zh-CN"/>
        </w:rPr>
        <w:t>API</w:t>
      </w:r>
      <w:r>
        <w:rPr>
          <w:rFonts w:hint="eastAsia"/>
          <w:szCs w:val="23"/>
          <w:lang w:eastAsia="zh-CN"/>
        </w:rPr>
        <w:t>、共享指标和数据共享协议等。考虑建立隐私保护数据共享（例如，汇总事件</w:t>
      </w:r>
      <w:r>
        <w:rPr>
          <w:rFonts w:hint="eastAsia"/>
          <w:szCs w:val="23"/>
          <w:lang w:eastAsia="zh-CN"/>
        </w:rPr>
        <w:t>/</w:t>
      </w:r>
      <w:r>
        <w:rPr>
          <w:rFonts w:hint="eastAsia"/>
          <w:szCs w:val="23"/>
          <w:lang w:eastAsia="zh-CN"/>
        </w:rPr>
        <w:t>绩效）的协作框架，以支持统一的监管和跨境事件响应。</w:t>
      </w:r>
    </w:p>
    <w:p w14:paraId="384D04D1" w14:textId="77777777" w:rsidR="00A50A68" w:rsidRDefault="00A50A68" w:rsidP="002012C4">
      <w:pPr>
        <w:pStyle w:val="Headingb"/>
        <w:rPr>
          <w:rFonts w:cstheme="majorBidi"/>
          <w:szCs w:val="32"/>
          <w:lang w:eastAsia="zh-CN"/>
        </w:rPr>
      </w:pPr>
      <w:bookmarkStart w:id="25" w:name="_Toc204780044"/>
      <w:r>
        <w:rPr>
          <w:rFonts w:hint="eastAsia"/>
          <w:lang w:eastAsia="zh-CN"/>
        </w:rPr>
        <w:t>维护区域话语权和数字主权</w:t>
      </w:r>
      <w:bookmarkEnd w:id="25"/>
    </w:p>
    <w:p w14:paraId="7DBE993E" w14:textId="77777777" w:rsidR="00A50A68" w:rsidRDefault="00A50A68" w:rsidP="002012C4">
      <w:pPr>
        <w:ind w:firstLineChars="200" w:firstLine="480"/>
        <w:rPr>
          <w:rFonts w:ascii="Calibri" w:hAnsi="Calibri"/>
          <w:szCs w:val="23"/>
          <w:lang w:eastAsia="zh-CN"/>
        </w:rPr>
      </w:pPr>
      <w:r>
        <w:rPr>
          <w:rFonts w:hint="eastAsia"/>
          <w:szCs w:val="23"/>
          <w:lang w:eastAsia="zh-CN"/>
        </w:rPr>
        <w:t>在区域层面进行协调，以影响新兴的国际框架，确保其适应不同的国情。参与多边论坛和区域平台，支持区域倡议，建设区域能力和共享机制，将共同立场转化为行动，同时保留国家政策空间。</w:t>
      </w:r>
    </w:p>
    <w:p w14:paraId="1409DF21" w14:textId="77777777" w:rsidR="00A50A68" w:rsidRPr="002012C4" w:rsidRDefault="00A50A68" w:rsidP="002012C4">
      <w:pPr>
        <w:pStyle w:val="Headingb"/>
        <w:rPr>
          <w:lang w:eastAsia="zh-CN"/>
        </w:rPr>
      </w:pPr>
      <w:bookmarkStart w:id="26" w:name="_Toc204780045"/>
      <w:r w:rsidRPr="002012C4">
        <w:rPr>
          <w:rFonts w:hint="eastAsia"/>
          <w:lang w:eastAsia="zh-CN"/>
        </w:rPr>
        <w:t>利用区域和国际合作加速国家议程</w:t>
      </w:r>
      <w:bookmarkEnd w:id="26"/>
    </w:p>
    <w:p w14:paraId="59C1B55A" w14:textId="77777777" w:rsidR="00A50A68" w:rsidRDefault="00A50A68" w:rsidP="002012C4">
      <w:pPr>
        <w:ind w:firstLineChars="200" w:firstLine="480"/>
        <w:rPr>
          <w:rFonts w:ascii="Calibri" w:hAnsi="Calibri"/>
          <w:szCs w:val="23"/>
          <w:lang w:eastAsia="zh-CN"/>
        </w:rPr>
      </w:pPr>
      <w:r>
        <w:rPr>
          <w:rFonts w:hint="eastAsia"/>
          <w:szCs w:val="23"/>
          <w:lang w:eastAsia="zh-CN"/>
        </w:rPr>
        <w:t>根据国情，与区域机构、同行监管机构和标准组织合作，分享实践经验，在减少重复或加快部署方面（例如在频谱规划、安全性和互操作性方面）进行有针对性的协调，并调动联合能力推进国家监管和创新目标。将协调机制纳入现有架构，将系统性协调和磋商纳入机构设计，指派专门单位，促进跨境规划，跟踪合作的实际影响。将系统性协调和磋商纳入制度和政策设计，以根据需要支持政策、跨部门和</w:t>
      </w:r>
      <w:proofErr w:type="gramStart"/>
      <w:r>
        <w:rPr>
          <w:rFonts w:hint="eastAsia"/>
          <w:szCs w:val="23"/>
          <w:lang w:eastAsia="zh-CN"/>
        </w:rPr>
        <w:t>跨利益</w:t>
      </w:r>
      <w:proofErr w:type="gramEnd"/>
      <w:r>
        <w:rPr>
          <w:rFonts w:hint="eastAsia"/>
          <w:szCs w:val="23"/>
          <w:lang w:eastAsia="zh-CN"/>
        </w:rPr>
        <w:t>攸关方的持续协调。</w:t>
      </w:r>
    </w:p>
    <w:p w14:paraId="775718A8" w14:textId="77777777" w:rsidR="00A50A68" w:rsidRDefault="00A50A68" w:rsidP="002012C4">
      <w:pPr>
        <w:ind w:firstLineChars="200" w:firstLine="480"/>
        <w:rPr>
          <w:szCs w:val="23"/>
          <w:lang w:eastAsia="zh-CN"/>
        </w:rPr>
      </w:pPr>
      <w:r>
        <w:rPr>
          <w:rFonts w:hint="eastAsia"/>
          <w:szCs w:val="23"/>
          <w:lang w:eastAsia="zh-CN"/>
        </w:rPr>
        <w:t>对于国际组织，利用其号召力在监管机构之间牵线搭桥，并帮助培育基于精准需求和挑战的点对点学习机会。将共享经验与本地化应用相结合，促进全球资源的最佳利用。在技术方面，支持开发可在本地化调整并供不同监管机构重复使用的开放式知识工具，并通过监管体系和共同定义的指标促进互操作性设计。</w:t>
      </w:r>
    </w:p>
    <w:p w14:paraId="6359D280" w14:textId="77777777" w:rsidR="00A50A68" w:rsidRDefault="00A50A68" w:rsidP="002012C4">
      <w:pPr>
        <w:pStyle w:val="Headingb"/>
        <w:rPr>
          <w:rFonts w:cstheme="majorBidi"/>
          <w:szCs w:val="32"/>
          <w:lang w:eastAsia="zh-CN"/>
        </w:rPr>
      </w:pPr>
      <w:proofErr w:type="gramStart"/>
      <w:r>
        <w:rPr>
          <w:rFonts w:hint="eastAsia"/>
          <w:lang w:val="en-US" w:eastAsia="zh-CN"/>
        </w:rPr>
        <w:t>促进伙伴</w:t>
      </w:r>
      <w:proofErr w:type="gramEnd"/>
      <w:r>
        <w:rPr>
          <w:rFonts w:hint="eastAsia"/>
          <w:lang w:val="en-US" w:eastAsia="zh-CN"/>
        </w:rPr>
        <w:t>关系和投资</w:t>
      </w:r>
    </w:p>
    <w:p w14:paraId="07ED60E1" w14:textId="77777777" w:rsidR="00A50A68" w:rsidRDefault="00A50A68" w:rsidP="002012C4">
      <w:pPr>
        <w:ind w:firstLineChars="200" w:firstLine="480"/>
        <w:rPr>
          <w:rFonts w:ascii="Calibri" w:hAnsi="Calibri"/>
          <w:szCs w:val="23"/>
          <w:lang w:eastAsia="zh-CN"/>
        </w:rPr>
      </w:pPr>
      <w:r>
        <w:rPr>
          <w:rFonts w:hint="eastAsia"/>
          <w:szCs w:val="23"/>
          <w:lang w:eastAsia="zh-CN"/>
        </w:rPr>
        <w:t>认识到需要创新投资模式来支持电信</w:t>
      </w:r>
      <w:r>
        <w:rPr>
          <w:rFonts w:hint="eastAsia"/>
          <w:szCs w:val="23"/>
          <w:lang w:eastAsia="zh-CN"/>
        </w:rPr>
        <w:t>/</w:t>
      </w:r>
      <w:r>
        <w:rPr>
          <w:rFonts w:hint="eastAsia"/>
          <w:szCs w:val="23"/>
          <w:lang w:eastAsia="zh-CN"/>
        </w:rPr>
        <w:t>信息通信技术和数字基础设施的可持续部署，同时确保所有市场参与方享有公平的竞争环境并应用竞争保障措施。鉴于农村和偏远地区持续存在的财政挑战，我们鼓励制定包容性的政策和监管方法，以促进公私伙伴关系、政府间合作和长期数字化增长。</w:t>
      </w:r>
    </w:p>
    <w:p w14:paraId="38AA4C30" w14:textId="77777777" w:rsidR="00A50A68" w:rsidRDefault="00A50A68" w:rsidP="002012C4">
      <w:pPr>
        <w:pStyle w:val="Heading1"/>
        <w:rPr>
          <w:lang w:eastAsia="zh-CN"/>
        </w:rPr>
      </w:pPr>
      <w:bookmarkStart w:id="27" w:name="_Toc204780046"/>
      <w:r w:rsidRPr="00A50A68">
        <w:rPr>
          <w:rFonts w:hint="eastAsia"/>
          <w:lang w:eastAsia="zh-CN"/>
        </w:rPr>
        <w:lastRenderedPageBreak/>
        <w:t>五</w:t>
      </w:r>
      <w:r w:rsidRPr="00A50A68">
        <w:rPr>
          <w:rFonts w:hint="eastAsia"/>
          <w:lang w:eastAsia="zh-CN"/>
        </w:rPr>
        <w:tab/>
      </w:r>
      <w:r w:rsidRPr="00A50A68">
        <w:rPr>
          <w:rFonts w:hint="eastAsia"/>
          <w:lang w:eastAsia="zh-CN"/>
        </w:rPr>
        <w:t>展望未来</w:t>
      </w:r>
      <w:bookmarkEnd w:id="27"/>
    </w:p>
    <w:p w14:paraId="7839ACF8" w14:textId="45284C30" w:rsidR="00A50A68" w:rsidRDefault="00A50A68" w:rsidP="002012C4">
      <w:pPr>
        <w:ind w:firstLineChars="200" w:firstLine="480"/>
        <w:rPr>
          <w:sz w:val="23"/>
          <w:szCs w:val="23"/>
          <w:lang w:eastAsia="zh-CN"/>
        </w:rPr>
      </w:pPr>
      <w:r>
        <w:rPr>
          <w:rFonts w:hint="eastAsia"/>
          <w:szCs w:val="23"/>
          <w:lang w:eastAsia="zh-CN"/>
        </w:rPr>
        <w:t>在瞬息万变和技术革新的环境中，监管可以成为负责任创新的杠杆，从而支持经济增长、市场竞争和公共利益。我们不会孤立行动</w:t>
      </w:r>
      <w:r w:rsidR="00003E17">
        <w:rPr>
          <w:rFonts w:hint="eastAsia"/>
          <w:szCs w:val="23"/>
          <w:lang w:eastAsia="zh-CN"/>
        </w:rPr>
        <w:t xml:space="preserve"> </w:t>
      </w:r>
      <w:r w:rsidR="003C66F5" w:rsidRPr="003C66F5">
        <w:rPr>
          <w:szCs w:val="23"/>
          <w:lang w:eastAsia="zh-CN"/>
        </w:rPr>
        <w:t>–</w:t>
      </w:r>
      <w:r w:rsidR="00003E17">
        <w:rPr>
          <w:rFonts w:hint="eastAsia"/>
          <w:szCs w:val="23"/>
          <w:lang w:eastAsia="zh-CN"/>
        </w:rPr>
        <w:t xml:space="preserve"> </w:t>
      </w:r>
      <w:r>
        <w:rPr>
          <w:rFonts w:hint="eastAsia"/>
          <w:szCs w:val="23"/>
          <w:lang w:eastAsia="zh-CN"/>
        </w:rPr>
        <w:t>通过内部创新、充足的能力以及市场内外的深度合作，我们可以从规则制定者转变为生态系统的建设者。本导则中的原则和方法铺垫一条清晰之路：加强公众信任，认可监管机构的独特作用，保护公共利益，促进数字化发展，不让任何人掉队，并强化共同治理一个互联、充满活力和相互依存的数字世界的能力。</w:t>
      </w:r>
    </w:p>
    <w:p w14:paraId="74568F68" w14:textId="77777777" w:rsidR="00A50A68" w:rsidRPr="00A50A68" w:rsidRDefault="00A50A68" w:rsidP="00A50A68">
      <w:pPr>
        <w:rPr>
          <w:lang w:eastAsia="zh-CN"/>
        </w:rPr>
      </w:pPr>
    </w:p>
    <w:p w14:paraId="35E92B1D" w14:textId="2C73DF9F" w:rsidR="007E3D79" w:rsidRPr="00E525EA" w:rsidRDefault="007E3D79">
      <w:pPr>
        <w:jc w:val="center"/>
        <w:rPr>
          <w:lang w:eastAsia="zh-CN"/>
        </w:rPr>
      </w:pPr>
      <w:r w:rsidRPr="00E525EA">
        <w:rPr>
          <w:rFonts w:hint="eastAsia"/>
          <w:lang w:eastAsia="zh-CN"/>
        </w:rPr>
        <w:t>______________</w:t>
      </w:r>
    </w:p>
    <w:sectPr w:rsidR="007E3D79" w:rsidRPr="00E525EA" w:rsidSect="00E525EA">
      <w:headerReference w:type="default" r:id="rId7"/>
      <w:footerReference w:type="even" r:id="rId8"/>
      <w:footerReference w:type="default" r:id="rId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33A64" w14:textId="77777777" w:rsidR="00341C16" w:rsidRDefault="00341C16">
      <w:r>
        <w:separator/>
      </w:r>
    </w:p>
  </w:endnote>
  <w:endnote w:type="continuationSeparator" w:id="0">
    <w:p w14:paraId="7E2501A6" w14:textId="77777777" w:rsidR="00341C16" w:rsidRDefault="0034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4F06" w14:textId="0D164A47"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F3558F" w:rsidRPr="00F3558F">
      <w:rPr>
        <w:lang w:val="en-US"/>
      </w:rPr>
      <w:t>Document1</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442586">
      <w:t>29.08.25</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F3558F">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9D5F" w14:textId="0732C1F3" w:rsidR="00D8408B" w:rsidRDefault="00D840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821B" w14:textId="77777777" w:rsidR="00341C16" w:rsidRDefault="00341C16">
      <w:r>
        <w:t>____________________</w:t>
      </w:r>
    </w:p>
  </w:footnote>
  <w:footnote w:type="continuationSeparator" w:id="0">
    <w:p w14:paraId="51CD533D" w14:textId="77777777" w:rsidR="00341C16" w:rsidRDefault="0034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328336"/>
      <w:docPartObj>
        <w:docPartGallery w:val="Page Numbers (Top of Page)"/>
        <w:docPartUnique/>
      </w:docPartObj>
    </w:sdtPr>
    <w:sdtEndPr>
      <w:rPr>
        <w:noProof/>
      </w:rPr>
    </w:sdtEndPr>
    <w:sdtContent>
      <w:p w14:paraId="3E2150CC" w14:textId="7DC85B26" w:rsidR="00E525EA" w:rsidRDefault="00E525EA">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8F"/>
    <w:rsid w:val="00003E17"/>
    <w:rsid w:val="0004799B"/>
    <w:rsid w:val="000908F0"/>
    <w:rsid w:val="000B3038"/>
    <w:rsid w:val="00110373"/>
    <w:rsid w:val="00193ECA"/>
    <w:rsid w:val="00200477"/>
    <w:rsid w:val="002012C4"/>
    <w:rsid w:val="00235C41"/>
    <w:rsid w:val="00285B83"/>
    <w:rsid w:val="003305F4"/>
    <w:rsid w:val="00341C16"/>
    <w:rsid w:val="003C66F5"/>
    <w:rsid w:val="003D3BE6"/>
    <w:rsid w:val="00417C1F"/>
    <w:rsid w:val="00436B50"/>
    <w:rsid w:val="00442586"/>
    <w:rsid w:val="0048154B"/>
    <w:rsid w:val="00537B44"/>
    <w:rsid w:val="005530F1"/>
    <w:rsid w:val="006434A7"/>
    <w:rsid w:val="0068547E"/>
    <w:rsid w:val="00720BE9"/>
    <w:rsid w:val="00746713"/>
    <w:rsid w:val="007E3D79"/>
    <w:rsid w:val="00911C57"/>
    <w:rsid w:val="00987728"/>
    <w:rsid w:val="00A50A68"/>
    <w:rsid w:val="00A53721"/>
    <w:rsid w:val="00A544E1"/>
    <w:rsid w:val="00AD41F8"/>
    <w:rsid w:val="00B07142"/>
    <w:rsid w:val="00B12128"/>
    <w:rsid w:val="00B27CCE"/>
    <w:rsid w:val="00BF0E82"/>
    <w:rsid w:val="00C36B7A"/>
    <w:rsid w:val="00CA12A7"/>
    <w:rsid w:val="00D8408B"/>
    <w:rsid w:val="00DA084F"/>
    <w:rsid w:val="00DC69E0"/>
    <w:rsid w:val="00E525EA"/>
    <w:rsid w:val="00F05CAE"/>
    <w:rsid w:val="00F3558F"/>
    <w:rsid w:val="00F3690D"/>
    <w:rsid w:val="00F80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5931"/>
  <w15:docId w15:val="{A7E87D3C-2603-4579-9A77-F460953A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B8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eastAsia="SimSun" w:hAnsiTheme="minorHAnsi"/>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85B83"/>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rsid w:val="00285B83"/>
    <w:pPr>
      <w:keepNext/>
      <w:spacing w:before="160"/>
    </w:pPr>
    <w:rPr>
      <w:rFonts w:eastAsia="STKait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basedOn w:val="DefaultParagraphFont"/>
    <w:link w:val="Header"/>
    <w:uiPriority w:val="99"/>
    <w:rsid w:val="00D8408B"/>
    <w:rPr>
      <w:rFonts w:asciiTheme="minorHAnsi" w:hAnsiTheme="minorHAnsi"/>
      <w:sz w:val="18"/>
      <w:lang w:val="fr-FR" w:eastAsia="en-US"/>
    </w:rPr>
  </w:style>
  <w:style w:type="character" w:customStyle="1" w:styleId="FooterChar">
    <w:name w:val="Footer Char"/>
    <w:basedOn w:val="DefaultParagraphFont"/>
    <w:link w:val="Footer"/>
    <w:uiPriority w:val="99"/>
    <w:rsid w:val="00D8408B"/>
    <w:rPr>
      <w:rFonts w:asciiTheme="minorHAnsi" w:hAnsiTheme="minorHAnsi"/>
      <w:caps/>
      <w:noProof/>
      <w:sz w:val="16"/>
      <w:lang w:val="fr-FR" w:eastAsia="en-US"/>
    </w:rPr>
  </w:style>
  <w:style w:type="paragraph" w:styleId="TOCHeading">
    <w:name w:val="TOC Heading"/>
    <w:basedOn w:val="Heading1"/>
    <w:next w:val="Normal"/>
    <w:uiPriority w:val="39"/>
    <w:unhideWhenUsed/>
    <w:qFormat/>
    <w:rsid w:val="00D8408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Hyperlink">
    <w:name w:val="Hyperlink"/>
    <w:basedOn w:val="DefaultParagraphFont"/>
    <w:uiPriority w:val="99"/>
    <w:unhideWhenUsed/>
    <w:rsid w:val="00D8408B"/>
    <w:rPr>
      <w:color w:val="0000FF" w:themeColor="hyperlink"/>
      <w:u w:val="single"/>
    </w:rPr>
  </w:style>
  <w:style w:type="character" w:styleId="CommentReference">
    <w:name w:val="annotation reference"/>
    <w:basedOn w:val="DefaultParagraphFont"/>
    <w:semiHidden/>
    <w:unhideWhenUsed/>
    <w:rsid w:val="00F80798"/>
    <w:rPr>
      <w:sz w:val="16"/>
      <w:szCs w:val="16"/>
    </w:rPr>
  </w:style>
  <w:style w:type="paragraph" w:styleId="CommentText">
    <w:name w:val="annotation text"/>
    <w:basedOn w:val="Normal"/>
    <w:link w:val="CommentTextChar"/>
    <w:unhideWhenUsed/>
    <w:rsid w:val="00F80798"/>
    <w:rPr>
      <w:sz w:val="20"/>
    </w:rPr>
  </w:style>
  <w:style w:type="character" w:customStyle="1" w:styleId="CommentTextChar">
    <w:name w:val="Comment Text Char"/>
    <w:basedOn w:val="DefaultParagraphFont"/>
    <w:link w:val="CommentText"/>
    <w:rsid w:val="00F8079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80798"/>
    <w:rPr>
      <w:b/>
      <w:bCs/>
    </w:rPr>
  </w:style>
  <w:style w:type="character" w:customStyle="1" w:styleId="CommentSubjectChar">
    <w:name w:val="Comment Subject Char"/>
    <w:basedOn w:val="CommentTextChar"/>
    <w:link w:val="CommentSubject"/>
    <w:semiHidden/>
    <w:rsid w:val="00F80798"/>
    <w:rPr>
      <w:rFonts w:asciiTheme="minorHAnsi" w:hAnsiTheme="minorHAnsi"/>
      <w:b/>
      <w:bCs/>
      <w:lang w:val="fr-FR" w:eastAsia="en-US"/>
    </w:rPr>
  </w:style>
  <w:style w:type="paragraph" w:customStyle="1" w:styleId="Reasons">
    <w:name w:val="Reasons"/>
    <w:basedOn w:val="Normal"/>
    <w:qFormat/>
    <w:rsid w:val="007E3D7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ing1Char">
    <w:name w:val="Heading 1 Char"/>
    <w:basedOn w:val="DefaultParagraphFont"/>
    <w:link w:val="Heading1"/>
    <w:rsid w:val="00A50A68"/>
    <w:rPr>
      <w:rFonts w:asciiTheme="minorHAnsi" w:eastAsia="SimSun" w:hAnsiTheme="minorHAnsi"/>
      <w:b/>
      <w:sz w:val="24"/>
      <w:lang w:val="fr-FR" w:eastAsia="en-US"/>
    </w:rPr>
  </w:style>
  <w:style w:type="character" w:customStyle="1" w:styleId="Heading3Char">
    <w:name w:val="Heading 3 Char"/>
    <w:basedOn w:val="DefaultParagraphFont"/>
    <w:link w:val="Heading3"/>
    <w:rsid w:val="00A50A68"/>
    <w:rPr>
      <w:rFonts w:asciiTheme="minorHAnsi" w:eastAsia="SimSun" w:hAnsiTheme="minorHAnsi"/>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DEBA-7A4D-4C6D-900B-7FDC94E3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13</TotalTime>
  <Pages>5</Pages>
  <Words>4314</Words>
  <Characters>154</Characters>
  <Application>Microsoft Office Word</Application>
  <DocSecurity>0</DocSecurity>
  <Lines>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Conde, Tamaiti</cp:lastModifiedBy>
  <cp:revision>5</cp:revision>
  <cp:lastPrinted>1993-03-24T09:25:00Z</cp:lastPrinted>
  <dcterms:created xsi:type="dcterms:W3CDTF">2025-08-29T07:48:00Z</dcterms:created>
  <dcterms:modified xsi:type="dcterms:W3CDTF">2025-08-30T08:00:00Z</dcterms:modified>
</cp:coreProperties>
</file>