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D54BD" w14:textId="20228414" w:rsidR="007E0232" w:rsidRPr="00930FEE" w:rsidRDefault="007E0232" w:rsidP="00930FEE">
      <w:pPr>
        <w:jc w:val="center"/>
        <w:rPr>
          <w:rFonts w:cs="Calibri"/>
          <w:b/>
          <w:bCs/>
          <w:i/>
          <w:iCs/>
          <w:sz w:val="28"/>
          <w:szCs w:val="28"/>
          <w:lang w:val="en-US"/>
        </w:rPr>
      </w:pPr>
      <w:r w:rsidRPr="00930FEE">
        <w:rPr>
          <w:rFonts w:cs="Calibri"/>
          <w:b/>
          <w:bCs/>
          <w:i/>
          <w:iCs/>
          <w:sz w:val="28"/>
          <w:szCs w:val="28"/>
          <w:lang w:val="en-US"/>
        </w:rPr>
        <w:t xml:space="preserve">Draft </w:t>
      </w:r>
      <w:r w:rsidR="00930FEE" w:rsidRPr="00930FEE">
        <w:rPr>
          <w:rFonts w:cs="Calibri"/>
          <w:b/>
          <w:bCs/>
          <w:i/>
          <w:iCs/>
          <w:sz w:val="28"/>
          <w:szCs w:val="28"/>
          <w:lang w:val="en-US"/>
        </w:rPr>
        <w:t>final</w:t>
      </w:r>
      <w:r w:rsidRPr="00930FEE">
        <w:rPr>
          <w:rFonts w:cs="Calibri"/>
          <w:b/>
          <w:bCs/>
          <w:i/>
          <w:iCs/>
          <w:sz w:val="28"/>
          <w:szCs w:val="28"/>
          <w:lang w:val="en-US"/>
        </w:rPr>
        <w:t xml:space="preserve"> – GSR-25 Best Practice Guidelines</w:t>
      </w:r>
    </w:p>
    <w:p w14:paraId="6B787D78" w14:textId="77777777" w:rsidR="007E0232" w:rsidRPr="007E0232" w:rsidRDefault="007E0232" w:rsidP="00494183">
      <w:pPr>
        <w:jc w:val="both"/>
        <w:rPr>
          <w:rFonts w:cs="Calibri"/>
          <w:b/>
          <w:bCs/>
          <w:sz w:val="28"/>
          <w:szCs w:val="28"/>
          <w:lang w:val="en-US"/>
        </w:rPr>
      </w:pPr>
      <w:r w:rsidRPr="007E0232">
        <w:rPr>
          <w:rFonts w:cs="Calibri"/>
          <w:b/>
          <w:bCs/>
          <w:sz w:val="28"/>
          <w:szCs w:val="28"/>
        </w:rPr>
        <w:t xml:space="preserve">EMPOWERING REGULATORS AS DIGITAL ECOSYSTEM BUILDERS </w:t>
      </w:r>
    </w:p>
    <w:p w14:paraId="14D6A728" w14:textId="7F123E75" w:rsidR="00D27433" w:rsidRPr="00D27433" w:rsidRDefault="003B0D6C" w:rsidP="00580A6C">
      <w:pPr>
        <w:spacing w:before="160"/>
        <w:jc w:val="both"/>
        <w:rPr>
          <w:rFonts w:cs="Calibri"/>
          <w:szCs w:val="23"/>
        </w:rPr>
      </w:pPr>
      <w:r w:rsidRPr="00463020">
        <w:rPr>
          <w:rFonts w:cs="Calibri"/>
          <w:szCs w:val="23"/>
        </w:rPr>
        <w:t xml:space="preserve">As digital technologies transform how societies connect, trade, learn and </w:t>
      </w:r>
      <w:r w:rsidR="009E41F0">
        <w:rPr>
          <w:rFonts w:cs="Calibri"/>
          <w:szCs w:val="23"/>
        </w:rPr>
        <w:t xml:space="preserve">are </w:t>
      </w:r>
      <w:r w:rsidRPr="00463020">
        <w:rPr>
          <w:rFonts w:cs="Calibri"/>
          <w:szCs w:val="23"/>
        </w:rPr>
        <w:t>govern</w:t>
      </w:r>
      <w:r w:rsidR="009E41F0">
        <w:rPr>
          <w:rFonts w:cs="Calibri"/>
          <w:szCs w:val="23"/>
        </w:rPr>
        <w:t>e</w:t>
      </w:r>
      <w:r w:rsidR="00211E70">
        <w:rPr>
          <w:rFonts w:cs="Calibri"/>
          <w:szCs w:val="23"/>
        </w:rPr>
        <w:t>d</w:t>
      </w:r>
      <w:r w:rsidRPr="00463020">
        <w:rPr>
          <w:rFonts w:cs="Calibri"/>
          <w:szCs w:val="23"/>
        </w:rPr>
        <w:t xml:space="preserve">, </w:t>
      </w:r>
      <w:r w:rsidR="006E1E98">
        <w:rPr>
          <w:rFonts w:cs="Calibri"/>
          <w:szCs w:val="23"/>
        </w:rPr>
        <w:t xml:space="preserve">telecommunication/ICT </w:t>
      </w:r>
      <w:r w:rsidRPr="00463020">
        <w:rPr>
          <w:rFonts w:cs="Calibri"/>
          <w:szCs w:val="23"/>
        </w:rPr>
        <w:t>regulators are being called to do more than oversee markets</w:t>
      </w:r>
      <w:r w:rsidR="004B6470">
        <w:rPr>
          <w:rFonts w:cs="Calibri"/>
          <w:szCs w:val="23"/>
        </w:rPr>
        <w:t>.</w:t>
      </w:r>
      <w:r w:rsidRPr="00463020">
        <w:rPr>
          <w:rFonts w:cs="Calibri"/>
          <w:szCs w:val="23"/>
        </w:rPr>
        <w:t xml:space="preserve"> </w:t>
      </w:r>
      <w:r w:rsidR="00D27433" w:rsidRPr="00D27433">
        <w:rPr>
          <w:rFonts w:cs="Calibri"/>
          <w:szCs w:val="23"/>
        </w:rPr>
        <w:t xml:space="preserve">They must adapt, embed innovation at the heart of their institutional mission and help shape </w:t>
      </w:r>
      <w:r w:rsidR="00C21A40" w:rsidRPr="00D27433">
        <w:rPr>
          <w:rFonts w:cs="Calibri"/>
          <w:szCs w:val="23"/>
        </w:rPr>
        <w:t xml:space="preserve">resilient and future-ready </w:t>
      </w:r>
      <w:r w:rsidR="00D27433" w:rsidRPr="00D27433">
        <w:rPr>
          <w:rFonts w:cs="Calibri"/>
          <w:szCs w:val="23"/>
        </w:rPr>
        <w:t xml:space="preserve">digital ecosystems. This transformation demands a </w:t>
      </w:r>
      <w:r w:rsidR="0093007E">
        <w:rPr>
          <w:rFonts w:cs="Calibri"/>
          <w:szCs w:val="23"/>
        </w:rPr>
        <w:t>continued evolution in regulatory approaches and</w:t>
      </w:r>
      <w:r w:rsidR="0093007E" w:rsidRPr="00D27433" w:rsidDel="0093007E">
        <w:rPr>
          <w:rFonts w:cs="Calibri"/>
          <w:szCs w:val="23"/>
        </w:rPr>
        <w:t xml:space="preserve"> </w:t>
      </w:r>
      <w:r w:rsidR="00D27433" w:rsidRPr="00D27433">
        <w:rPr>
          <w:rFonts w:cs="Calibri"/>
          <w:szCs w:val="23"/>
        </w:rPr>
        <w:t>mindset</w:t>
      </w:r>
      <w:r w:rsidR="0093007E">
        <w:rPr>
          <w:rFonts w:cs="Calibri"/>
          <w:szCs w:val="23"/>
        </w:rPr>
        <w:t>s</w:t>
      </w:r>
      <w:r w:rsidR="00D27433" w:rsidRPr="00D27433">
        <w:rPr>
          <w:rFonts w:cs="Calibri"/>
          <w:szCs w:val="23"/>
        </w:rPr>
        <w:t>, the adoption of new tools</w:t>
      </w:r>
      <w:r w:rsidR="00211E70">
        <w:rPr>
          <w:rFonts w:cs="Calibri"/>
          <w:szCs w:val="23"/>
        </w:rPr>
        <w:t>,</w:t>
      </w:r>
      <w:r w:rsidR="00D27433" w:rsidRPr="00D27433">
        <w:rPr>
          <w:rFonts w:cs="Calibri"/>
          <w:szCs w:val="23"/>
        </w:rPr>
        <w:t xml:space="preserve"> and deeper collaboration across sectors and borders.</w:t>
      </w:r>
    </w:p>
    <w:p w14:paraId="09D7706B" w14:textId="3E7D3FFD" w:rsidR="00D27433" w:rsidRPr="00D27433" w:rsidRDefault="00D27433" w:rsidP="00580A6C">
      <w:pPr>
        <w:spacing w:before="160"/>
        <w:jc w:val="both"/>
        <w:rPr>
          <w:rFonts w:cs="Calibri"/>
          <w:szCs w:val="23"/>
        </w:rPr>
      </w:pPr>
      <w:r w:rsidRPr="00D27433">
        <w:rPr>
          <w:rFonts w:cs="Calibri"/>
          <w:szCs w:val="23"/>
        </w:rPr>
        <w:t>Building on two decades of GSR Best Practice Guidelines</w:t>
      </w:r>
      <w:r w:rsidR="007464F2" w:rsidRPr="0032649F">
        <w:rPr>
          <w:rFonts w:cs="Calibri"/>
          <w:szCs w:val="23"/>
        </w:rPr>
        <w:t xml:space="preserve">, </w:t>
      </w:r>
      <w:r w:rsidRPr="00D27433">
        <w:rPr>
          <w:rFonts w:cs="Calibri"/>
          <w:szCs w:val="23"/>
        </w:rPr>
        <w:t>which have helped define sound regulatory principles and foster enabling environments</w:t>
      </w:r>
      <w:r w:rsidR="007464F2" w:rsidRPr="0032649F">
        <w:rPr>
          <w:rFonts w:cs="Calibri"/>
          <w:szCs w:val="23"/>
        </w:rPr>
        <w:t xml:space="preserve">, </w:t>
      </w:r>
      <w:r w:rsidRPr="00D27433">
        <w:rPr>
          <w:rFonts w:cs="Calibri"/>
          <w:szCs w:val="23"/>
        </w:rPr>
        <w:t>we</w:t>
      </w:r>
      <w:r w:rsidR="007464F2" w:rsidRPr="0032649F">
        <w:rPr>
          <w:rFonts w:cs="Calibri"/>
          <w:szCs w:val="23"/>
        </w:rPr>
        <w:t xml:space="preserve"> –</w:t>
      </w:r>
      <w:r w:rsidRPr="00D27433">
        <w:rPr>
          <w:rFonts w:cs="Calibri"/>
          <w:szCs w:val="23"/>
        </w:rPr>
        <w:t xml:space="preserve"> the</w:t>
      </w:r>
      <w:r w:rsidR="007464F2" w:rsidRPr="0032649F">
        <w:rPr>
          <w:rFonts w:cs="Calibri"/>
          <w:szCs w:val="23"/>
        </w:rPr>
        <w:t xml:space="preserve"> </w:t>
      </w:r>
      <w:r w:rsidRPr="00D27433">
        <w:rPr>
          <w:rFonts w:cs="Calibri"/>
          <w:szCs w:val="23"/>
        </w:rPr>
        <w:t xml:space="preserve">regulators participating in the </w:t>
      </w:r>
      <w:r w:rsidR="0045152F">
        <w:rPr>
          <w:rFonts w:cs="Calibri"/>
          <w:szCs w:val="23"/>
        </w:rPr>
        <w:t>2025</w:t>
      </w:r>
      <w:r w:rsidRPr="00D27433">
        <w:rPr>
          <w:rFonts w:cs="Calibri"/>
          <w:szCs w:val="23"/>
        </w:rPr>
        <w:t xml:space="preserve"> Global Symposium for Regulators</w:t>
      </w:r>
      <w:r w:rsidR="007464F2" w:rsidRPr="0032649F">
        <w:rPr>
          <w:rFonts w:cs="Calibri"/>
          <w:szCs w:val="23"/>
        </w:rPr>
        <w:t xml:space="preserve"> –</w:t>
      </w:r>
      <w:r w:rsidRPr="00D27433">
        <w:rPr>
          <w:rFonts w:cs="Calibri"/>
          <w:szCs w:val="23"/>
        </w:rPr>
        <w:t xml:space="preserve"> acknowledge</w:t>
      </w:r>
      <w:r w:rsidR="007464F2" w:rsidRPr="0032649F">
        <w:rPr>
          <w:rFonts w:cs="Calibri"/>
          <w:szCs w:val="23"/>
        </w:rPr>
        <w:t xml:space="preserve"> </w:t>
      </w:r>
      <w:r w:rsidRPr="00D27433">
        <w:rPr>
          <w:rFonts w:cs="Calibri"/>
          <w:szCs w:val="23"/>
        </w:rPr>
        <w:t xml:space="preserve">the </w:t>
      </w:r>
      <w:r w:rsidR="006D325C">
        <w:rPr>
          <w:rFonts w:cs="Calibri"/>
          <w:szCs w:val="23"/>
        </w:rPr>
        <w:t>pace</w:t>
      </w:r>
      <w:r w:rsidR="006D325C" w:rsidRPr="00D27433">
        <w:rPr>
          <w:rFonts w:cs="Calibri"/>
          <w:szCs w:val="23"/>
        </w:rPr>
        <w:t xml:space="preserve"> </w:t>
      </w:r>
      <w:r w:rsidRPr="00D27433">
        <w:rPr>
          <w:rFonts w:cs="Calibri"/>
          <w:szCs w:val="23"/>
        </w:rPr>
        <w:t xml:space="preserve">of this </w:t>
      </w:r>
      <w:r w:rsidR="006D325C">
        <w:rPr>
          <w:rFonts w:cs="Calibri"/>
          <w:szCs w:val="23"/>
        </w:rPr>
        <w:t>change and our urgency to respond</w:t>
      </w:r>
      <w:r w:rsidRPr="00D27433">
        <w:rPr>
          <w:rFonts w:cs="Calibri"/>
          <w:szCs w:val="23"/>
        </w:rPr>
        <w:t xml:space="preserve">. Responding to today’s challenges and preparing for those ahead </w:t>
      </w:r>
      <w:r w:rsidR="00B514FA">
        <w:rPr>
          <w:rFonts w:cs="Calibri"/>
          <w:szCs w:val="23"/>
        </w:rPr>
        <w:t>call upon</w:t>
      </w:r>
      <w:r w:rsidR="00B514FA" w:rsidRPr="00D27433">
        <w:rPr>
          <w:rFonts w:cs="Calibri"/>
          <w:szCs w:val="23"/>
        </w:rPr>
        <w:t xml:space="preserve"> </w:t>
      </w:r>
      <w:r w:rsidRPr="00D27433">
        <w:rPr>
          <w:rFonts w:cs="Calibri"/>
          <w:szCs w:val="23"/>
        </w:rPr>
        <w:t xml:space="preserve">regulators to </w:t>
      </w:r>
      <w:r w:rsidR="007A0ABA">
        <w:rPr>
          <w:rFonts w:cs="Calibri"/>
          <w:szCs w:val="23"/>
        </w:rPr>
        <w:t>reconsider</w:t>
      </w:r>
      <w:r w:rsidR="007A0ABA" w:rsidRPr="00D27433">
        <w:rPr>
          <w:rFonts w:cs="Calibri"/>
          <w:szCs w:val="23"/>
        </w:rPr>
        <w:t xml:space="preserve"> </w:t>
      </w:r>
      <w:r w:rsidR="007A0ABA">
        <w:rPr>
          <w:rFonts w:cs="Calibri"/>
          <w:szCs w:val="23"/>
        </w:rPr>
        <w:t xml:space="preserve">our </w:t>
      </w:r>
      <w:r w:rsidRPr="00D27433">
        <w:rPr>
          <w:rFonts w:cs="Calibri"/>
          <w:szCs w:val="23"/>
        </w:rPr>
        <w:t xml:space="preserve">role </w:t>
      </w:r>
      <w:r w:rsidR="007A0ABA">
        <w:rPr>
          <w:rFonts w:cs="Calibri"/>
          <w:szCs w:val="23"/>
        </w:rPr>
        <w:t>as</w:t>
      </w:r>
      <w:r w:rsidRPr="00D27433">
        <w:rPr>
          <w:rFonts w:cs="Calibri"/>
          <w:szCs w:val="23"/>
        </w:rPr>
        <w:t xml:space="preserve"> digital ecosystem builders</w:t>
      </w:r>
      <w:r w:rsidR="001D7BCB">
        <w:rPr>
          <w:rFonts w:cs="Calibri"/>
          <w:szCs w:val="23"/>
        </w:rPr>
        <w:t xml:space="preserve">: </w:t>
      </w:r>
      <w:r w:rsidR="001D7BCB" w:rsidRPr="001D7BCB">
        <w:rPr>
          <w:rFonts w:cs="Calibri"/>
          <w:szCs w:val="23"/>
        </w:rPr>
        <w:t>convening partners, aligning rules and incentives, opening shared data and infrastructure, and using evidence and testing to build inclusive, trusted digital markets</w:t>
      </w:r>
      <w:r w:rsidRPr="00D27433">
        <w:rPr>
          <w:rFonts w:cs="Calibri"/>
          <w:szCs w:val="23"/>
        </w:rPr>
        <w:t>.</w:t>
      </w:r>
    </w:p>
    <w:p w14:paraId="6DE3D7F2" w14:textId="39F23EE3" w:rsidR="00D27433" w:rsidRDefault="00D27433" w:rsidP="00580A6C">
      <w:pPr>
        <w:spacing w:before="160"/>
        <w:jc w:val="both"/>
        <w:rPr>
          <w:rFonts w:cs="Calibri"/>
          <w:szCs w:val="23"/>
        </w:rPr>
      </w:pPr>
      <w:r w:rsidRPr="00D27433">
        <w:rPr>
          <w:rFonts w:cs="Calibri"/>
          <w:szCs w:val="23"/>
        </w:rPr>
        <w:t>These guidelines reflect our shared commitment: informed by national experience, guided by a global perspective and focused on delivering practical, forward-looking regulatory leadership for a digital future that leaves no one behind.</w:t>
      </w:r>
    </w:p>
    <w:p w14:paraId="794E6E5B" w14:textId="0E837079" w:rsidR="00463020" w:rsidRPr="00463020" w:rsidRDefault="00463020" w:rsidP="00494183">
      <w:pPr>
        <w:pStyle w:val="Heading2"/>
        <w:jc w:val="both"/>
      </w:pPr>
      <w:bookmarkStart w:id="0" w:name="_Toc202790130"/>
      <w:r>
        <w:t>I</w:t>
      </w:r>
      <w:r>
        <w:tab/>
      </w:r>
      <w:r w:rsidRPr="00463020">
        <w:t>FOSTER INNOVATION IN REGULATORY APPROACHES</w:t>
      </w:r>
      <w:bookmarkEnd w:id="0"/>
    </w:p>
    <w:p w14:paraId="51262888" w14:textId="63504870" w:rsidR="007E0232" w:rsidRDefault="00290D90" w:rsidP="00494183">
      <w:pPr>
        <w:pStyle w:val="Heading3"/>
        <w:jc w:val="both"/>
        <w:rPr>
          <w:b w:val="0"/>
        </w:rPr>
      </w:pPr>
      <w:bookmarkStart w:id="1" w:name="_Toc202790131"/>
      <w:r w:rsidRPr="00920466">
        <w:rPr>
          <w:rFonts w:cs="Calibri"/>
          <w:szCs w:val="23"/>
        </w:rPr>
        <w:t xml:space="preserve">Make </w:t>
      </w:r>
      <w:r w:rsidR="00AD77E2">
        <w:rPr>
          <w:rFonts w:cs="Calibri"/>
          <w:szCs w:val="23"/>
        </w:rPr>
        <w:t>i</w:t>
      </w:r>
      <w:r w:rsidRPr="00920466">
        <w:rPr>
          <w:rFonts w:cs="Calibri"/>
          <w:szCs w:val="23"/>
        </w:rPr>
        <w:t xml:space="preserve">nnovation a </w:t>
      </w:r>
      <w:r w:rsidR="00AD77E2">
        <w:rPr>
          <w:rFonts w:cs="Calibri"/>
          <w:szCs w:val="23"/>
        </w:rPr>
        <w:t>c</w:t>
      </w:r>
      <w:r w:rsidRPr="00920466">
        <w:rPr>
          <w:rFonts w:cs="Calibri"/>
          <w:szCs w:val="23"/>
        </w:rPr>
        <w:t xml:space="preserve">ore </w:t>
      </w:r>
      <w:r w:rsidR="00AD77E2">
        <w:rPr>
          <w:rFonts w:cs="Calibri"/>
          <w:szCs w:val="23"/>
        </w:rPr>
        <w:t>r</w:t>
      </w:r>
      <w:r w:rsidRPr="00920466">
        <w:rPr>
          <w:rFonts w:cs="Calibri"/>
          <w:szCs w:val="23"/>
        </w:rPr>
        <w:t xml:space="preserve">egulatory </w:t>
      </w:r>
      <w:r w:rsidR="00AD77E2">
        <w:rPr>
          <w:rFonts w:cs="Calibri"/>
          <w:szCs w:val="23"/>
        </w:rPr>
        <w:t>p</w:t>
      </w:r>
      <w:r w:rsidRPr="00920466">
        <w:rPr>
          <w:rFonts w:cs="Calibri"/>
          <w:szCs w:val="23"/>
        </w:rPr>
        <w:t>ractice</w:t>
      </w:r>
      <w:bookmarkEnd w:id="1"/>
    </w:p>
    <w:p w14:paraId="0A060316" w14:textId="5386CE72" w:rsidR="00FF4AF2" w:rsidRPr="00463020" w:rsidRDefault="00463020" w:rsidP="009D6D34">
      <w:pPr>
        <w:jc w:val="both"/>
        <w:rPr>
          <w:rFonts w:cs="Calibri"/>
          <w:szCs w:val="23"/>
        </w:rPr>
      </w:pPr>
      <w:r w:rsidRPr="00463020">
        <w:rPr>
          <w:rFonts w:cs="Calibri"/>
          <w:szCs w:val="23"/>
        </w:rPr>
        <w:t>Regulators should treat innovation not as a side project, but as a core part of how regulation is designed and delivered. Institutionalize experimentation by embedding pilot projects into annual workplans, using regulatory sandboxes and testing light-touch rules before full rollout.</w:t>
      </w:r>
      <w:r w:rsidR="00212823" w:rsidRPr="00212823">
        <w:rPr>
          <w:b/>
          <w:bCs/>
        </w:rPr>
        <w:t xml:space="preserve"> </w:t>
      </w:r>
      <w:r w:rsidR="002B3756">
        <w:rPr>
          <w:rFonts w:cs="Calibri"/>
          <w:szCs w:val="23"/>
        </w:rPr>
        <w:t>M</w:t>
      </w:r>
      <w:r w:rsidRPr="00463020">
        <w:rPr>
          <w:rFonts w:cs="Calibri"/>
          <w:szCs w:val="23"/>
        </w:rPr>
        <w:t>ake room for learning from failure</w:t>
      </w:r>
      <w:r w:rsidR="009D6D34">
        <w:rPr>
          <w:rFonts w:cs="Calibri"/>
          <w:szCs w:val="23"/>
        </w:rPr>
        <w:t xml:space="preserve">, </w:t>
      </w:r>
      <w:r w:rsidR="009D6D34" w:rsidRPr="009D6D34">
        <w:rPr>
          <w:rFonts w:cs="Calibri"/>
          <w:szCs w:val="23"/>
        </w:rPr>
        <w:t xml:space="preserve">recognizing that not every </w:t>
      </w:r>
      <w:r w:rsidR="008F61BE">
        <w:rPr>
          <w:rFonts w:cs="Calibri"/>
          <w:szCs w:val="23"/>
        </w:rPr>
        <w:t>innovation</w:t>
      </w:r>
      <w:r w:rsidR="009D6D34" w:rsidRPr="009D6D34">
        <w:rPr>
          <w:rFonts w:cs="Calibri"/>
          <w:szCs w:val="23"/>
        </w:rPr>
        <w:t xml:space="preserve"> will succeed but every attempt </w:t>
      </w:r>
      <w:r w:rsidR="003E14B1">
        <w:rPr>
          <w:rFonts w:cs="Calibri"/>
          <w:szCs w:val="23"/>
        </w:rPr>
        <w:t>generates</w:t>
      </w:r>
      <w:r w:rsidR="009D6D34" w:rsidRPr="009D6D34">
        <w:rPr>
          <w:rFonts w:cs="Calibri"/>
          <w:szCs w:val="23"/>
        </w:rPr>
        <w:t xml:space="preserve"> valuable insight</w:t>
      </w:r>
      <w:r w:rsidR="0093484B">
        <w:rPr>
          <w:rFonts w:cs="Calibri"/>
          <w:szCs w:val="23"/>
        </w:rPr>
        <w:t>s</w:t>
      </w:r>
      <w:r w:rsidR="003E14B1">
        <w:rPr>
          <w:rFonts w:cs="Calibri"/>
          <w:szCs w:val="23"/>
        </w:rPr>
        <w:t xml:space="preserve"> </w:t>
      </w:r>
      <w:r w:rsidR="003E14B1" w:rsidRPr="003E14B1">
        <w:rPr>
          <w:rFonts w:cs="Calibri"/>
          <w:szCs w:val="23"/>
        </w:rPr>
        <w:t>that strengthen future regulatory approaches</w:t>
      </w:r>
      <w:r w:rsidR="009D6D34" w:rsidRPr="009D6D34">
        <w:rPr>
          <w:rFonts w:cs="Calibri"/>
          <w:szCs w:val="23"/>
        </w:rPr>
        <w:t>.</w:t>
      </w:r>
    </w:p>
    <w:p w14:paraId="64A2639F" w14:textId="77777777" w:rsidR="00384493" w:rsidRDefault="00463020" w:rsidP="00494183">
      <w:pPr>
        <w:pStyle w:val="Heading3"/>
        <w:jc w:val="both"/>
      </w:pPr>
      <w:bookmarkStart w:id="2" w:name="_Toc202790132"/>
      <w:r w:rsidRPr="00463020">
        <w:t>Develop future-ready skills and mindsets</w:t>
      </w:r>
      <w:bookmarkEnd w:id="2"/>
    </w:p>
    <w:p w14:paraId="42A807BF" w14:textId="77B55CF2" w:rsidR="00164506" w:rsidRPr="00463020" w:rsidRDefault="00463020" w:rsidP="00DB433B">
      <w:pPr>
        <w:jc w:val="both"/>
        <w:rPr>
          <w:rFonts w:cs="Calibri"/>
          <w:szCs w:val="23"/>
        </w:rPr>
      </w:pPr>
      <w:r w:rsidRPr="00463020">
        <w:rPr>
          <w:rFonts w:cs="Calibri"/>
          <w:szCs w:val="23"/>
        </w:rPr>
        <w:t xml:space="preserve">In addition to technical knowledge in </w:t>
      </w:r>
      <w:r w:rsidR="00D437E8">
        <w:rPr>
          <w:rFonts w:cs="Calibri"/>
          <w:szCs w:val="23"/>
        </w:rPr>
        <w:t xml:space="preserve">telecommunication/ICTs, </w:t>
      </w:r>
      <w:r w:rsidR="003C1BE3">
        <w:rPr>
          <w:rFonts w:cs="Calibri"/>
          <w:szCs w:val="23"/>
        </w:rPr>
        <w:t>digital</w:t>
      </w:r>
      <w:r w:rsidR="00A86C7A">
        <w:rPr>
          <w:rFonts w:cs="Calibri"/>
          <w:szCs w:val="23"/>
        </w:rPr>
        <w:t>,</w:t>
      </w:r>
      <w:r w:rsidR="002E43E2">
        <w:rPr>
          <w:rFonts w:cs="Calibri"/>
          <w:szCs w:val="23"/>
        </w:rPr>
        <w:t xml:space="preserve"> </w:t>
      </w:r>
      <w:r w:rsidR="00F2389A">
        <w:rPr>
          <w:rFonts w:cs="Calibri"/>
          <w:szCs w:val="23"/>
        </w:rPr>
        <w:t xml:space="preserve">new and emerging technologies such as </w:t>
      </w:r>
      <w:r w:rsidRPr="00463020">
        <w:rPr>
          <w:rFonts w:cs="Calibri"/>
          <w:szCs w:val="23"/>
        </w:rPr>
        <w:t xml:space="preserve">AI, IoT, </w:t>
      </w:r>
      <w:r w:rsidR="00562546">
        <w:rPr>
          <w:rFonts w:cs="Calibri"/>
          <w:szCs w:val="23"/>
        </w:rPr>
        <w:t>s</w:t>
      </w:r>
      <w:r w:rsidR="00562546" w:rsidRPr="00562546">
        <w:rPr>
          <w:rFonts w:cs="Calibri"/>
          <w:szCs w:val="23"/>
        </w:rPr>
        <w:t>pace- and satellite-enabled services</w:t>
      </w:r>
      <w:r w:rsidR="00726C49">
        <w:rPr>
          <w:rFonts w:cs="Calibri"/>
          <w:szCs w:val="23"/>
        </w:rPr>
        <w:t xml:space="preserve"> </w:t>
      </w:r>
      <w:r w:rsidR="00804DD8">
        <w:rPr>
          <w:rFonts w:cs="Calibri"/>
          <w:szCs w:val="23"/>
        </w:rPr>
        <w:t xml:space="preserve">and quantum </w:t>
      </w:r>
      <w:r w:rsidR="00726C49">
        <w:rPr>
          <w:rFonts w:cs="Calibri"/>
          <w:szCs w:val="23"/>
        </w:rPr>
        <w:t>technologies</w:t>
      </w:r>
      <w:r w:rsidR="00A9305C">
        <w:rPr>
          <w:rFonts w:cs="Calibri"/>
          <w:szCs w:val="23"/>
        </w:rPr>
        <w:t>,</w:t>
      </w:r>
      <w:r w:rsidRPr="00463020">
        <w:rPr>
          <w:rFonts w:cs="Calibri"/>
          <w:szCs w:val="23"/>
        </w:rPr>
        <w:t xml:space="preserve"> blockchain</w:t>
      </w:r>
      <w:r w:rsidR="00A9305C">
        <w:rPr>
          <w:rFonts w:cs="Calibri"/>
          <w:szCs w:val="23"/>
        </w:rPr>
        <w:t xml:space="preserve"> and advanced cybersecurity frameworks</w:t>
      </w:r>
      <w:r w:rsidRPr="00463020">
        <w:rPr>
          <w:rFonts w:cs="Calibri"/>
          <w:szCs w:val="23"/>
        </w:rPr>
        <w:t>, regulators need skills in policy prototyping, behavio</w:t>
      </w:r>
      <w:r w:rsidR="005D0999">
        <w:rPr>
          <w:rFonts w:cs="Calibri"/>
          <w:szCs w:val="23"/>
        </w:rPr>
        <w:t>u</w:t>
      </w:r>
      <w:r w:rsidRPr="00463020">
        <w:rPr>
          <w:rFonts w:cs="Calibri"/>
          <w:szCs w:val="23"/>
        </w:rPr>
        <w:t xml:space="preserve">ral </w:t>
      </w:r>
      <w:r w:rsidR="00F275C4">
        <w:rPr>
          <w:rFonts w:cs="Calibri"/>
          <w:szCs w:val="23"/>
        </w:rPr>
        <w:t>insights</w:t>
      </w:r>
      <w:r w:rsidR="00F275C4" w:rsidRPr="00463020">
        <w:rPr>
          <w:rFonts w:cs="Calibri"/>
          <w:szCs w:val="23"/>
        </w:rPr>
        <w:t xml:space="preserve"> </w:t>
      </w:r>
      <w:r w:rsidRPr="00463020">
        <w:rPr>
          <w:rFonts w:cs="Calibri"/>
          <w:szCs w:val="23"/>
        </w:rPr>
        <w:t>and systems thinking</w:t>
      </w:r>
      <w:r w:rsidR="002F3932">
        <w:rPr>
          <w:rFonts w:cs="Calibri"/>
          <w:szCs w:val="23"/>
        </w:rPr>
        <w:t xml:space="preserve"> –</w:t>
      </w:r>
      <w:r w:rsidR="00F275C4">
        <w:rPr>
          <w:rFonts w:cs="Calibri"/>
          <w:szCs w:val="23"/>
        </w:rPr>
        <w:t xml:space="preserve"> </w:t>
      </w:r>
      <w:r w:rsidR="00F275C4" w:rsidRPr="00F275C4">
        <w:rPr>
          <w:rFonts w:cs="Calibri"/>
          <w:szCs w:val="23"/>
        </w:rPr>
        <w:t>applied</w:t>
      </w:r>
      <w:r w:rsidR="002F3932">
        <w:rPr>
          <w:rFonts w:cs="Calibri"/>
          <w:szCs w:val="23"/>
        </w:rPr>
        <w:t xml:space="preserve"> </w:t>
      </w:r>
      <w:r w:rsidR="00F275C4" w:rsidRPr="00F275C4">
        <w:rPr>
          <w:rFonts w:cs="Calibri"/>
          <w:szCs w:val="23"/>
        </w:rPr>
        <w:t>through practical, evidence-led methods</w:t>
      </w:r>
      <w:r w:rsidRPr="00463020">
        <w:rPr>
          <w:rFonts w:cs="Calibri"/>
          <w:szCs w:val="23"/>
        </w:rPr>
        <w:t xml:space="preserve">. </w:t>
      </w:r>
      <w:r w:rsidR="005C414F">
        <w:rPr>
          <w:rFonts w:cs="Calibri"/>
          <w:szCs w:val="23"/>
        </w:rPr>
        <w:t>F</w:t>
      </w:r>
      <w:r w:rsidR="005C414F" w:rsidRPr="00DB433B">
        <w:rPr>
          <w:rFonts w:cs="Calibri"/>
          <w:szCs w:val="23"/>
        </w:rPr>
        <w:t>oster an agile</w:t>
      </w:r>
      <w:r w:rsidR="005C414F" w:rsidRPr="00164506">
        <w:rPr>
          <w:rFonts w:cs="Calibri"/>
          <w:szCs w:val="23"/>
        </w:rPr>
        <w:t xml:space="preserve">, </w:t>
      </w:r>
      <w:r w:rsidR="005C414F">
        <w:rPr>
          <w:rFonts w:cs="Calibri"/>
          <w:szCs w:val="23"/>
        </w:rPr>
        <w:t>future-responsive</w:t>
      </w:r>
      <w:r w:rsidR="005C414F" w:rsidRPr="00164506">
        <w:rPr>
          <w:rFonts w:cs="Calibri"/>
          <w:szCs w:val="23"/>
        </w:rPr>
        <w:t xml:space="preserve"> regulatory culture</w:t>
      </w:r>
      <w:r w:rsidR="005C414F">
        <w:rPr>
          <w:rFonts w:cs="Calibri"/>
          <w:szCs w:val="23"/>
        </w:rPr>
        <w:t xml:space="preserve"> </w:t>
      </w:r>
      <w:r w:rsidR="00CF19AA">
        <w:rPr>
          <w:rFonts w:cs="Calibri"/>
          <w:szCs w:val="23"/>
        </w:rPr>
        <w:t xml:space="preserve">by </w:t>
      </w:r>
      <w:r w:rsidR="00DB3D07">
        <w:rPr>
          <w:rFonts w:cs="Calibri"/>
          <w:szCs w:val="23"/>
        </w:rPr>
        <w:t xml:space="preserve">supporting </w:t>
      </w:r>
      <w:r w:rsidR="00164506">
        <w:rPr>
          <w:rFonts w:cs="Calibri"/>
          <w:szCs w:val="23"/>
        </w:rPr>
        <w:t>c</w:t>
      </w:r>
      <w:r w:rsidRPr="00463020">
        <w:rPr>
          <w:rFonts w:cs="Calibri"/>
          <w:szCs w:val="23"/>
        </w:rPr>
        <w:t xml:space="preserve">ontinuous peer learning </w:t>
      </w:r>
      <w:r w:rsidR="009F254D">
        <w:rPr>
          <w:rFonts w:cs="Calibri"/>
          <w:szCs w:val="23"/>
        </w:rPr>
        <w:t xml:space="preserve">opportunities for staff </w:t>
      </w:r>
      <w:r w:rsidRPr="00463020">
        <w:rPr>
          <w:rFonts w:cs="Calibri"/>
          <w:szCs w:val="23"/>
        </w:rPr>
        <w:t xml:space="preserve">and </w:t>
      </w:r>
      <w:r w:rsidR="009F254D">
        <w:rPr>
          <w:rFonts w:cs="Calibri"/>
          <w:szCs w:val="23"/>
        </w:rPr>
        <w:t xml:space="preserve">building </w:t>
      </w:r>
      <w:r w:rsidRPr="00463020">
        <w:rPr>
          <w:rFonts w:cs="Calibri"/>
          <w:szCs w:val="23"/>
        </w:rPr>
        <w:t>cross-disciplinary collaboration into institutional routines</w:t>
      </w:r>
      <w:r w:rsidR="00DB433B" w:rsidRPr="00DB433B">
        <w:rPr>
          <w:rFonts w:cs="Calibri"/>
          <w:szCs w:val="23"/>
        </w:rPr>
        <w:t>.</w:t>
      </w:r>
    </w:p>
    <w:p w14:paraId="36DF59A0" w14:textId="3FB67B09" w:rsidR="00F275C4" w:rsidRPr="00F275C4" w:rsidRDefault="00D3614A" w:rsidP="00F275C4">
      <w:pPr>
        <w:pStyle w:val="Heading3"/>
        <w:jc w:val="both"/>
        <w:rPr>
          <w:rFonts w:cs="Calibri"/>
          <w:szCs w:val="23"/>
        </w:rPr>
      </w:pPr>
      <w:bookmarkStart w:id="3" w:name="_Toc202790133"/>
      <w:r w:rsidRPr="00920466">
        <w:rPr>
          <w:rFonts w:cs="Calibri"/>
          <w:szCs w:val="23"/>
        </w:rPr>
        <w:t xml:space="preserve">Regulate with </w:t>
      </w:r>
      <w:r w:rsidR="00AD77E2">
        <w:rPr>
          <w:rFonts w:cs="Calibri"/>
          <w:szCs w:val="23"/>
        </w:rPr>
        <w:t>a</w:t>
      </w:r>
      <w:r w:rsidRPr="00920466">
        <w:rPr>
          <w:rFonts w:cs="Calibri"/>
          <w:szCs w:val="23"/>
        </w:rPr>
        <w:t xml:space="preserve">gility and </w:t>
      </w:r>
      <w:r w:rsidR="00AD77E2">
        <w:rPr>
          <w:rFonts w:cs="Calibri"/>
          <w:szCs w:val="23"/>
        </w:rPr>
        <w:t>f</w:t>
      </w:r>
      <w:r w:rsidRPr="00920466">
        <w:rPr>
          <w:rFonts w:cs="Calibri"/>
          <w:szCs w:val="23"/>
        </w:rPr>
        <w:t>oresight</w:t>
      </w:r>
      <w:bookmarkEnd w:id="3"/>
    </w:p>
    <w:p w14:paraId="30A5B187" w14:textId="03BBB238" w:rsidR="004F1901" w:rsidRPr="002F3932" w:rsidRDefault="00CF19AA" w:rsidP="00BA5F43">
      <w:r w:rsidRPr="002F3932">
        <w:rPr>
          <w:rFonts w:cs="Calibri"/>
          <w:szCs w:val="23"/>
        </w:rPr>
        <w:t>Implement a</w:t>
      </w:r>
      <w:r w:rsidR="00463020" w:rsidRPr="002F3932">
        <w:rPr>
          <w:rFonts w:cs="Calibri"/>
          <w:szCs w:val="23"/>
        </w:rPr>
        <w:t>gile frameworks</w:t>
      </w:r>
      <w:r w:rsidRPr="002F3932">
        <w:rPr>
          <w:rFonts w:cs="Calibri"/>
          <w:szCs w:val="23"/>
        </w:rPr>
        <w:t xml:space="preserve"> </w:t>
      </w:r>
      <w:r w:rsidR="00463020" w:rsidRPr="002F3932">
        <w:rPr>
          <w:rFonts w:cs="Calibri"/>
          <w:szCs w:val="23"/>
        </w:rPr>
        <w:t>such</w:t>
      </w:r>
      <w:r w:rsidR="006B509D" w:rsidRPr="002F3932">
        <w:rPr>
          <w:rFonts w:cs="Calibri"/>
          <w:szCs w:val="23"/>
        </w:rPr>
        <w:t xml:space="preserve"> </w:t>
      </w:r>
      <w:r w:rsidR="00463020" w:rsidRPr="002F3932">
        <w:rPr>
          <w:rFonts w:cs="Calibri"/>
          <w:szCs w:val="23"/>
        </w:rPr>
        <w:t xml:space="preserve">as outcome-based </w:t>
      </w:r>
      <w:r w:rsidR="00211635" w:rsidRPr="002F3932">
        <w:rPr>
          <w:rFonts w:cs="Calibri"/>
          <w:szCs w:val="23"/>
        </w:rPr>
        <w:t xml:space="preserve">or principles-based </w:t>
      </w:r>
      <w:r w:rsidR="00463020" w:rsidRPr="002F3932">
        <w:rPr>
          <w:rFonts w:cs="Calibri"/>
          <w:szCs w:val="23"/>
        </w:rPr>
        <w:t xml:space="preserve">regulation, </w:t>
      </w:r>
      <w:r w:rsidR="00A36B74" w:rsidRPr="002F3932">
        <w:rPr>
          <w:rFonts w:cs="Calibri"/>
          <w:szCs w:val="23"/>
        </w:rPr>
        <w:t xml:space="preserve">and consider </w:t>
      </w:r>
      <w:r w:rsidR="00C67321" w:rsidRPr="002F3932">
        <w:rPr>
          <w:rFonts w:cs="Calibri"/>
          <w:szCs w:val="23"/>
        </w:rPr>
        <w:t xml:space="preserve">arrangements such as </w:t>
      </w:r>
      <w:r w:rsidR="00463020" w:rsidRPr="002F3932">
        <w:rPr>
          <w:rFonts w:cs="Calibri"/>
          <w:szCs w:val="23"/>
        </w:rPr>
        <w:t>tiered licensing and sunset clauses</w:t>
      </w:r>
      <w:r w:rsidR="00A0104B" w:rsidRPr="002F3932">
        <w:rPr>
          <w:rFonts w:cs="Calibri"/>
          <w:szCs w:val="23"/>
        </w:rPr>
        <w:t>, where appropriate,</w:t>
      </w:r>
      <w:r w:rsidR="00463020" w:rsidRPr="002F3932">
        <w:rPr>
          <w:rFonts w:cs="Calibri"/>
          <w:szCs w:val="23"/>
        </w:rPr>
        <w:t xml:space="preserve"> </w:t>
      </w:r>
      <w:r w:rsidRPr="002F3932">
        <w:rPr>
          <w:rFonts w:cs="Calibri"/>
          <w:szCs w:val="23"/>
        </w:rPr>
        <w:t xml:space="preserve">to </w:t>
      </w:r>
      <w:r w:rsidR="00463020" w:rsidRPr="002F3932">
        <w:rPr>
          <w:rFonts w:cs="Calibri"/>
          <w:szCs w:val="23"/>
        </w:rPr>
        <w:t>enable</w:t>
      </w:r>
      <w:r w:rsidR="00A957AC" w:rsidRPr="002F3932">
        <w:rPr>
          <w:rFonts w:cs="Calibri"/>
          <w:szCs w:val="23"/>
        </w:rPr>
        <w:t xml:space="preserve"> </w:t>
      </w:r>
      <w:r w:rsidR="00463020" w:rsidRPr="002F3932">
        <w:rPr>
          <w:rFonts w:cs="Calibri"/>
          <w:szCs w:val="23"/>
        </w:rPr>
        <w:t>adaptive</w:t>
      </w:r>
      <w:r w:rsidR="006B509D" w:rsidRPr="002F3932">
        <w:rPr>
          <w:rFonts w:cs="Calibri"/>
          <w:szCs w:val="23"/>
        </w:rPr>
        <w:t xml:space="preserve"> regulatory</w:t>
      </w:r>
      <w:r w:rsidR="00463020" w:rsidRPr="002F3932">
        <w:rPr>
          <w:rFonts w:cs="Calibri"/>
          <w:szCs w:val="23"/>
        </w:rPr>
        <w:t xml:space="preserve"> responses as technologies and markets evolve.</w:t>
      </w:r>
      <w:r w:rsidR="00DB433B" w:rsidRPr="002F3932">
        <w:rPr>
          <w:rFonts w:cs="Calibri"/>
          <w:szCs w:val="23"/>
        </w:rPr>
        <w:t xml:space="preserve"> </w:t>
      </w:r>
      <w:r w:rsidR="00BB21C5" w:rsidRPr="002F3932">
        <w:rPr>
          <w:rFonts w:cs="Calibri"/>
          <w:szCs w:val="23"/>
        </w:rPr>
        <w:t>Guide innovation rather than simply react to it by u</w:t>
      </w:r>
      <w:r w:rsidR="000114FD" w:rsidRPr="002F3932">
        <w:rPr>
          <w:rFonts w:cs="Calibri"/>
          <w:szCs w:val="23"/>
        </w:rPr>
        <w:t>sing data, strategic foresight, horizon scanning and anticipatory frameworks</w:t>
      </w:r>
      <w:r w:rsidR="00D8722B" w:rsidRPr="002F3932">
        <w:rPr>
          <w:rFonts w:cs="Calibri"/>
          <w:szCs w:val="23"/>
        </w:rPr>
        <w:t xml:space="preserve"> </w:t>
      </w:r>
      <w:r w:rsidR="001248BE" w:rsidRPr="002F3932">
        <w:rPr>
          <w:rFonts w:cs="Calibri"/>
          <w:szCs w:val="23"/>
        </w:rPr>
        <w:t>– including</w:t>
      </w:r>
      <w:r w:rsidR="00B85D8B" w:rsidRPr="002F3932">
        <w:rPr>
          <w:rFonts w:cs="Calibri"/>
          <w:szCs w:val="23"/>
        </w:rPr>
        <w:t xml:space="preserve"> </w:t>
      </w:r>
      <w:r w:rsidR="00D8722B" w:rsidRPr="002F3932">
        <w:rPr>
          <w:rFonts w:cs="Calibri"/>
          <w:szCs w:val="23"/>
        </w:rPr>
        <w:t xml:space="preserve">scenarios, early-warning indicators and pre-agreed triggers that enable </w:t>
      </w:r>
      <w:r w:rsidR="00D8722B" w:rsidRPr="00BA5F43">
        <w:rPr>
          <w:rFonts w:cs="Calibri"/>
          <w:szCs w:val="23"/>
        </w:rPr>
        <w:lastRenderedPageBreak/>
        <w:t>timely action –</w:t>
      </w:r>
      <w:r w:rsidR="000114FD" w:rsidRPr="00BA5F43">
        <w:rPr>
          <w:rFonts w:cs="Calibri"/>
          <w:szCs w:val="23"/>
        </w:rPr>
        <w:t xml:space="preserve"> </w:t>
      </w:r>
      <w:r w:rsidR="00784798" w:rsidRPr="00BA5F43">
        <w:rPr>
          <w:rFonts w:cs="Calibri"/>
          <w:szCs w:val="23"/>
        </w:rPr>
        <w:t xml:space="preserve">to </w:t>
      </w:r>
      <w:r w:rsidR="00182775" w:rsidRPr="00BA5F43">
        <w:rPr>
          <w:rFonts w:cs="Calibri"/>
          <w:szCs w:val="23"/>
        </w:rPr>
        <w:t xml:space="preserve">better </w:t>
      </w:r>
      <w:r w:rsidR="000114FD" w:rsidRPr="00BA5F43">
        <w:rPr>
          <w:rFonts w:cs="Calibri"/>
          <w:szCs w:val="23"/>
        </w:rPr>
        <w:t>identify emerging risks and opportunities</w:t>
      </w:r>
      <w:r w:rsidR="00236451" w:rsidRPr="00BA5F43">
        <w:rPr>
          <w:rFonts w:cs="Calibri"/>
          <w:szCs w:val="23"/>
        </w:rPr>
        <w:t>.</w:t>
      </w:r>
      <w:r w:rsidR="005D3D72" w:rsidRPr="00BA5F43">
        <w:rPr>
          <w:rFonts w:cs="Calibri"/>
          <w:szCs w:val="23"/>
        </w:rPr>
        <w:t xml:space="preserve"> </w:t>
      </w:r>
      <w:r w:rsidR="00033781" w:rsidRPr="00BA5F43">
        <w:rPr>
          <w:rFonts w:eastAsiaTheme="majorEastAsia" w:cs="Calibri"/>
          <w:color w:val="000000" w:themeColor="text1"/>
          <w:szCs w:val="23"/>
        </w:rPr>
        <w:t>Leverage spectrum and space-based technologies as platforms for innovation.</w:t>
      </w:r>
      <w:r w:rsidR="00F14B2A" w:rsidRPr="002F3932">
        <w:rPr>
          <w:rFonts w:cs="Calibri"/>
          <w:szCs w:val="23"/>
        </w:rPr>
        <w:t xml:space="preserve"> </w:t>
      </w:r>
    </w:p>
    <w:p w14:paraId="4CF1FB15" w14:textId="77777777" w:rsidR="00384493" w:rsidRDefault="00463020" w:rsidP="00494183">
      <w:pPr>
        <w:pStyle w:val="Heading3"/>
        <w:jc w:val="both"/>
      </w:pPr>
      <w:bookmarkStart w:id="4" w:name="_Toc202790134"/>
      <w:r w:rsidRPr="00463020">
        <w:t>Collaborate to innovate</w:t>
      </w:r>
      <w:bookmarkEnd w:id="4"/>
    </w:p>
    <w:p w14:paraId="7380FADC" w14:textId="5CCF7758" w:rsidR="0027423E" w:rsidRPr="00463020" w:rsidRDefault="00304F4B" w:rsidP="00494183">
      <w:pPr>
        <w:jc w:val="both"/>
        <w:rPr>
          <w:rFonts w:cs="Calibri"/>
          <w:szCs w:val="23"/>
        </w:rPr>
      </w:pPr>
      <w:r>
        <w:rPr>
          <w:rFonts w:cs="Calibri"/>
          <w:szCs w:val="23"/>
        </w:rPr>
        <w:t>Expand</w:t>
      </w:r>
      <w:r w:rsidRPr="00463020">
        <w:rPr>
          <w:rFonts w:cs="Calibri"/>
          <w:szCs w:val="23"/>
        </w:rPr>
        <w:t xml:space="preserve"> </w:t>
      </w:r>
      <w:r>
        <w:rPr>
          <w:rFonts w:cs="Calibri"/>
          <w:szCs w:val="23"/>
        </w:rPr>
        <w:t>stakeholder engagement beyond</w:t>
      </w:r>
      <w:r w:rsidR="00463020" w:rsidRPr="00463020">
        <w:rPr>
          <w:rFonts w:cs="Calibri"/>
          <w:szCs w:val="23"/>
        </w:rPr>
        <w:t xml:space="preserve"> one-off consultations to </w:t>
      </w:r>
      <w:r w:rsidR="00A8611D">
        <w:rPr>
          <w:rFonts w:cs="Calibri"/>
          <w:szCs w:val="23"/>
        </w:rPr>
        <w:t>continuous</w:t>
      </w:r>
      <w:r w:rsidR="00463020" w:rsidRPr="00463020">
        <w:rPr>
          <w:rFonts w:cs="Calibri"/>
          <w:szCs w:val="23"/>
        </w:rPr>
        <w:t>, problem-solving partnerships with ministries, market actors, academia and civil society</w:t>
      </w:r>
      <w:r w:rsidR="00373781">
        <w:rPr>
          <w:rFonts w:cs="Calibri"/>
          <w:szCs w:val="23"/>
        </w:rPr>
        <w:t xml:space="preserve"> across sectors</w:t>
      </w:r>
      <w:r w:rsidR="00463020" w:rsidRPr="00463020">
        <w:rPr>
          <w:rFonts w:cs="Calibri"/>
          <w:szCs w:val="23"/>
        </w:rPr>
        <w:t xml:space="preserve">. </w:t>
      </w:r>
      <w:r w:rsidR="00EE63E6">
        <w:rPr>
          <w:rFonts w:cs="Calibri"/>
          <w:szCs w:val="23"/>
        </w:rPr>
        <w:t>C</w:t>
      </w:r>
      <w:r w:rsidR="00EE63E6" w:rsidRPr="00463020">
        <w:rPr>
          <w:rFonts w:cs="Calibri"/>
          <w:szCs w:val="23"/>
        </w:rPr>
        <w:t>o-creat</w:t>
      </w:r>
      <w:r w:rsidR="00221A10">
        <w:rPr>
          <w:rFonts w:cs="Calibri"/>
          <w:szCs w:val="23"/>
        </w:rPr>
        <w:t>ing</w:t>
      </w:r>
      <w:r w:rsidR="00EE63E6" w:rsidRPr="00463020">
        <w:rPr>
          <w:rFonts w:cs="Calibri"/>
          <w:szCs w:val="23"/>
        </w:rPr>
        <w:t xml:space="preserve"> solutions </w:t>
      </w:r>
      <w:r w:rsidR="0027423E">
        <w:rPr>
          <w:rFonts w:cs="Calibri"/>
          <w:szCs w:val="23"/>
        </w:rPr>
        <w:t>allows for the diversity of different actors’ experiences to collectively inform optimal and adaptive solutions, builds legitimacy</w:t>
      </w:r>
      <w:r w:rsidR="00837A76">
        <w:rPr>
          <w:rFonts w:cs="Calibri"/>
          <w:szCs w:val="23"/>
        </w:rPr>
        <w:t xml:space="preserve"> </w:t>
      </w:r>
      <w:r w:rsidR="00050441">
        <w:rPr>
          <w:rFonts w:cs="Calibri"/>
          <w:szCs w:val="23"/>
        </w:rPr>
        <w:t xml:space="preserve">and </w:t>
      </w:r>
      <w:r w:rsidR="0081085C" w:rsidRPr="0081085C">
        <w:rPr>
          <w:rFonts w:cs="Calibri"/>
          <w:szCs w:val="23"/>
        </w:rPr>
        <w:t>shared ownership, and improves compliance and implementation</w:t>
      </w:r>
      <w:r w:rsidR="006A0786">
        <w:rPr>
          <w:rFonts w:cs="Calibri"/>
          <w:szCs w:val="23"/>
        </w:rPr>
        <w:t xml:space="preserve">. </w:t>
      </w:r>
      <w:r w:rsidR="001C7BBA">
        <w:rPr>
          <w:rFonts w:cs="Calibri"/>
          <w:szCs w:val="23"/>
        </w:rPr>
        <w:t>A</w:t>
      </w:r>
      <w:r w:rsidR="001C7BBA" w:rsidRPr="008F2CC7">
        <w:rPr>
          <w:rFonts w:cs="Calibri"/>
          <w:szCs w:val="23"/>
        </w:rPr>
        <w:t xml:space="preserve">lign policies and </w:t>
      </w:r>
      <w:r w:rsidR="001C7BBA">
        <w:rPr>
          <w:rFonts w:cs="Calibri"/>
          <w:szCs w:val="23"/>
        </w:rPr>
        <w:t>prevent</w:t>
      </w:r>
      <w:r w:rsidR="001C7BBA" w:rsidRPr="008F2CC7">
        <w:rPr>
          <w:rFonts w:cs="Calibri"/>
          <w:szCs w:val="23"/>
        </w:rPr>
        <w:t xml:space="preserve"> conflicting rules</w:t>
      </w:r>
      <w:r w:rsidR="001C7BBA">
        <w:rPr>
          <w:rFonts w:cs="Calibri"/>
          <w:szCs w:val="23"/>
        </w:rPr>
        <w:t xml:space="preserve"> by e</w:t>
      </w:r>
      <w:r w:rsidR="001C7BBA" w:rsidRPr="008F2CC7">
        <w:rPr>
          <w:rFonts w:cs="Calibri"/>
          <w:szCs w:val="23"/>
        </w:rPr>
        <w:t xml:space="preserve">mbedding </w:t>
      </w:r>
      <w:r w:rsidR="00790361" w:rsidRPr="008F2CC7">
        <w:rPr>
          <w:rFonts w:cs="Calibri"/>
          <w:szCs w:val="23"/>
        </w:rPr>
        <w:t>intersectoral coherence mechanisms</w:t>
      </w:r>
      <w:r w:rsidR="001C7BBA">
        <w:rPr>
          <w:rFonts w:cs="Calibri"/>
          <w:szCs w:val="23"/>
        </w:rPr>
        <w:t>.</w:t>
      </w:r>
    </w:p>
    <w:p w14:paraId="46263504" w14:textId="7BD1BF1E" w:rsidR="00463020" w:rsidRPr="00463020" w:rsidRDefault="00463020" w:rsidP="00BA20F4">
      <w:pPr>
        <w:pStyle w:val="Heading2"/>
      </w:pPr>
      <w:bookmarkStart w:id="5" w:name="_Toc202790135"/>
      <w:r>
        <w:t>II</w:t>
      </w:r>
      <w:r>
        <w:tab/>
      </w:r>
      <w:r w:rsidRPr="00463020">
        <w:t>ADAPT AND ENHANCE REGULATORY CAPACITY</w:t>
      </w:r>
      <w:bookmarkEnd w:id="5"/>
    </w:p>
    <w:p w14:paraId="702A2380" w14:textId="2503FBDF" w:rsidR="00384493" w:rsidRDefault="008D0EBD" w:rsidP="00494183">
      <w:pPr>
        <w:pStyle w:val="Heading3"/>
        <w:jc w:val="both"/>
      </w:pPr>
      <w:bookmarkStart w:id="6" w:name="_Toc202790136"/>
      <w:r>
        <w:t>Empower regulators</w:t>
      </w:r>
      <w:r w:rsidRPr="00463020">
        <w:t xml:space="preserve"> </w:t>
      </w:r>
      <w:r w:rsidR="00463020" w:rsidRPr="00463020">
        <w:t>for</w:t>
      </w:r>
      <w:r>
        <w:t xml:space="preserve"> </w:t>
      </w:r>
      <w:r w:rsidR="00463020" w:rsidRPr="00463020">
        <w:t>digital realities</w:t>
      </w:r>
      <w:bookmarkEnd w:id="6"/>
    </w:p>
    <w:p w14:paraId="42CCA96D" w14:textId="2F42A717" w:rsidR="00463020" w:rsidRPr="00463020" w:rsidRDefault="00C54B9A" w:rsidP="00791AF2">
      <w:pPr>
        <w:jc w:val="both"/>
        <w:rPr>
          <w:rFonts w:cs="Calibri"/>
          <w:szCs w:val="23"/>
        </w:rPr>
      </w:pPr>
      <w:r>
        <w:rPr>
          <w:rFonts w:cs="Calibri"/>
          <w:szCs w:val="23"/>
        </w:rPr>
        <w:t>We encourage policymakers to e</w:t>
      </w:r>
      <w:r w:rsidR="00463020" w:rsidRPr="00463020">
        <w:rPr>
          <w:rFonts w:cs="Calibri"/>
          <w:szCs w:val="23"/>
        </w:rPr>
        <w:t>nsure regulatory mandates reflect convergence across infrastructure, content and services. This may require oversight of digital platforms, data governance or AI, as well as cross-sector coordination to reduce fragmentation and reinforce public interest outcomes.</w:t>
      </w:r>
      <w:r w:rsidR="0046699B">
        <w:rPr>
          <w:rFonts w:cs="Calibri"/>
          <w:szCs w:val="23"/>
        </w:rPr>
        <w:t xml:space="preserve"> </w:t>
      </w:r>
      <w:r w:rsidR="0046699B" w:rsidRPr="0046699B">
        <w:rPr>
          <w:rFonts w:cs="Calibri"/>
          <w:szCs w:val="23"/>
        </w:rPr>
        <w:t>This also calls for political, operational and financial independence to enable long-term planning, impartial decisions and consistent enforcement beyond political or market cycles</w:t>
      </w:r>
      <w:r w:rsidR="00B23DAC">
        <w:rPr>
          <w:rFonts w:cs="Calibri"/>
          <w:szCs w:val="23"/>
        </w:rPr>
        <w:t>.</w:t>
      </w:r>
      <w:r w:rsidR="003851F3">
        <w:rPr>
          <w:rFonts w:cs="Calibri"/>
          <w:szCs w:val="23"/>
        </w:rPr>
        <w:t xml:space="preserve"> </w:t>
      </w:r>
    </w:p>
    <w:p w14:paraId="402E90CC" w14:textId="77777777" w:rsidR="00384493" w:rsidRDefault="00463020" w:rsidP="00494183">
      <w:pPr>
        <w:pStyle w:val="Heading3"/>
        <w:jc w:val="both"/>
      </w:pPr>
      <w:bookmarkStart w:id="7" w:name="_Toc202790137"/>
      <w:r w:rsidRPr="00463020">
        <w:t>Invest in strategic capacity</w:t>
      </w:r>
      <w:bookmarkEnd w:id="7"/>
    </w:p>
    <w:p w14:paraId="408CA5AC" w14:textId="40FFB7D7" w:rsidR="00463020" w:rsidRDefault="00463020" w:rsidP="009E3179">
      <w:pPr>
        <w:jc w:val="both"/>
        <w:rPr>
          <w:rFonts w:cs="Calibri"/>
          <w:szCs w:val="23"/>
        </w:rPr>
      </w:pPr>
      <w:r w:rsidRPr="00463020">
        <w:rPr>
          <w:rFonts w:cs="Calibri"/>
          <w:szCs w:val="23"/>
        </w:rPr>
        <w:t xml:space="preserve">Go beyond technical upgrades. </w:t>
      </w:r>
      <w:r w:rsidR="00873610" w:rsidRPr="008C6828">
        <w:rPr>
          <w:rFonts w:cs="Calibri"/>
          <w:szCs w:val="23"/>
        </w:rPr>
        <w:t xml:space="preserve">Secure sustained investment in the human and financial resources needed to maintain </w:t>
      </w:r>
      <w:r w:rsidR="00873610">
        <w:rPr>
          <w:rFonts w:cs="Calibri"/>
          <w:szCs w:val="23"/>
        </w:rPr>
        <w:t>and expand</w:t>
      </w:r>
      <w:r w:rsidR="00873610" w:rsidRPr="008C6828">
        <w:rPr>
          <w:rFonts w:cs="Calibri"/>
          <w:szCs w:val="23"/>
        </w:rPr>
        <w:t xml:space="preserve"> </w:t>
      </w:r>
      <w:r w:rsidR="001242EA">
        <w:rPr>
          <w:rFonts w:cs="Calibri"/>
          <w:szCs w:val="23"/>
        </w:rPr>
        <w:t>new technological</w:t>
      </w:r>
      <w:r w:rsidR="001242EA" w:rsidRPr="008C6828">
        <w:rPr>
          <w:rFonts w:cs="Calibri"/>
          <w:szCs w:val="23"/>
        </w:rPr>
        <w:t xml:space="preserve"> </w:t>
      </w:r>
      <w:r w:rsidR="00873610" w:rsidRPr="008C6828">
        <w:rPr>
          <w:rFonts w:cs="Calibri"/>
          <w:szCs w:val="23"/>
        </w:rPr>
        <w:t xml:space="preserve">tools </w:t>
      </w:r>
      <w:r w:rsidR="001242EA">
        <w:rPr>
          <w:rFonts w:cs="Calibri"/>
          <w:szCs w:val="23"/>
        </w:rPr>
        <w:t xml:space="preserve">and methodologies </w:t>
      </w:r>
      <w:r w:rsidR="00873610" w:rsidRPr="008C6828">
        <w:rPr>
          <w:rFonts w:cs="Calibri"/>
          <w:szCs w:val="23"/>
        </w:rPr>
        <w:t xml:space="preserve">as part of </w:t>
      </w:r>
      <w:r w:rsidR="00873610">
        <w:rPr>
          <w:rFonts w:cs="Calibri"/>
          <w:szCs w:val="23"/>
        </w:rPr>
        <w:t xml:space="preserve">the </w:t>
      </w:r>
      <w:r w:rsidR="00873610" w:rsidRPr="008C6828">
        <w:rPr>
          <w:rFonts w:cs="Calibri"/>
          <w:szCs w:val="23"/>
        </w:rPr>
        <w:t>core regulatory operations</w:t>
      </w:r>
      <w:r w:rsidR="00873610">
        <w:rPr>
          <w:rFonts w:cs="Calibri"/>
          <w:szCs w:val="23"/>
        </w:rPr>
        <w:t>.</w:t>
      </w:r>
      <w:r w:rsidR="00873610" w:rsidRPr="00463020">
        <w:rPr>
          <w:rFonts w:cs="Calibri"/>
          <w:szCs w:val="23"/>
        </w:rPr>
        <w:t xml:space="preserve"> </w:t>
      </w:r>
      <w:r w:rsidRPr="00463020">
        <w:rPr>
          <w:rFonts w:cs="Calibri"/>
          <w:szCs w:val="23"/>
        </w:rPr>
        <w:t xml:space="preserve">Build multidisciplinary teams, </w:t>
      </w:r>
      <w:r w:rsidR="007E6C27">
        <w:rPr>
          <w:rFonts w:cs="Calibri"/>
          <w:szCs w:val="23"/>
        </w:rPr>
        <w:t>establish</w:t>
      </w:r>
      <w:r w:rsidRPr="00463020">
        <w:rPr>
          <w:rFonts w:cs="Calibri"/>
          <w:szCs w:val="23"/>
        </w:rPr>
        <w:t xml:space="preserve"> internal foresight</w:t>
      </w:r>
      <w:r w:rsidR="00C96249">
        <w:rPr>
          <w:rFonts w:cs="Calibri"/>
          <w:szCs w:val="23"/>
        </w:rPr>
        <w:t xml:space="preserve"> </w:t>
      </w:r>
      <w:r w:rsidR="009E3179" w:rsidRPr="009E3179">
        <w:rPr>
          <w:rFonts w:cs="Calibri"/>
          <w:szCs w:val="23"/>
        </w:rPr>
        <w:t>and data analytics</w:t>
      </w:r>
      <w:r w:rsidRPr="00463020">
        <w:rPr>
          <w:rFonts w:cs="Calibri"/>
          <w:szCs w:val="23"/>
        </w:rPr>
        <w:t xml:space="preserve"> units</w:t>
      </w:r>
      <w:r w:rsidR="00A153A2">
        <w:rPr>
          <w:rFonts w:cs="Calibri"/>
          <w:szCs w:val="23"/>
        </w:rPr>
        <w:t>, allocate resources</w:t>
      </w:r>
      <w:r w:rsidRPr="00463020">
        <w:rPr>
          <w:rFonts w:cs="Calibri"/>
          <w:szCs w:val="23"/>
        </w:rPr>
        <w:t xml:space="preserve"> and </w:t>
      </w:r>
      <w:r w:rsidR="003911B1">
        <w:rPr>
          <w:rFonts w:cs="Calibri"/>
          <w:szCs w:val="23"/>
        </w:rPr>
        <w:t>streamline</w:t>
      </w:r>
      <w:r w:rsidRPr="00463020">
        <w:rPr>
          <w:rFonts w:cs="Calibri"/>
          <w:szCs w:val="23"/>
        </w:rPr>
        <w:t xml:space="preserve"> coordination across departments. Partner with </w:t>
      </w:r>
      <w:r w:rsidR="00AD144D">
        <w:rPr>
          <w:rFonts w:cs="Calibri"/>
          <w:szCs w:val="23"/>
        </w:rPr>
        <w:t>stakeholders, including industry,</w:t>
      </w:r>
      <w:r w:rsidR="00AD144D" w:rsidRPr="00463020">
        <w:rPr>
          <w:rFonts w:cs="Calibri"/>
          <w:szCs w:val="23"/>
        </w:rPr>
        <w:t xml:space="preserve"> </w:t>
      </w:r>
      <w:r w:rsidRPr="00463020">
        <w:rPr>
          <w:rFonts w:cs="Calibri"/>
          <w:szCs w:val="23"/>
        </w:rPr>
        <w:t>academia and thinktanks to support continuous learning and regulatory intelligence.</w:t>
      </w:r>
      <w:r w:rsidR="00873610">
        <w:rPr>
          <w:rFonts w:cs="Calibri"/>
          <w:szCs w:val="23"/>
        </w:rPr>
        <w:t xml:space="preserve"> </w:t>
      </w:r>
      <w:r w:rsidR="00E52732" w:rsidRPr="00E52732">
        <w:rPr>
          <w:rFonts w:cs="Calibri"/>
          <w:szCs w:val="23"/>
        </w:rPr>
        <w:t xml:space="preserve">Use peer upskilling and joint consultations with regulators from more mature digital markets (staff exchanges, joint hearings) to absorb </w:t>
      </w:r>
      <w:r w:rsidR="0084723D">
        <w:rPr>
          <w:rFonts w:cs="Calibri"/>
          <w:szCs w:val="23"/>
        </w:rPr>
        <w:t xml:space="preserve">learnings from </w:t>
      </w:r>
      <w:r w:rsidR="00021089">
        <w:rPr>
          <w:rFonts w:cs="Calibri"/>
          <w:szCs w:val="23"/>
        </w:rPr>
        <w:t xml:space="preserve">regulatory and industry </w:t>
      </w:r>
      <w:r w:rsidR="00E52732" w:rsidRPr="00E52732">
        <w:rPr>
          <w:rFonts w:cs="Calibri"/>
          <w:szCs w:val="23"/>
        </w:rPr>
        <w:t>practices.</w:t>
      </w:r>
    </w:p>
    <w:p w14:paraId="79AE95F2" w14:textId="77777777" w:rsidR="00384493" w:rsidRDefault="00463020" w:rsidP="00494183">
      <w:pPr>
        <w:pStyle w:val="Heading3"/>
        <w:jc w:val="both"/>
      </w:pPr>
      <w:bookmarkStart w:id="8" w:name="_Toc202790138"/>
      <w:r w:rsidRPr="00463020">
        <w:t>Make decisions inclusive and evidence-based</w:t>
      </w:r>
      <w:bookmarkEnd w:id="8"/>
    </w:p>
    <w:p w14:paraId="7A5A247D" w14:textId="1E4F2C8A" w:rsidR="00F938D5" w:rsidRPr="00463020" w:rsidRDefault="00B6061F" w:rsidP="00494183">
      <w:pPr>
        <w:jc w:val="both"/>
        <w:rPr>
          <w:rFonts w:cs="Calibri"/>
          <w:szCs w:val="23"/>
        </w:rPr>
      </w:pPr>
      <w:r w:rsidRPr="00B6061F">
        <w:rPr>
          <w:rFonts w:cs="Calibri"/>
          <w:szCs w:val="23"/>
        </w:rPr>
        <w:t xml:space="preserve">Strengthen regulatory capacity for </w:t>
      </w:r>
      <w:r w:rsidR="004A061C">
        <w:rPr>
          <w:rFonts w:cs="Calibri"/>
          <w:szCs w:val="23"/>
        </w:rPr>
        <w:t>evidence-based</w:t>
      </w:r>
      <w:r w:rsidRPr="00B6061F">
        <w:rPr>
          <w:rFonts w:cs="Calibri"/>
          <w:szCs w:val="23"/>
        </w:rPr>
        <w:t xml:space="preserve"> and risk-informed decision-making</w:t>
      </w:r>
      <w:r>
        <w:rPr>
          <w:rFonts w:cs="Calibri"/>
          <w:szCs w:val="23"/>
        </w:rPr>
        <w:t>.</w:t>
      </w:r>
      <w:r w:rsidRPr="00463020">
        <w:rPr>
          <w:rFonts w:cs="Calibri"/>
          <w:szCs w:val="23"/>
        </w:rPr>
        <w:t xml:space="preserve"> </w:t>
      </w:r>
      <w:r w:rsidR="00463020" w:rsidRPr="00463020">
        <w:rPr>
          <w:rFonts w:cs="Calibri"/>
          <w:szCs w:val="23"/>
        </w:rPr>
        <w:t xml:space="preserve">Use </w:t>
      </w:r>
      <w:r w:rsidR="004A061C">
        <w:rPr>
          <w:rFonts w:cs="Calibri"/>
          <w:szCs w:val="23"/>
        </w:rPr>
        <w:t xml:space="preserve">new </w:t>
      </w:r>
      <w:r w:rsidR="00463020" w:rsidRPr="00463020">
        <w:rPr>
          <w:rFonts w:cs="Calibri"/>
          <w:szCs w:val="23"/>
        </w:rPr>
        <w:t xml:space="preserve">data </w:t>
      </w:r>
      <w:r w:rsidR="004A061C">
        <w:rPr>
          <w:rFonts w:cs="Calibri"/>
          <w:szCs w:val="23"/>
        </w:rPr>
        <w:t xml:space="preserve">sources and </w:t>
      </w:r>
      <w:r w:rsidR="00463020" w:rsidRPr="00463020">
        <w:rPr>
          <w:rFonts w:cs="Calibri"/>
          <w:szCs w:val="23"/>
        </w:rPr>
        <w:t>platforms, AI analytics and stakeholder inputs to</w:t>
      </w:r>
      <w:r w:rsidR="003911B1">
        <w:rPr>
          <w:rFonts w:cs="Calibri"/>
          <w:szCs w:val="23"/>
        </w:rPr>
        <w:t xml:space="preserve"> </w:t>
      </w:r>
      <w:r w:rsidR="00463020" w:rsidRPr="00463020">
        <w:rPr>
          <w:rFonts w:cs="Calibri"/>
          <w:szCs w:val="23"/>
        </w:rPr>
        <w:t xml:space="preserve">inform decision-making. </w:t>
      </w:r>
      <w:r w:rsidR="00E35FB6">
        <w:rPr>
          <w:rFonts w:cs="Calibri"/>
          <w:szCs w:val="23"/>
        </w:rPr>
        <w:t>A</w:t>
      </w:r>
      <w:r w:rsidR="00E35FB6" w:rsidRPr="00463020">
        <w:rPr>
          <w:rFonts w:cs="Calibri"/>
          <w:szCs w:val="23"/>
        </w:rPr>
        <w:t xml:space="preserve">lign rules with real-world conditions </w:t>
      </w:r>
      <w:r w:rsidR="00AB5F6B">
        <w:rPr>
          <w:rFonts w:cs="Calibri"/>
          <w:szCs w:val="23"/>
        </w:rPr>
        <w:t>through r</w:t>
      </w:r>
      <w:r w:rsidR="00463020" w:rsidRPr="00463020">
        <w:rPr>
          <w:rFonts w:cs="Calibri"/>
          <w:szCs w:val="23"/>
        </w:rPr>
        <w:t xml:space="preserve">egulatory impact assessments </w:t>
      </w:r>
      <w:r w:rsidR="00E7172F">
        <w:rPr>
          <w:rFonts w:cs="Calibri"/>
          <w:szCs w:val="23"/>
        </w:rPr>
        <w:t xml:space="preserve">that account for potential distinct consequences for different stakeholders (including distinct providers and consumers and especially from underserved groups and local innovators), </w:t>
      </w:r>
      <w:r w:rsidR="00463020" w:rsidRPr="00463020">
        <w:rPr>
          <w:rFonts w:cs="Calibri"/>
          <w:szCs w:val="23"/>
        </w:rPr>
        <w:t xml:space="preserve">staged </w:t>
      </w:r>
      <w:r w:rsidR="003563B4" w:rsidRPr="00463020">
        <w:rPr>
          <w:rFonts w:cs="Calibri"/>
          <w:szCs w:val="23"/>
        </w:rPr>
        <w:t>implementation</w:t>
      </w:r>
      <w:r w:rsidR="00E7172F">
        <w:rPr>
          <w:rFonts w:cs="Calibri"/>
          <w:szCs w:val="23"/>
        </w:rPr>
        <w:t>, and recurring evaluation for iterative evolution of regulatory measures</w:t>
      </w:r>
      <w:r w:rsidR="003563B4">
        <w:rPr>
          <w:rFonts w:cs="Calibri"/>
          <w:szCs w:val="23"/>
        </w:rPr>
        <w:t>.</w:t>
      </w:r>
    </w:p>
    <w:p w14:paraId="01260B89" w14:textId="77777777" w:rsidR="00384493" w:rsidRDefault="00463020" w:rsidP="00494183">
      <w:pPr>
        <w:pStyle w:val="Heading3"/>
        <w:jc w:val="both"/>
      </w:pPr>
      <w:bookmarkStart w:id="9" w:name="_Toc202790139"/>
      <w:r w:rsidRPr="00463020">
        <w:t>Institutionalize collaboration</w:t>
      </w:r>
      <w:bookmarkEnd w:id="9"/>
    </w:p>
    <w:p w14:paraId="3BA62400" w14:textId="03ED0D34" w:rsidR="001D4621" w:rsidRPr="006D11FB" w:rsidRDefault="00433144" w:rsidP="001D4621">
      <w:pPr>
        <w:jc w:val="both"/>
        <w:rPr>
          <w:rFonts w:cs="Calibri"/>
          <w:szCs w:val="23"/>
        </w:rPr>
      </w:pPr>
      <w:r>
        <w:rPr>
          <w:rFonts w:cs="Calibri"/>
          <w:szCs w:val="23"/>
        </w:rPr>
        <w:t>Enable regulators to c</w:t>
      </w:r>
      <w:r w:rsidR="00AB5F6B" w:rsidRPr="00463020">
        <w:rPr>
          <w:rFonts w:cs="Calibri"/>
          <w:szCs w:val="23"/>
        </w:rPr>
        <w:t xml:space="preserve">oordinate across sectors and </w:t>
      </w:r>
      <w:r w:rsidR="00C96E54" w:rsidRPr="00463020">
        <w:rPr>
          <w:rFonts w:cs="Calibri"/>
          <w:szCs w:val="23"/>
        </w:rPr>
        <w:t xml:space="preserve">jurisdictions </w:t>
      </w:r>
      <w:r w:rsidR="00C96E54">
        <w:rPr>
          <w:rFonts w:cs="Calibri"/>
          <w:szCs w:val="23"/>
        </w:rPr>
        <w:t>using</w:t>
      </w:r>
      <w:r w:rsidR="00AB5F6B" w:rsidRPr="00463020">
        <w:rPr>
          <w:rFonts w:cs="Calibri"/>
          <w:szCs w:val="23"/>
        </w:rPr>
        <w:t xml:space="preserve"> </w:t>
      </w:r>
      <w:r w:rsidR="00463020" w:rsidRPr="00463020">
        <w:rPr>
          <w:rFonts w:cs="Calibri"/>
          <w:szCs w:val="23"/>
        </w:rPr>
        <w:t>joint task forces, shared regulatory labs and inter-agency working groups</w:t>
      </w:r>
      <w:r w:rsidR="003668E4">
        <w:rPr>
          <w:rFonts w:cs="Calibri"/>
          <w:szCs w:val="23"/>
        </w:rPr>
        <w:t>, among others</w:t>
      </w:r>
      <w:r w:rsidR="00463020" w:rsidRPr="00463020">
        <w:rPr>
          <w:rFonts w:cs="Calibri"/>
          <w:szCs w:val="23"/>
        </w:rPr>
        <w:t xml:space="preserve">. </w:t>
      </w:r>
      <w:r w:rsidR="003C2A9A">
        <w:rPr>
          <w:rFonts w:cs="Calibri"/>
          <w:szCs w:val="23"/>
        </w:rPr>
        <w:t>Consider</w:t>
      </w:r>
      <w:r w:rsidR="003C2A9A" w:rsidRPr="00463020">
        <w:rPr>
          <w:rFonts w:cs="Calibri"/>
          <w:szCs w:val="23"/>
        </w:rPr>
        <w:t xml:space="preserve"> </w:t>
      </w:r>
      <w:r w:rsidR="00463020" w:rsidRPr="00463020">
        <w:rPr>
          <w:rFonts w:cs="Calibri"/>
          <w:szCs w:val="23"/>
        </w:rPr>
        <w:t>ITU’s collaborative governance approach</w:t>
      </w:r>
      <w:r w:rsidR="00A53EDC" w:rsidRPr="00A53EDC">
        <w:t xml:space="preserve"> </w:t>
      </w:r>
      <w:r w:rsidR="00A53EDC">
        <w:t xml:space="preserve">– </w:t>
      </w:r>
      <w:r w:rsidR="00A53EDC" w:rsidRPr="00A53EDC">
        <w:rPr>
          <w:rFonts w:cs="Calibri"/>
          <w:szCs w:val="23"/>
        </w:rPr>
        <w:t>structured, transparent decision-making with defined roles, shared evidence, time-bound workplans and joint accountability across public, private and civil society partners</w:t>
      </w:r>
      <w:r w:rsidR="00A53EDC">
        <w:rPr>
          <w:rFonts w:cs="Calibri"/>
          <w:szCs w:val="23"/>
        </w:rPr>
        <w:t xml:space="preserve"> –</w:t>
      </w:r>
      <w:r w:rsidR="00463020" w:rsidRPr="00463020">
        <w:rPr>
          <w:rFonts w:cs="Calibri"/>
          <w:szCs w:val="23"/>
        </w:rPr>
        <w:t xml:space="preserve"> to design </w:t>
      </w:r>
      <w:r w:rsidR="00AB02D8">
        <w:rPr>
          <w:rFonts w:cs="Calibri"/>
          <w:szCs w:val="23"/>
        </w:rPr>
        <w:t xml:space="preserve">coordinated and adaptive </w:t>
      </w:r>
      <w:r w:rsidR="00463020" w:rsidRPr="00463020">
        <w:rPr>
          <w:rFonts w:cs="Calibri"/>
          <w:szCs w:val="23"/>
        </w:rPr>
        <w:t>responses to complex ecosystem challenges.</w:t>
      </w:r>
      <w:r w:rsidR="009E3179" w:rsidRPr="009E3179">
        <w:t xml:space="preserve"> </w:t>
      </w:r>
      <w:r w:rsidR="00E7258A">
        <w:rPr>
          <w:rFonts w:cs="Calibri"/>
          <w:szCs w:val="23"/>
        </w:rPr>
        <w:t>A</w:t>
      </w:r>
      <w:r w:rsidR="009E3179" w:rsidRPr="003E2D4A">
        <w:rPr>
          <w:rFonts w:cs="Calibri"/>
          <w:szCs w:val="23"/>
        </w:rPr>
        <w:t xml:space="preserve"> </w:t>
      </w:r>
      <w:r w:rsidR="00551425" w:rsidRPr="003E2D4A">
        <w:rPr>
          <w:rFonts w:cs="Calibri"/>
          <w:szCs w:val="23"/>
        </w:rPr>
        <w:t>‘</w:t>
      </w:r>
      <w:r w:rsidR="009E3179" w:rsidRPr="003E2D4A">
        <w:rPr>
          <w:rFonts w:cs="Calibri"/>
          <w:szCs w:val="23"/>
        </w:rPr>
        <w:t>whole-of-government</w:t>
      </w:r>
      <w:r w:rsidR="00551425" w:rsidRPr="003E2D4A">
        <w:rPr>
          <w:rFonts w:cs="Calibri"/>
          <w:szCs w:val="23"/>
        </w:rPr>
        <w:t>’</w:t>
      </w:r>
      <w:r w:rsidR="009E3179" w:rsidRPr="003E2D4A">
        <w:rPr>
          <w:rFonts w:cs="Calibri"/>
          <w:szCs w:val="23"/>
        </w:rPr>
        <w:t xml:space="preserve"> approach is </w:t>
      </w:r>
      <w:r w:rsidR="006E541F">
        <w:rPr>
          <w:rFonts w:cs="Calibri"/>
          <w:szCs w:val="23"/>
        </w:rPr>
        <w:t>increasingly</w:t>
      </w:r>
      <w:r w:rsidR="009E3179" w:rsidRPr="003E2D4A">
        <w:rPr>
          <w:rFonts w:cs="Calibri"/>
          <w:szCs w:val="23"/>
        </w:rPr>
        <w:t xml:space="preserve"> essential </w:t>
      </w:r>
      <w:r w:rsidR="00CD4938">
        <w:rPr>
          <w:rFonts w:cs="Calibri"/>
          <w:szCs w:val="23"/>
        </w:rPr>
        <w:t xml:space="preserve">to ensure </w:t>
      </w:r>
      <w:r w:rsidR="009E3179" w:rsidRPr="003E2D4A">
        <w:rPr>
          <w:rFonts w:cs="Calibri"/>
          <w:szCs w:val="23"/>
        </w:rPr>
        <w:t>coheren</w:t>
      </w:r>
      <w:r w:rsidR="00CD4938">
        <w:rPr>
          <w:rFonts w:cs="Calibri"/>
          <w:szCs w:val="23"/>
        </w:rPr>
        <w:t>ce</w:t>
      </w:r>
      <w:r w:rsidR="009E3179" w:rsidRPr="003E2D4A">
        <w:rPr>
          <w:rFonts w:cs="Calibri"/>
          <w:szCs w:val="23"/>
        </w:rPr>
        <w:t xml:space="preserve"> </w:t>
      </w:r>
      <w:r w:rsidR="00CD4938">
        <w:rPr>
          <w:rFonts w:cs="Calibri"/>
          <w:szCs w:val="23"/>
        </w:rPr>
        <w:t xml:space="preserve">in </w:t>
      </w:r>
      <w:r w:rsidR="009E3179" w:rsidRPr="003E2D4A">
        <w:rPr>
          <w:rFonts w:cs="Calibri"/>
          <w:szCs w:val="23"/>
        </w:rPr>
        <w:t xml:space="preserve">national digital </w:t>
      </w:r>
      <w:r w:rsidR="009E3179" w:rsidRPr="003E2D4A">
        <w:rPr>
          <w:rFonts w:cs="Calibri"/>
          <w:szCs w:val="23"/>
        </w:rPr>
        <w:lastRenderedPageBreak/>
        <w:t>policy</w:t>
      </w:r>
      <w:r w:rsidR="000B227A">
        <w:rPr>
          <w:rFonts w:cs="Calibri"/>
          <w:szCs w:val="23"/>
        </w:rPr>
        <w:t xml:space="preserve"> </w:t>
      </w:r>
      <w:r w:rsidR="000B227A" w:rsidRPr="000B227A">
        <w:rPr>
          <w:rFonts w:cs="Calibri"/>
          <w:szCs w:val="23"/>
        </w:rPr>
        <w:t>and effective governance of complex digital ecosystems</w:t>
      </w:r>
      <w:r w:rsidR="00A422DE">
        <w:rPr>
          <w:rFonts w:cs="Calibri"/>
          <w:szCs w:val="23"/>
        </w:rPr>
        <w:t>, recognising the complementary and distinct role of regulators vis-à-vis governments</w:t>
      </w:r>
      <w:r w:rsidR="009E3179" w:rsidRPr="003E2D4A">
        <w:rPr>
          <w:rFonts w:cs="Calibri"/>
          <w:szCs w:val="23"/>
        </w:rPr>
        <w:t>.</w:t>
      </w:r>
    </w:p>
    <w:p w14:paraId="11BE3F9E" w14:textId="77777777" w:rsidR="00384493" w:rsidRDefault="00463020" w:rsidP="00494183">
      <w:pPr>
        <w:pStyle w:val="Heading3"/>
        <w:jc w:val="both"/>
      </w:pPr>
      <w:bookmarkStart w:id="10" w:name="_Toc202790140"/>
      <w:r w:rsidRPr="00463020">
        <w:t>Leverage co- and self-regulation</w:t>
      </w:r>
      <w:bookmarkEnd w:id="10"/>
    </w:p>
    <w:p w14:paraId="7BC3B07F" w14:textId="5E772E7B" w:rsidR="00463020" w:rsidRPr="00463020" w:rsidRDefault="00463020" w:rsidP="00DC43A2">
      <w:pPr>
        <w:jc w:val="both"/>
        <w:rPr>
          <w:rFonts w:cs="Calibri"/>
          <w:szCs w:val="23"/>
        </w:rPr>
      </w:pPr>
      <w:r w:rsidRPr="00463020">
        <w:rPr>
          <w:rFonts w:cs="Calibri"/>
          <w:szCs w:val="23"/>
        </w:rPr>
        <w:t xml:space="preserve">Where appropriate, </w:t>
      </w:r>
      <w:r w:rsidR="00D04921">
        <w:rPr>
          <w:rFonts w:cs="Calibri"/>
          <w:szCs w:val="23"/>
        </w:rPr>
        <w:t xml:space="preserve">share or </w:t>
      </w:r>
      <w:r w:rsidRPr="00463020">
        <w:rPr>
          <w:rFonts w:cs="Calibri"/>
          <w:szCs w:val="23"/>
        </w:rPr>
        <w:t xml:space="preserve">delegate responsibilities to trusted partners with clear accountability mechanisms. Support co-regulation with expert institutions, civil society or industry actors </w:t>
      </w:r>
      <w:r w:rsidR="009860EE">
        <w:rPr>
          <w:rFonts w:cs="Calibri"/>
          <w:szCs w:val="23"/>
        </w:rPr>
        <w:t xml:space="preserve">– </w:t>
      </w:r>
      <w:r w:rsidRPr="00463020">
        <w:rPr>
          <w:rFonts w:cs="Calibri"/>
          <w:szCs w:val="23"/>
        </w:rPr>
        <w:t xml:space="preserve">especially in fast-moving areas </w:t>
      </w:r>
      <w:r w:rsidR="00002C96">
        <w:rPr>
          <w:rFonts w:cs="Calibri"/>
          <w:szCs w:val="23"/>
        </w:rPr>
        <w:t>such as</w:t>
      </w:r>
      <w:r w:rsidR="00002C96" w:rsidRPr="00463020">
        <w:rPr>
          <w:rFonts w:cs="Calibri"/>
          <w:szCs w:val="23"/>
        </w:rPr>
        <w:t xml:space="preserve"> </w:t>
      </w:r>
      <w:r w:rsidRPr="00463020">
        <w:rPr>
          <w:rFonts w:cs="Calibri"/>
          <w:szCs w:val="23"/>
        </w:rPr>
        <w:t>cybersecurity, AI and data governance</w:t>
      </w:r>
      <w:r w:rsidR="005C474C">
        <w:rPr>
          <w:rFonts w:cs="Calibri"/>
          <w:szCs w:val="23"/>
        </w:rPr>
        <w:t xml:space="preserve"> where less agile models could impede investment and innovation</w:t>
      </w:r>
      <w:r w:rsidRPr="00463020">
        <w:rPr>
          <w:rFonts w:cs="Calibri"/>
          <w:szCs w:val="23"/>
        </w:rPr>
        <w:t>.</w:t>
      </w:r>
      <w:r w:rsidR="00A61AF2">
        <w:rPr>
          <w:rFonts w:cs="Calibri"/>
          <w:szCs w:val="23"/>
        </w:rPr>
        <w:t xml:space="preserve"> Explore means by which regulators can reduce their own and others’ regulatory burdens by pooling and simplifying regulatory models. Consider voluntary mechanisms co-designed with stakeholders to spur action as a new model of regulation</w:t>
      </w:r>
      <w:r w:rsidR="00F41B81">
        <w:t xml:space="preserve">, </w:t>
      </w:r>
      <w:r w:rsidR="00DC43A2">
        <w:t>while ensuring competent authorities safeguard privacy, ethical responsibilities, and related obligations</w:t>
      </w:r>
      <w:r w:rsidR="00DC43A2">
        <w:rPr>
          <w:rFonts w:cs="Calibri"/>
          <w:szCs w:val="23"/>
        </w:rPr>
        <w:t>.</w:t>
      </w:r>
    </w:p>
    <w:p w14:paraId="61779444" w14:textId="2168A8E6" w:rsidR="00384493" w:rsidRPr="000479DE" w:rsidRDefault="00463020" w:rsidP="00494183">
      <w:pPr>
        <w:pStyle w:val="Heading3"/>
        <w:jc w:val="both"/>
      </w:pPr>
      <w:bookmarkStart w:id="11" w:name="_Toc202790141"/>
      <w:r w:rsidRPr="00463020">
        <w:t xml:space="preserve">Shape innovation for public </w:t>
      </w:r>
      <w:r w:rsidRPr="000479DE">
        <w:t>value</w:t>
      </w:r>
      <w:bookmarkEnd w:id="11"/>
    </w:p>
    <w:p w14:paraId="774CF5F9" w14:textId="722FA2AB" w:rsidR="00CB7C0D" w:rsidRPr="00463020" w:rsidRDefault="00865A56" w:rsidP="00140269">
      <w:pPr>
        <w:jc w:val="both"/>
        <w:rPr>
          <w:rFonts w:cs="Calibri"/>
        </w:rPr>
      </w:pPr>
      <w:r>
        <w:rPr>
          <w:rFonts w:cs="Calibri"/>
        </w:rPr>
        <w:t>E</w:t>
      </w:r>
      <w:r w:rsidR="00463020" w:rsidRPr="000479DE">
        <w:rPr>
          <w:rFonts w:cs="Calibri"/>
        </w:rPr>
        <w:t>nable</w:t>
      </w:r>
      <w:r>
        <w:rPr>
          <w:rFonts w:cs="Calibri"/>
        </w:rPr>
        <w:t xml:space="preserve"> and steer</w:t>
      </w:r>
      <w:r w:rsidR="00463020" w:rsidRPr="000479DE">
        <w:rPr>
          <w:rFonts w:cs="Calibri"/>
        </w:rPr>
        <w:t xml:space="preserve"> innovation toward </w:t>
      </w:r>
      <w:r w:rsidR="004D0C26">
        <w:rPr>
          <w:rFonts w:cs="Calibri"/>
        </w:rPr>
        <w:t>inclusive and sustainable connectivity</w:t>
      </w:r>
      <w:r w:rsidR="008C7D64">
        <w:rPr>
          <w:rFonts w:cs="Calibri"/>
        </w:rPr>
        <w:t xml:space="preserve"> and digital markets</w:t>
      </w:r>
      <w:r w:rsidR="004D0C26">
        <w:rPr>
          <w:rFonts w:cs="Calibri"/>
        </w:rPr>
        <w:t xml:space="preserve"> that supports socio-economic development</w:t>
      </w:r>
      <w:r w:rsidR="00463020" w:rsidRPr="000479DE">
        <w:rPr>
          <w:rFonts w:cs="Calibri"/>
        </w:rPr>
        <w:t xml:space="preserve">. </w:t>
      </w:r>
      <w:r w:rsidR="000E5B83" w:rsidRPr="00BA5F43">
        <w:rPr>
          <w:rFonts w:cs="Calibri"/>
        </w:rPr>
        <w:t>Embed safety-by-design and inclusion</w:t>
      </w:r>
      <w:r w:rsidR="000E5B83" w:rsidRPr="000E5B83">
        <w:rPr>
          <w:rFonts w:cs="Calibri"/>
        </w:rPr>
        <w:t xml:space="preserve"> in </w:t>
      </w:r>
      <w:r w:rsidR="00E23D6F">
        <w:rPr>
          <w:rFonts w:cs="Calibri"/>
        </w:rPr>
        <w:t xml:space="preserve">decisions </w:t>
      </w:r>
      <w:r w:rsidR="00C9115A">
        <w:rPr>
          <w:rFonts w:cs="Calibri"/>
        </w:rPr>
        <w:t>o</w:t>
      </w:r>
      <w:r w:rsidR="00261D82">
        <w:rPr>
          <w:rFonts w:cs="Calibri"/>
        </w:rPr>
        <w:t>n</w:t>
      </w:r>
      <w:r w:rsidR="00C9115A">
        <w:rPr>
          <w:rFonts w:cs="Calibri"/>
        </w:rPr>
        <w:t xml:space="preserve"> </w:t>
      </w:r>
      <w:r w:rsidR="000E5B83" w:rsidRPr="000E5B83">
        <w:rPr>
          <w:rFonts w:cs="Calibri"/>
        </w:rPr>
        <w:t xml:space="preserve">fast-moving </w:t>
      </w:r>
      <w:r w:rsidR="00261D82">
        <w:rPr>
          <w:rFonts w:cs="Calibri"/>
        </w:rPr>
        <w:t>areas</w:t>
      </w:r>
      <w:r w:rsidR="000E5B83" w:rsidRPr="000E5B83">
        <w:rPr>
          <w:rFonts w:cs="Calibri"/>
        </w:rPr>
        <w:t xml:space="preserve">. </w:t>
      </w:r>
      <w:r w:rsidR="00BD7287">
        <w:rPr>
          <w:rFonts w:cs="Calibri"/>
        </w:rPr>
        <w:t xml:space="preserve">Resource regulators with the ability to collect and analyse consumer data </w:t>
      </w:r>
      <w:r w:rsidR="008649A8">
        <w:rPr>
          <w:rFonts w:cs="Calibri"/>
        </w:rPr>
        <w:t xml:space="preserve">and outcome metrics </w:t>
      </w:r>
      <w:r w:rsidR="00BD7287">
        <w:rPr>
          <w:rFonts w:cs="Calibri"/>
        </w:rPr>
        <w:t xml:space="preserve">to </w:t>
      </w:r>
      <w:r w:rsidR="00CB7C0D" w:rsidRPr="00CB7C0D">
        <w:rPr>
          <w:rFonts w:cs="Calibri"/>
        </w:rPr>
        <w:t>inform decisions, track real-world benefits, and address disparate impacts of new technologies.</w:t>
      </w:r>
    </w:p>
    <w:p w14:paraId="284F3AA7" w14:textId="69391186" w:rsidR="00463020" w:rsidRPr="00463020" w:rsidRDefault="00463020" w:rsidP="00494183">
      <w:pPr>
        <w:pStyle w:val="Heading2"/>
        <w:jc w:val="both"/>
      </w:pPr>
      <w:bookmarkStart w:id="12" w:name="_Toc202790142"/>
      <w:r>
        <w:t>III</w:t>
      </w:r>
      <w:r>
        <w:tab/>
      </w:r>
      <w:r w:rsidRPr="00463020">
        <w:t>LEVERAGE EMERGING TECHNOLOGIES FOR REGULATORY EXCELLENCE</w:t>
      </w:r>
      <w:bookmarkEnd w:id="12"/>
    </w:p>
    <w:p w14:paraId="1A956045" w14:textId="288064E5" w:rsidR="00384493" w:rsidRDefault="00463020" w:rsidP="00494183">
      <w:pPr>
        <w:pStyle w:val="Heading3"/>
        <w:jc w:val="both"/>
      </w:pPr>
      <w:bookmarkStart w:id="13" w:name="_Toc202790143"/>
      <w:r w:rsidRPr="00463020">
        <w:t xml:space="preserve">Use </w:t>
      </w:r>
      <w:r w:rsidR="00D02AA4">
        <w:t>new</w:t>
      </w:r>
      <w:r w:rsidR="00D02AA4" w:rsidRPr="00463020">
        <w:t xml:space="preserve"> </w:t>
      </w:r>
      <w:r w:rsidRPr="00463020">
        <w:t>tools across the regulatory cycle</w:t>
      </w:r>
      <w:bookmarkEnd w:id="13"/>
    </w:p>
    <w:p w14:paraId="0289F210" w14:textId="5C524B20" w:rsidR="00463020" w:rsidRDefault="00D02AA4" w:rsidP="00494183">
      <w:pPr>
        <w:jc w:val="both"/>
        <w:rPr>
          <w:rFonts w:cs="Calibri"/>
          <w:szCs w:val="23"/>
        </w:rPr>
      </w:pPr>
      <w:r>
        <w:rPr>
          <w:rFonts w:cs="Calibri"/>
          <w:szCs w:val="23"/>
        </w:rPr>
        <w:t>Where appropriate, i</w:t>
      </w:r>
      <w:r w:rsidR="00463020" w:rsidRPr="00463020">
        <w:rPr>
          <w:rFonts w:cs="Calibri"/>
          <w:szCs w:val="23"/>
        </w:rPr>
        <w:t xml:space="preserve">ntegrate </w:t>
      </w:r>
      <w:r w:rsidR="00414BE7">
        <w:rPr>
          <w:rFonts w:cs="Calibri"/>
          <w:szCs w:val="23"/>
        </w:rPr>
        <w:t>tech</w:t>
      </w:r>
      <w:r w:rsidR="007D720A">
        <w:rPr>
          <w:rFonts w:cs="Calibri"/>
          <w:szCs w:val="23"/>
        </w:rPr>
        <w:t xml:space="preserve">nologies such as </w:t>
      </w:r>
      <w:r w:rsidR="00463020" w:rsidRPr="00463020">
        <w:rPr>
          <w:rFonts w:cs="Calibri"/>
          <w:szCs w:val="23"/>
        </w:rPr>
        <w:t xml:space="preserve">AI, big data, blockchain and IoT into </w:t>
      </w:r>
      <w:r w:rsidR="007D720A">
        <w:rPr>
          <w:rFonts w:cs="Calibri"/>
          <w:szCs w:val="23"/>
        </w:rPr>
        <w:t xml:space="preserve">regulatory </w:t>
      </w:r>
      <w:r w:rsidR="00463020" w:rsidRPr="00463020">
        <w:rPr>
          <w:rFonts w:cs="Calibri"/>
          <w:szCs w:val="23"/>
        </w:rPr>
        <w:t xml:space="preserve">supervision, compliance and decision-making </w:t>
      </w:r>
      <w:r w:rsidR="00792676">
        <w:rPr>
          <w:rFonts w:cs="Calibri"/>
          <w:szCs w:val="23"/>
        </w:rPr>
        <w:t>–</w:t>
      </w:r>
      <w:r w:rsidR="00463020" w:rsidRPr="00463020">
        <w:rPr>
          <w:rFonts w:cs="Calibri"/>
          <w:szCs w:val="23"/>
        </w:rPr>
        <w:t xml:space="preserve"> </w:t>
      </w:r>
      <w:r w:rsidR="002D1CF3">
        <w:rPr>
          <w:rFonts w:cs="Calibri"/>
          <w:szCs w:val="23"/>
        </w:rPr>
        <w:t>working towards them</w:t>
      </w:r>
      <w:r w:rsidR="00463020" w:rsidRPr="00463020">
        <w:rPr>
          <w:rFonts w:cs="Calibri"/>
          <w:szCs w:val="23"/>
        </w:rPr>
        <w:t xml:space="preserve"> as embedded capabilities. Examples include </w:t>
      </w:r>
      <w:r w:rsidR="00D815C7">
        <w:rPr>
          <w:rFonts w:cs="Calibri"/>
          <w:szCs w:val="23"/>
        </w:rPr>
        <w:t xml:space="preserve">regulation through data, </w:t>
      </w:r>
      <w:r w:rsidR="00463020" w:rsidRPr="00463020">
        <w:rPr>
          <w:rFonts w:cs="Calibri"/>
          <w:szCs w:val="23"/>
        </w:rPr>
        <w:t>real-time spectrum monitoring, automated compliance alerts and smart licensing systems</w:t>
      </w:r>
      <w:r w:rsidR="00666A38">
        <w:rPr>
          <w:rFonts w:cs="Calibri"/>
          <w:szCs w:val="23"/>
        </w:rPr>
        <w:t>, among other</w:t>
      </w:r>
      <w:r w:rsidR="006A0FD5">
        <w:rPr>
          <w:rFonts w:cs="Calibri"/>
          <w:szCs w:val="23"/>
        </w:rPr>
        <w:t xml:space="preserve"> </w:t>
      </w:r>
      <w:proofErr w:type="spellStart"/>
      <w:r w:rsidR="006A0FD5" w:rsidRPr="003B1797">
        <w:rPr>
          <w:rFonts w:cs="Calibri"/>
          <w:szCs w:val="23"/>
        </w:rPr>
        <w:t>RegTech</w:t>
      </w:r>
      <w:proofErr w:type="spellEnd"/>
      <w:r w:rsidR="006A0FD5" w:rsidRPr="003B1797">
        <w:rPr>
          <w:rFonts w:cs="Calibri"/>
          <w:szCs w:val="23"/>
        </w:rPr>
        <w:t xml:space="preserve"> and </w:t>
      </w:r>
      <w:proofErr w:type="spellStart"/>
      <w:r w:rsidR="006A0FD5" w:rsidRPr="003B1797">
        <w:rPr>
          <w:rFonts w:cs="Calibri"/>
          <w:szCs w:val="23"/>
        </w:rPr>
        <w:t>SupReg</w:t>
      </w:r>
      <w:proofErr w:type="spellEnd"/>
      <w:r w:rsidR="006A0FD5" w:rsidRPr="003B1797">
        <w:rPr>
          <w:rFonts w:cs="Calibri"/>
          <w:szCs w:val="23"/>
        </w:rPr>
        <w:t xml:space="preserve"> applications</w:t>
      </w:r>
      <w:r w:rsidR="00463020" w:rsidRPr="003B1797">
        <w:rPr>
          <w:rFonts w:cs="Calibri"/>
          <w:szCs w:val="23"/>
        </w:rPr>
        <w:t>.</w:t>
      </w:r>
    </w:p>
    <w:p w14:paraId="6705D4B8" w14:textId="3972E197" w:rsidR="001A740F" w:rsidRPr="003B1797" w:rsidRDefault="001A740F" w:rsidP="00494183">
      <w:pPr>
        <w:jc w:val="both"/>
        <w:rPr>
          <w:rFonts w:cs="Calibri"/>
          <w:szCs w:val="23"/>
        </w:rPr>
      </w:pPr>
      <w:r w:rsidRPr="001A740F">
        <w:rPr>
          <w:rFonts w:cs="Calibri"/>
          <w:szCs w:val="23"/>
        </w:rPr>
        <w:t>Co-design such applications to encourage potential interoperability with industry applications and iterating on experimental, test-case applications.</w:t>
      </w:r>
      <w:r w:rsidR="00B95987" w:rsidRPr="00B95987">
        <w:rPr>
          <w:rFonts w:cs="Calibri"/>
          <w:szCs w:val="23"/>
        </w:rPr>
        <w:t xml:space="preserve"> </w:t>
      </w:r>
      <w:r w:rsidR="00B95987" w:rsidRPr="00791AF2">
        <w:rPr>
          <w:rFonts w:cs="Calibri"/>
          <w:szCs w:val="23"/>
        </w:rPr>
        <w:t xml:space="preserve">Streamline and simplify regulatory processes for industry to </w:t>
      </w:r>
      <w:r w:rsidR="00B95987" w:rsidRPr="009E6C65">
        <w:rPr>
          <w:rFonts w:cs="Calibri"/>
          <w:szCs w:val="23"/>
        </w:rPr>
        <w:t>lower compliance costs and improve the ease of doing business while maintaining oversight</w:t>
      </w:r>
      <w:r w:rsidR="00B95987" w:rsidRPr="00791AF2">
        <w:rPr>
          <w:rFonts w:cs="Calibri"/>
          <w:szCs w:val="23"/>
        </w:rPr>
        <w:t>.</w:t>
      </w:r>
    </w:p>
    <w:p w14:paraId="36EC9C4E" w14:textId="4A0B418A" w:rsidR="00384493" w:rsidRDefault="00463020" w:rsidP="00494183">
      <w:pPr>
        <w:pStyle w:val="Heading3"/>
        <w:jc w:val="both"/>
      </w:pPr>
      <w:bookmarkStart w:id="14" w:name="_Toc202790144"/>
      <w:r w:rsidRPr="003B1797">
        <w:t xml:space="preserve">Harness data for </w:t>
      </w:r>
      <w:r w:rsidR="00A9306E" w:rsidRPr="003B1797">
        <w:t xml:space="preserve">responsive </w:t>
      </w:r>
      <w:r w:rsidRPr="003B1797">
        <w:t>oversight</w:t>
      </w:r>
      <w:bookmarkEnd w:id="14"/>
    </w:p>
    <w:p w14:paraId="0117F7AE" w14:textId="6A30A349" w:rsidR="00463020" w:rsidRPr="00463020" w:rsidRDefault="00463020" w:rsidP="00494183">
      <w:pPr>
        <w:jc w:val="both"/>
        <w:rPr>
          <w:rFonts w:cs="Calibri"/>
          <w:szCs w:val="23"/>
        </w:rPr>
      </w:pPr>
      <w:r w:rsidRPr="00463020">
        <w:rPr>
          <w:rFonts w:cs="Calibri"/>
          <w:szCs w:val="23"/>
        </w:rPr>
        <w:t>Build integrated data systems</w:t>
      </w:r>
      <w:r w:rsidR="00CA0958" w:rsidRPr="00CA0958">
        <w:rPr>
          <w:rFonts w:cs="Calibri"/>
          <w:szCs w:val="23"/>
        </w:rPr>
        <w:t xml:space="preserve"> </w:t>
      </w:r>
      <w:r w:rsidR="00CA0958">
        <w:rPr>
          <w:rFonts w:cs="Calibri"/>
          <w:szCs w:val="23"/>
        </w:rPr>
        <w:t>to assist with effective regulatory compliance. Such systems can</w:t>
      </w:r>
      <w:r w:rsidRPr="00463020">
        <w:rPr>
          <w:rFonts w:cs="Calibri"/>
          <w:szCs w:val="23"/>
        </w:rPr>
        <w:t xml:space="preserve"> combine</w:t>
      </w:r>
      <w:r w:rsidR="00CA0958">
        <w:rPr>
          <w:rFonts w:cs="Calibri"/>
          <w:szCs w:val="23"/>
        </w:rPr>
        <w:t>, among others,</w:t>
      </w:r>
      <w:r w:rsidRPr="00463020">
        <w:rPr>
          <w:rFonts w:cs="Calibri"/>
          <w:szCs w:val="23"/>
        </w:rPr>
        <w:t xml:space="preserve"> </w:t>
      </w:r>
      <w:r w:rsidR="00614308">
        <w:rPr>
          <w:rFonts w:cs="Calibri"/>
          <w:szCs w:val="23"/>
        </w:rPr>
        <w:t>industry</w:t>
      </w:r>
      <w:r w:rsidRPr="00463020">
        <w:rPr>
          <w:rFonts w:cs="Calibri"/>
          <w:szCs w:val="23"/>
        </w:rPr>
        <w:t xml:space="preserve"> submissions, sensor data and crowd-sourced </w:t>
      </w:r>
      <w:r w:rsidR="00614308">
        <w:rPr>
          <w:rFonts w:cs="Calibri"/>
          <w:szCs w:val="23"/>
        </w:rPr>
        <w:t>information</w:t>
      </w:r>
      <w:r w:rsidRPr="00463020">
        <w:rPr>
          <w:rFonts w:cs="Calibri"/>
          <w:szCs w:val="23"/>
        </w:rPr>
        <w:t xml:space="preserve">. </w:t>
      </w:r>
      <w:r w:rsidR="000553B5">
        <w:rPr>
          <w:rFonts w:cs="Calibri"/>
          <w:szCs w:val="23"/>
        </w:rPr>
        <w:t>D</w:t>
      </w:r>
      <w:r w:rsidR="000553B5" w:rsidRPr="00463020">
        <w:rPr>
          <w:rFonts w:cs="Calibri"/>
          <w:szCs w:val="23"/>
        </w:rPr>
        <w:t>etect service gaps, identify risks early and guide interventions where they matter most</w:t>
      </w:r>
      <w:r w:rsidR="00B34000">
        <w:rPr>
          <w:rFonts w:cs="Calibri"/>
          <w:szCs w:val="23"/>
        </w:rPr>
        <w:t xml:space="preserve">, </w:t>
      </w:r>
      <w:r w:rsidR="00B34000" w:rsidRPr="00B34000">
        <w:rPr>
          <w:rFonts w:cs="Calibri"/>
          <w:szCs w:val="23"/>
        </w:rPr>
        <w:t xml:space="preserve">publish </w:t>
      </w:r>
      <w:r w:rsidR="006043CA">
        <w:rPr>
          <w:rFonts w:cs="Calibri"/>
          <w:szCs w:val="23"/>
        </w:rPr>
        <w:t xml:space="preserve">interactive </w:t>
      </w:r>
      <w:r w:rsidR="00B34000" w:rsidRPr="00B34000">
        <w:rPr>
          <w:rFonts w:cs="Calibri"/>
          <w:szCs w:val="23"/>
        </w:rPr>
        <w:t xml:space="preserve">dashboards that guide </w:t>
      </w:r>
      <w:r w:rsidR="006043CA">
        <w:rPr>
          <w:rFonts w:cs="Calibri"/>
          <w:szCs w:val="23"/>
        </w:rPr>
        <w:t>compliance</w:t>
      </w:r>
      <w:r w:rsidR="00B34000" w:rsidRPr="00B34000">
        <w:rPr>
          <w:rFonts w:cs="Calibri"/>
          <w:szCs w:val="23"/>
        </w:rPr>
        <w:t xml:space="preserve"> and consumer choice</w:t>
      </w:r>
      <w:r w:rsidRPr="00463020">
        <w:rPr>
          <w:rFonts w:cs="Calibri"/>
          <w:szCs w:val="23"/>
        </w:rPr>
        <w:t>.</w:t>
      </w:r>
      <w:r w:rsidR="00701FAB">
        <w:rPr>
          <w:rFonts w:cs="Calibri"/>
          <w:szCs w:val="23"/>
        </w:rPr>
        <w:t xml:space="preserve"> Use these strategies to build holistic pictures of market realities with greater granularity.</w:t>
      </w:r>
    </w:p>
    <w:p w14:paraId="29CAF7FF" w14:textId="77777777" w:rsidR="00384493" w:rsidRDefault="00463020" w:rsidP="00494183">
      <w:pPr>
        <w:pStyle w:val="Heading3"/>
        <w:jc w:val="both"/>
      </w:pPr>
      <w:bookmarkStart w:id="15" w:name="_Toc202790145"/>
      <w:r w:rsidRPr="00463020">
        <w:t>Modernize engagement through technology</w:t>
      </w:r>
      <w:bookmarkEnd w:id="15"/>
    </w:p>
    <w:p w14:paraId="206C567C" w14:textId="5C03FB9D" w:rsidR="0020400A" w:rsidRPr="00463020" w:rsidRDefault="00463020" w:rsidP="00494183">
      <w:pPr>
        <w:jc w:val="both"/>
        <w:rPr>
          <w:rFonts w:cs="Calibri"/>
          <w:szCs w:val="23"/>
        </w:rPr>
      </w:pPr>
      <w:r w:rsidRPr="00463020">
        <w:rPr>
          <w:rFonts w:cs="Calibri"/>
          <w:szCs w:val="23"/>
        </w:rPr>
        <w:t xml:space="preserve">Launch digital portals, </w:t>
      </w:r>
      <w:r w:rsidR="00E44A16">
        <w:rPr>
          <w:rFonts w:cs="Calibri"/>
          <w:szCs w:val="23"/>
        </w:rPr>
        <w:t xml:space="preserve">interactive </w:t>
      </w:r>
      <w:r w:rsidRPr="00463020">
        <w:rPr>
          <w:rFonts w:cs="Calibri"/>
          <w:szCs w:val="23"/>
        </w:rPr>
        <w:t xml:space="preserve">open data platforms and mobile tools to make decisions transparent and participation </w:t>
      </w:r>
      <w:r w:rsidR="005A0BD4">
        <w:rPr>
          <w:rFonts w:cs="Calibri"/>
          <w:szCs w:val="23"/>
        </w:rPr>
        <w:t xml:space="preserve">of non-industry users </w:t>
      </w:r>
      <w:r w:rsidRPr="00463020">
        <w:rPr>
          <w:rFonts w:cs="Calibri"/>
          <w:szCs w:val="23"/>
        </w:rPr>
        <w:t>easier</w:t>
      </w:r>
      <w:r w:rsidR="007D769B">
        <w:rPr>
          <w:rFonts w:cs="Calibri"/>
          <w:szCs w:val="23"/>
        </w:rPr>
        <w:t>. Develop these projects with the needs of</w:t>
      </w:r>
      <w:r w:rsidRPr="00463020">
        <w:rPr>
          <w:rFonts w:cs="Calibri"/>
          <w:szCs w:val="23"/>
        </w:rPr>
        <w:t xml:space="preserve"> users in underserved or remote communities</w:t>
      </w:r>
      <w:r w:rsidR="007D769B">
        <w:rPr>
          <w:rFonts w:cs="Calibri"/>
          <w:szCs w:val="23"/>
        </w:rPr>
        <w:t xml:space="preserve"> in mind</w:t>
      </w:r>
      <w:r w:rsidRPr="00463020">
        <w:rPr>
          <w:rFonts w:cs="Calibri"/>
          <w:szCs w:val="23"/>
        </w:rPr>
        <w:t xml:space="preserve">. </w:t>
      </w:r>
      <w:r w:rsidR="006B013F">
        <w:rPr>
          <w:rFonts w:cs="Calibri"/>
          <w:szCs w:val="23"/>
        </w:rPr>
        <w:t>I</w:t>
      </w:r>
      <w:r w:rsidR="006B013F" w:rsidRPr="00463020">
        <w:rPr>
          <w:rFonts w:cs="Calibri"/>
          <w:szCs w:val="23"/>
        </w:rPr>
        <w:t xml:space="preserve">mprove </w:t>
      </w:r>
      <w:r w:rsidR="00C36D2F">
        <w:rPr>
          <w:rFonts w:cs="Calibri"/>
          <w:szCs w:val="23"/>
        </w:rPr>
        <w:t xml:space="preserve">data use </w:t>
      </w:r>
      <w:r w:rsidR="007D769B">
        <w:rPr>
          <w:rFonts w:cs="Calibri"/>
          <w:szCs w:val="23"/>
        </w:rPr>
        <w:t xml:space="preserve">by stakeholders </w:t>
      </w:r>
      <w:r w:rsidR="006B013F" w:rsidRPr="00463020">
        <w:rPr>
          <w:rFonts w:cs="Calibri"/>
          <w:szCs w:val="23"/>
        </w:rPr>
        <w:t xml:space="preserve">and </w:t>
      </w:r>
      <w:r w:rsidR="00C36D2F">
        <w:rPr>
          <w:rFonts w:cs="Calibri"/>
          <w:szCs w:val="23"/>
        </w:rPr>
        <w:t xml:space="preserve">stakeholder </w:t>
      </w:r>
      <w:r w:rsidR="006B013F" w:rsidRPr="00463020">
        <w:rPr>
          <w:rFonts w:cs="Calibri"/>
          <w:szCs w:val="23"/>
        </w:rPr>
        <w:t xml:space="preserve">feedback </w:t>
      </w:r>
      <w:r w:rsidR="006B013F">
        <w:rPr>
          <w:rFonts w:cs="Calibri"/>
          <w:szCs w:val="23"/>
        </w:rPr>
        <w:t>with t</w:t>
      </w:r>
      <w:r w:rsidRPr="00463020">
        <w:rPr>
          <w:rFonts w:cs="Calibri"/>
          <w:szCs w:val="23"/>
        </w:rPr>
        <w:t>ools like chatbots or map-based dashboards.</w:t>
      </w:r>
      <w:r w:rsidR="00465BC7" w:rsidRPr="00465BC7">
        <w:rPr>
          <w:rFonts w:cs="Calibri"/>
          <w:szCs w:val="23"/>
        </w:rPr>
        <w:t xml:space="preserve"> </w:t>
      </w:r>
    </w:p>
    <w:p w14:paraId="2E202097" w14:textId="77777777" w:rsidR="00384493" w:rsidRDefault="00463020" w:rsidP="00494183">
      <w:pPr>
        <w:pStyle w:val="Heading3"/>
        <w:jc w:val="both"/>
      </w:pPr>
      <w:bookmarkStart w:id="16" w:name="_Toc202790146"/>
      <w:r w:rsidRPr="00463020">
        <w:lastRenderedPageBreak/>
        <w:t>Institutionalize experimentation</w:t>
      </w:r>
      <w:bookmarkEnd w:id="16"/>
    </w:p>
    <w:p w14:paraId="0DB0BDEC" w14:textId="34079DE3" w:rsidR="00463020" w:rsidRPr="00463020" w:rsidRDefault="002E1057" w:rsidP="00784DAD">
      <w:pPr>
        <w:jc w:val="both"/>
        <w:rPr>
          <w:rFonts w:cs="Calibri"/>
          <w:szCs w:val="23"/>
        </w:rPr>
      </w:pPr>
      <w:r>
        <w:rPr>
          <w:rFonts w:cs="Calibri"/>
          <w:szCs w:val="23"/>
        </w:rPr>
        <w:t>T</w:t>
      </w:r>
      <w:r w:rsidRPr="00463020">
        <w:rPr>
          <w:rFonts w:cs="Calibri"/>
          <w:szCs w:val="23"/>
        </w:rPr>
        <w:t xml:space="preserve">est regulatory responses before codifying rules </w:t>
      </w:r>
      <w:r w:rsidR="006D20E0">
        <w:rPr>
          <w:rFonts w:cs="Calibri"/>
          <w:szCs w:val="23"/>
        </w:rPr>
        <w:t xml:space="preserve">in </w:t>
      </w:r>
      <w:r w:rsidR="00FB53E0">
        <w:rPr>
          <w:rFonts w:cs="Calibri"/>
          <w:szCs w:val="23"/>
        </w:rPr>
        <w:t xml:space="preserve">high-risk or high-uncertainty </w:t>
      </w:r>
      <w:r w:rsidR="006D20E0">
        <w:rPr>
          <w:rFonts w:cs="Calibri"/>
          <w:szCs w:val="23"/>
        </w:rPr>
        <w:t xml:space="preserve">areas </w:t>
      </w:r>
      <w:r>
        <w:rPr>
          <w:rFonts w:cs="Calibri"/>
          <w:szCs w:val="23"/>
        </w:rPr>
        <w:t>by using</w:t>
      </w:r>
      <w:r w:rsidRPr="00463020">
        <w:rPr>
          <w:rFonts w:cs="Calibri"/>
          <w:szCs w:val="23"/>
        </w:rPr>
        <w:t xml:space="preserve"> </w:t>
      </w:r>
      <w:r w:rsidR="00463020" w:rsidRPr="00463020">
        <w:rPr>
          <w:rFonts w:cs="Calibri"/>
          <w:szCs w:val="23"/>
        </w:rPr>
        <w:t xml:space="preserve">sandboxes, </w:t>
      </w:r>
      <w:r w:rsidR="005C2CCE">
        <w:rPr>
          <w:rFonts w:cs="Calibri"/>
          <w:szCs w:val="23"/>
        </w:rPr>
        <w:t xml:space="preserve">living labs, </w:t>
      </w:r>
      <w:r w:rsidR="00463020" w:rsidRPr="00463020">
        <w:rPr>
          <w:rFonts w:cs="Calibri"/>
          <w:szCs w:val="23"/>
        </w:rPr>
        <w:t xml:space="preserve">simulations and scenario tools. </w:t>
      </w:r>
      <w:r w:rsidR="00E60D98">
        <w:rPr>
          <w:rFonts w:cs="Calibri"/>
          <w:szCs w:val="23"/>
        </w:rPr>
        <w:t xml:space="preserve">Leverage </w:t>
      </w:r>
      <w:r w:rsidR="00E60D98" w:rsidRPr="00E60D98">
        <w:rPr>
          <w:rFonts w:cs="Calibri"/>
          <w:szCs w:val="23"/>
        </w:rPr>
        <w:t>recognised technical standards (</w:t>
      </w:r>
      <w:r w:rsidR="00FB53E0">
        <w:rPr>
          <w:rFonts w:cs="Calibri"/>
          <w:szCs w:val="23"/>
        </w:rPr>
        <w:t xml:space="preserve">e.g. for </w:t>
      </w:r>
      <w:r w:rsidR="00E60D98" w:rsidRPr="00E60D98">
        <w:rPr>
          <w:rFonts w:cs="Calibri"/>
          <w:szCs w:val="23"/>
        </w:rPr>
        <w:t>AI, cybersecurity, digital identity, quantum) and standards-based certification to structure sandboxes and speed safe scaling</w:t>
      </w:r>
      <w:r w:rsidR="00E60D98">
        <w:rPr>
          <w:rFonts w:cs="Calibri"/>
          <w:szCs w:val="23"/>
        </w:rPr>
        <w:t>.</w:t>
      </w:r>
      <w:r w:rsidR="00E60D98" w:rsidRPr="00E60D98">
        <w:rPr>
          <w:rFonts w:cs="Calibri"/>
          <w:szCs w:val="23"/>
        </w:rPr>
        <w:t xml:space="preserve"> </w:t>
      </w:r>
      <w:r>
        <w:rPr>
          <w:rFonts w:cs="Calibri"/>
          <w:szCs w:val="23"/>
        </w:rPr>
        <w:t>A</w:t>
      </w:r>
      <w:r w:rsidRPr="00463020">
        <w:rPr>
          <w:rFonts w:cs="Calibri"/>
          <w:szCs w:val="23"/>
        </w:rPr>
        <w:t xml:space="preserve">ccelerate consultation analysis and improve responsiveness </w:t>
      </w:r>
      <w:r w:rsidR="00180508">
        <w:rPr>
          <w:rFonts w:cs="Calibri"/>
          <w:szCs w:val="23"/>
        </w:rPr>
        <w:t xml:space="preserve">with </w:t>
      </w:r>
      <w:r w:rsidR="00463020" w:rsidRPr="00463020">
        <w:rPr>
          <w:rFonts w:cs="Calibri"/>
          <w:szCs w:val="23"/>
        </w:rPr>
        <w:t>AI-assisted tools.</w:t>
      </w:r>
      <w:r w:rsidR="00784DAD" w:rsidRPr="00784DAD">
        <w:t xml:space="preserve"> </w:t>
      </w:r>
      <w:r w:rsidR="00180508">
        <w:t>Ensure effective</w:t>
      </w:r>
      <w:r w:rsidR="00B93DF3">
        <w:t>n</w:t>
      </w:r>
      <w:r w:rsidR="00180508">
        <w:t xml:space="preserve">ess and responsible innovation by </w:t>
      </w:r>
      <w:r w:rsidR="00180508">
        <w:rPr>
          <w:rFonts w:cs="Calibri"/>
          <w:szCs w:val="23"/>
        </w:rPr>
        <w:t>c</w:t>
      </w:r>
      <w:r w:rsidR="00784DAD" w:rsidRPr="00784DAD">
        <w:rPr>
          <w:rFonts w:cs="Calibri"/>
          <w:szCs w:val="23"/>
        </w:rPr>
        <w:t>o-designing these experimental frameworks with industry and other stakeholders.</w:t>
      </w:r>
    </w:p>
    <w:p w14:paraId="493B4C26" w14:textId="77777777" w:rsidR="00384493" w:rsidRDefault="00463020" w:rsidP="00494183">
      <w:pPr>
        <w:pStyle w:val="Heading3"/>
        <w:jc w:val="both"/>
      </w:pPr>
      <w:bookmarkStart w:id="17" w:name="_Toc202790147"/>
      <w:r w:rsidRPr="00463020">
        <w:t>Design for trust and ethics</w:t>
      </w:r>
      <w:bookmarkEnd w:id="17"/>
    </w:p>
    <w:p w14:paraId="5072CB6D" w14:textId="78CBAE9D" w:rsidR="00463020" w:rsidRDefault="00463020" w:rsidP="00A175B0">
      <w:pPr>
        <w:jc w:val="both"/>
        <w:rPr>
          <w:rFonts w:cs="Calibri"/>
          <w:szCs w:val="23"/>
        </w:rPr>
      </w:pPr>
      <w:r w:rsidRPr="00463020">
        <w:rPr>
          <w:rFonts w:cs="Calibri"/>
          <w:szCs w:val="23"/>
        </w:rPr>
        <w:t>Lead by example in how technologies are used internally. Adopt privacy-preserving tools</w:t>
      </w:r>
      <w:r w:rsidR="002445DC">
        <w:rPr>
          <w:rFonts w:cs="Calibri"/>
          <w:szCs w:val="23"/>
        </w:rPr>
        <w:t xml:space="preserve"> and standards</w:t>
      </w:r>
      <w:r w:rsidR="001A555B">
        <w:rPr>
          <w:rFonts w:cs="Calibri"/>
          <w:szCs w:val="23"/>
        </w:rPr>
        <w:t xml:space="preserve"> for consumer and industry data</w:t>
      </w:r>
      <w:r w:rsidRPr="00463020">
        <w:rPr>
          <w:rFonts w:cs="Calibri"/>
          <w:szCs w:val="23"/>
        </w:rPr>
        <w:t>, establish clear accountability</w:t>
      </w:r>
      <w:r w:rsidR="000516AE">
        <w:rPr>
          <w:rFonts w:cs="Calibri"/>
          <w:szCs w:val="23"/>
        </w:rPr>
        <w:t xml:space="preserve"> and appeals</w:t>
      </w:r>
      <w:r w:rsidRPr="00463020">
        <w:rPr>
          <w:rFonts w:cs="Calibri"/>
          <w:szCs w:val="23"/>
        </w:rPr>
        <w:t xml:space="preserve"> for automated decision-making </w:t>
      </w:r>
      <w:r w:rsidR="007A3080">
        <w:rPr>
          <w:rFonts w:cs="Calibri"/>
          <w:szCs w:val="23"/>
        </w:rPr>
        <w:t>as relevant to the administrative law of each jurisdiction</w:t>
      </w:r>
      <w:r w:rsidR="007A3080" w:rsidRPr="00463020">
        <w:rPr>
          <w:rFonts w:cs="Calibri"/>
          <w:szCs w:val="23"/>
        </w:rPr>
        <w:t xml:space="preserve"> </w:t>
      </w:r>
      <w:r w:rsidRPr="00463020">
        <w:rPr>
          <w:rFonts w:cs="Calibri"/>
          <w:szCs w:val="23"/>
        </w:rPr>
        <w:t>and align</w:t>
      </w:r>
      <w:r w:rsidR="007A3080">
        <w:rPr>
          <w:rFonts w:cs="Calibri"/>
          <w:szCs w:val="23"/>
        </w:rPr>
        <w:t>ed</w:t>
      </w:r>
      <w:r w:rsidRPr="00463020">
        <w:rPr>
          <w:rFonts w:cs="Calibri"/>
          <w:szCs w:val="23"/>
        </w:rPr>
        <w:t xml:space="preserve"> with </w:t>
      </w:r>
      <w:r w:rsidR="009048EE">
        <w:rPr>
          <w:rFonts w:cs="Calibri"/>
          <w:szCs w:val="23"/>
        </w:rPr>
        <w:t xml:space="preserve">established </w:t>
      </w:r>
      <w:r w:rsidRPr="00463020">
        <w:rPr>
          <w:rFonts w:cs="Calibri"/>
          <w:szCs w:val="23"/>
        </w:rPr>
        <w:t>global principles on trustworthy AI and data protection.</w:t>
      </w:r>
      <w:r w:rsidR="00E76ED2">
        <w:rPr>
          <w:rFonts w:cs="Calibri"/>
          <w:szCs w:val="23"/>
        </w:rPr>
        <w:t xml:space="preserve"> </w:t>
      </w:r>
      <w:r w:rsidR="00E76ED2" w:rsidRPr="00E76ED2">
        <w:rPr>
          <w:rFonts w:cs="Calibri"/>
          <w:szCs w:val="23"/>
        </w:rPr>
        <w:t>Clearly communicate with</w:t>
      </w:r>
      <w:r w:rsidR="00A175B0">
        <w:rPr>
          <w:rFonts w:cs="Calibri"/>
          <w:szCs w:val="23"/>
        </w:rPr>
        <w:t xml:space="preserve"> </w:t>
      </w:r>
      <w:r w:rsidR="00A175B0" w:rsidRPr="00A175B0">
        <w:rPr>
          <w:rFonts w:cs="Calibri"/>
          <w:szCs w:val="23"/>
        </w:rPr>
        <w:t>the</w:t>
      </w:r>
      <w:r w:rsidR="00E76ED2" w:rsidRPr="00E76ED2">
        <w:rPr>
          <w:rFonts w:cs="Calibri"/>
          <w:szCs w:val="23"/>
        </w:rPr>
        <w:t xml:space="preserve"> public on how technologies are being used and </w:t>
      </w:r>
      <w:r w:rsidR="003B3537">
        <w:rPr>
          <w:rFonts w:cs="Calibri"/>
          <w:szCs w:val="23"/>
        </w:rPr>
        <w:t xml:space="preserve">what </w:t>
      </w:r>
      <w:r w:rsidR="003B3537" w:rsidRPr="00E76ED2">
        <w:rPr>
          <w:rFonts w:cs="Calibri"/>
          <w:szCs w:val="23"/>
        </w:rPr>
        <w:t>safeguards</w:t>
      </w:r>
      <w:r w:rsidR="00E76ED2" w:rsidRPr="00E76ED2">
        <w:rPr>
          <w:rFonts w:cs="Calibri"/>
          <w:szCs w:val="23"/>
        </w:rPr>
        <w:t xml:space="preserve"> </w:t>
      </w:r>
      <w:r w:rsidR="00E30EFA">
        <w:rPr>
          <w:rFonts w:cs="Calibri"/>
          <w:szCs w:val="23"/>
        </w:rPr>
        <w:t xml:space="preserve">are </w:t>
      </w:r>
      <w:r w:rsidR="00E76ED2" w:rsidRPr="00E76ED2">
        <w:rPr>
          <w:rFonts w:cs="Calibri"/>
          <w:szCs w:val="23"/>
        </w:rPr>
        <w:t>in place.</w:t>
      </w:r>
    </w:p>
    <w:p w14:paraId="17BED8DD" w14:textId="77777777" w:rsidR="00F306F7" w:rsidRPr="00F41B81" w:rsidRDefault="00F306F7" w:rsidP="00BA5F43">
      <w:pPr>
        <w:pStyle w:val="Heading3"/>
        <w:rPr>
          <w:b w:val="0"/>
        </w:rPr>
      </w:pPr>
      <w:r w:rsidRPr="00F41B81">
        <w:t>Leverage emerging technologies for space sustainability</w:t>
      </w:r>
    </w:p>
    <w:p w14:paraId="52D0E670" w14:textId="7574B744" w:rsidR="005839E7" w:rsidRDefault="004F43B4" w:rsidP="00A175B0">
      <w:pPr>
        <w:jc w:val="both"/>
        <w:rPr>
          <w:rFonts w:cs="Calibri"/>
          <w:szCs w:val="23"/>
        </w:rPr>
      </w:pPr>
      <w:r w:rsidRPr="00F41B81">
        <w:rPr>
          <w:rFonts w:cs="Calibri"/>
          <w:szCs w:val="23"/>
        </w:rPr>
        <w:t>Where ICT regulators hold a space mandate, use AI and other tools for space-traffic monitoring, collision avoidance and orbital resource optimisation. Where they do not, enable coordination with the competent space authority, promote data sharing and standards-based safety measures so space services remain safe, reliable parts of digital infrastructure.</w:t>
      </w:r>
    </w:p>
    <w:p w14:paraId="4E725F08" w14:textId="77777777" w:rsidR="00384493" w:rsidRDefault="00463020" w:rsidP="00494183">
      <w:pPr>
        <w:pStyle w:val="Heading3"/>
        <w:jc w:val="both"/>
      </w:pPr>
      <w:bookmarkStart w:id="18" w:name="_Toc202790148"/>
      <w:r w:rsidRPr="00463020">
        <w:t>Build the capacity to deliver</w:t>
      </w:r>
      <w:bookmarkEnd w:id="18"/>
    </w:p>
    <w:p w14:paraId="5EF2E593" w14:textId="6506FAA9" w:rsidR="00463020" w:rsidRDefault="00D3413F" w:rsidP="00DD419C">
      <w:pPr>
        <w:jc w:val="both"/>
      </w:pPr>
      <w:r>
        <w:rPr>
          <w:rFonts w:cs="Calibri"/>
          <w:szCs w:val="23"/>
        </w:rPr>
        <w:t>Recognize that d</w:t>
      </w:r>
      <w:r w:rsidR="00463020" w:rsidRPr="00463020">
        <w:rPr>
          <w:rFonts w:cs="Calibri"/>
          <w:szCs w:val="23"/>
        </w:rPr>
        <w:t xml:space="preserve">igital transformation requires strategy, not just software. Invest in multidisciplinary talent, promote open standards and develop shared infrastructure </w:t>
      </w:r>
      <w:r w:rsidR="00A1476E">
        <w:rPr>
          <w:rFonts w:cs="Calibri"/>
          <w:szCs w:val="23"/>
        </w:rPr>
        <w:t>across</w:t>
      </w:r>
      <w:r w:rsidR="002A4838">
        <w:rPr>
          <w:rFonts w:cs="Calibri"/>
          <w:szCs w:val="23"/>
        </w:rPr>
        <w:t xml:space="preserve"> government </w:t>
      </w:r>
      <w:r w:rsidR="00463020" w:rsidRPr="00463020">
        <w:rPr>
          <w:rFonts w:cs="Calibri"/>
          <w:szCs w:val="23"/>
        </w:rPr>
        <w:t>to avoid duplication and overdependence on proprietary systems.</w:t>
      </w:r>
      <w:r w:rsidR="00DD419C" w:rsidRPr="00DD419C">
        <w:t xml:space="preserve"> </w:t>
      </w:r>
    </w:p>
    <w:p w14:paraId="6224C135" w14:textId="3A902F80" w:rsidR="00463020" w:rsidRPr="005D0999" w:rsidRDefault="00463020" w:rsidP="00C954A5">
      <w:pPr>
        <w:pStyle w:val="Heading2"/>
        <w:jc w:val="both"/>
        <w:rPr>
          <w:bCs/>
        </w:rPr>
      </w:pPr>
      <w:bookmarkStart w:id="19" w:name="_Toc202790149"/>
      <w:r w:rsidRPr="005D0999">
        <w:rPr>
          <w:bCs/>
        </w:rPr>
        <w:t>IV</w:t>
      </w:r>
      <w:r w:rsidRPr="005D0999">
        <w:rPr>
          <w:bCs/>
        </w:rPr>
        <w:tab/>
        <w:t>STRENGTHEN CROSS-BORDER COOPERATION FOR A CONNECTED FUTURE</w:t>
      </w:r>
      <w:bookmarkEnd w:id="19"/>
    </w:p>
    <w:p w14:paraId="676CA406" w14:textId="77777777" w:rsidR="00384493" w:rsidRDefault="00463020" w:rsidP="00494183">
      <w:pPr>
        <w:pStyle w:val="Heading3"/>
        <w:jc w:val="both"/>
      </w:pPr>
      <w:bookmarkStart w:id="20" w:name="_Toc202790150"/>
      <w:r w:rsidRPr="00463020">
        <w:t>Make collaboration results-driven</w:t>
      </w:r>
      <w:bookmarkEnd w:id="20"/>
    </w:p>
    <w:p w14:paraId="3714F249" w14:textId="1A4C2847" w:rsidR="00463020" w:rsidRPr="00463020" w:rsidRDefault="00463020" w:rsidP="00494183">
      <w:pPr>
        <w:jc w:val="both"/>
        <w:rPr>
          <w:rFonts w:cs="Calibri"/>
          <w:szCs w:val="23"/>
        </w:rPr>
      </w:pPr>
      <w:r w:rsidRPr="00463020">
        <w:rPr>
          <w:rFonts w:cs="Calibri"/>
          <w:szCs w:val="23"/>
        </w:rPr>
        <w:t xml:space="preserve">Use regional and international partnerships to </w:t>
      </w:r>
      <w:r w:rsidR="00802939">
        <w:rPr>
          <w:rFonts w:cs="Calibri"/>
          <w:szCs w:val="23"/>
        </w:rPr>
        <w:t>address</w:t>
      </w:r>
      <w:r w:rsidR="00802939" w:rsidRPr="00463020">
        <w:rPr>
          <w:rFonts w:cs="Calibri"/>
          <w:szCs w:val="23"/>
        </w:rPr>
        <w:t xml:space="preserve"> </w:t>
      </w:r>
      <w:r w:rsidR="002A4838">
        <w:rPr>
          <w:rFonts w:cs="Calibri"/>
          <w:szCs w:val="23"/>
        </w:rPr>
        <w:t>common challenges</w:t>
      </w:r>
      <w:r w:rsidR="00265921">
        <w:rPr>
          <w:rFonts w:cs="Calibri"/>
          <w:szCs w:val="23"/>
        </w:rPr>
        <w:t xml:space="preserve"> and shared priorities,</w:t>
      </w:r>
      <w:r w:rsidRPr="00463020">
        <w:rPr>
          <w:rFonts w:cs="Calibri"/>
          <w:szCs w:val="23"/>
        </w:rPr>
        <w:t xml:space="preserve"> from spectrum coordination to</w:t>
      </w:r>
      <w:r w:rsidR="00276DC0">
        <w:rPr>
          <w:rFonts w:cs="Calibri"/>
          <w:szCs w:val="23"/>
        </w:rPr>
        <w:t xml:space="preserve"> cybersecurity to</w:t>
      </w:r>
      <w:r w:rsidRPr="00463020">
        <w:rPr>
          <w:rFonts w:cs="Calibri"/>
          <w:szCs w:val="23"/>
        </w:rPr>
        <w:t xml:space="preserve"> AI governance</w:t>
      </w:r>
      <w:r w:rsidR="007B0181">
        <w:rPr>
          <w:rFonts w:cs="Calibri"/>
          <w:szCs w:val="23"/>
        </w:rPr>
        <w:t>, taking into account established global regulations and principles</w:t>
      </w:r>
      <w:r w:rsidRPr="00463020">
        <w:rPr>
          <w:rFonts w:cs="Calibri"/>
          <w:szCs w:val="23"/>
        </w:rPr>
        <w:t xml:space="preserve">. Prioritize joint activities, regulatory sandboxes or enforcement efforts that deliver tangible impact </w:t>
      </w:r>
      <w:r w:rsidR="003C5238">
        <w:rPr>
          <w:rFonts w:cs="Calibri"/>
          <w:szCs w:val="23"/>
        </w:rPr>
        <w:t xml:space="preserve">for consumers </w:t>
      </w:r>
      <w:r w:rsidRPr="00463020">
        <w:rPr>
          <w:rFonts w:cs="Calibri"/>
          <w:szCs w:val="23"/>
        </w:rPr>
        <w:t>over formal agreements alone</w:t>
      </w:r>
      <w:r w:rsidR="00264D45">
        <w:rPr>
          <w:rFonts w:cs="Calibri"/>
          <w:szCs w:val="23"/>
        </w:rPr>
        <w:t xml:space="preserve"> and resource accordingly</w:t>
      </w:r>
      <w:r w:rsidRPr="00463020">
        <w:rPr>
          <w:rFonts w:cs="Calibri"/>
          <w:szCs w:val="23"/>
        </w:rPr>
        <w:t>.</w:t>
      </w:r>
    </w:p>
    <w:p w14:paraId="26B50D6A" w14:textId="76B1DD3E" w:rsidR="00384493" w:rsidRDefault="00B1714F" w:rsidP="00494183">
      <w:pPr>
        <w:pStyle w:val="Heading3"/>
        <w:jc w:val="both"/>
      </w:pPr>
      <w:bookmarkStart w:id="21" w:name="_Toc202790151"/>
      <w:r w:rsidRPr="002F453D">
        <w:rPr>
          <w:rFonts w:cs="Calibri"/>
          <w:szCs w:val="23"/>
        </w:rPr>
        <w:t xml:space="preserve">Promote </w:t>
      </w:r>
      <w:r w:rsidRPr="002F453D">
        <w:rPr>
          <w:rFonts w:cs="Calibri"/>
          <w:bCs/>
          <w:szCs w:val="23"/>
        </w:rPr>
        <w:t>regulatory interoperability</w:t>
      </w:r>
      <w:r w:rsidRPr="002F453D">
        <w:rPr>
          <w:rFonts w:cs="Calibri"/>
          <w:szCs w:val="23"/>
        </w:rPr>
        <w:t xml:space="preserve"> </w:t>
      </w:r>
      <w:r w:rsidR="00463020" w:rsidRPr="00463020">
        <w:t>where it adds value</w:t>
      </w:r>
      <w:bookmarkEnd w:id="21"/>
    </w:p>
    <w:p w14:paraId="13A4537F" w14:textId="6D89A533" w:rsidR="00EB5C66" w:rsidRPr="00EB5C66" w:rsidRDefault="004205A3" w:rsidP="00BA5F43">
      <w:r w:rsidRPr="00BA5F43">
        <w:rPr>
          <w:rFonts w:eastAsiaTheme="majorEastAsia" w:cs="Calibri"/>
          <w:bCs/>
          <w:color w:val="000000" w:themeColor="text1"/>
          <w:szCs w:val="23"/>
        </w:rPr>
        <w:t xml:space="preserve">Encourage </w:t>
      </w:r>
      <w:r w:rsidR="00463020" w:rsidRPr="00BA5F43">
        <w:rPr>
          <w:rFonts w:eastAsiaTheme="majorEastAsia" w:cs="Calibri"/>
          <w:bCs/>
          <w:color w:val="000000" w:themeColor="text1"/>
          <w:szCs w:val="23"/>
        </w:rPr>
        <w:t xml:space="preserve">alignment </w:t>
      </w:r>
      <w:r w:rsidR="00B1714F" w:rsidRPr="00BA5F43">
        <w:rPr>
          <w:rFonts w:eastAsiaTheme="majorEastAsia" w:cs="Calibri"/>
          <w:bCs/>
          <w:color w:val="000000" w:themeColor="text1"/>
          <w:szCs w:val="23"/>
        </w:rPr>
        <w:t xml:space="preserve">through common baselines and principles </w:t>
      </w:r>
      <w:r w:rsidR="00463020" w:rsidRPr="00BA5F43">
        <w:rPr>
          <w:rFonts w:eastAsiaTheme="majorEastAsia" w:cs="Calibri"/>
          <w:bCs/>
          <w:color w:val="000000" w:themeColor="text1"/>
          <w:szCs w:val="23"/>
        </w:rPr>
        <w:t xml:space="preserve">in areas </w:t>
      </w:r>
      <w:r w:rsidR="0001431E" w:rsidRPr="00BA5F43">
        <w:rPr>
          <w:rFonts w:eastAsiaTheme="majorEastAsia" w:cs="Calibri"/>
          <w:bCs/>
          <w:color w:val="000000" w:themeColor="text1"/>
          <w:szCs w:val="23"/>
        </w:rPr>
        <w:t>such as</w:t>
      </w:r>
      <w:r w:rsidR="00463020" w:rsidRPr="00BA5F43">
        <w:rPr>
          <w:rFonts w:eastAsiaTheme="majorEastAsia" w:cs="Calibri"/>
          <w:bCs/>
          <w:color w:val="000000" w:themeColor="text1"/>
          <w:szCs w:val="23"/>
        </w:rPr>
        <w:t xml:space="preserve"> digital trade, AI ethics and data protection</w:t>
      </w:r>
      <w:r w:rsidR="0001431E" w:rsidRPr="00BA5F43">
        <w:rPr>
          <w:rFonts w:eastAsiaTheme="majorEastAsia" w:cs="Calibri"/>
          <w:bCs/>
          <w:color w:val="000000" w:themeColor="text1"/>
          <w:szCs w:val="23"/>
        </w:rPr>
        <w:t>,</w:t>
      </w:r>
      <w:r w:rsidR="00463020" w:rsidRPr="00BA5F43">
        <w:rPr>
          <w:rFonts w:eastAsiaTheme="majorEastAsia" w:cs="Calibri"/>
          <w:bCs/>
          <w:color w:val="000000" w:themeColor="text1"/>
          <w:szCs w:val="23"/>
        </w:rPr>
        <w:t xml:space="preserve"> </w:t>
      </w:r>
      <w:r w:rsidR="00310ABC" w:rsidRPr="00BA5F43">
        <w:rPr>
          <w:rFonts w:eastAsiaTheme="majorEastAsia" w:cs="Calibri"/>
          <w:bCs/>
          <w:color w:val="000000" w:themeColor="text1"/>
          <w:szCs w:val="23"/>
        </w:rPr>
        <w:t xml:space="preserve">noting existing or established global </w:t>
      </w:r>
      <w:r w:rsidR="00654E64" w:rsidRPr="00BA5F43">
        <w:rPr>
          <w:rFonts w:eastAsiaTheme="majorEastAsia" w:cs="Calibri"/>
          <w:bCs/>
          <w:color w:val="000000" w:themeColor="text1"/>
          <w:szCs w:val="23"/>
        </w:rPr>
        <w:t xml:space="preserve">and regional </w:t>
      </w:r>
      <w:r w:rsidR="003F7B87" w:rsidRPr="00BA5F43">
        <w:rPr>
          <w:rFonts w:eastAsiaTheme="majorEastAsia" w:cs="Calibri"/>
          <w:bCs/>
          <w:color w:val="000000" w:themeColor="text1"/>
          <w:szCs w:val="23"/>
        </w:rPr>
        <w:t xml:space="preserve">principles and recommendations and </w:t>
      </w:r>
      <w:r w:rsidR="00A759B3" w:rsidRPr="00BA5F43">
        <w:rPr>
          <w:rFonts w:eastAsiaTheme="majorEastAsia" w:cs="Calibri"/>
          <w:bCs/>
          <w:color w:val="000000" w:themeColor="text1"/>
          <w:szCs w:val="23"/>
        </w:rPr>
        <w:t>with explicit safeguards for domestic policy space</w:t>
      </w:r>
      <w:r w:rsidR="00463020" w:rsidRPr="00BA5F43">
        <w:rPr>
          <w:rFonts w:eastAsiaTheme="majorEastAsia" w:cs="Calibri"/>
          <w:bCs/>
          <w:color w:val="000000" w:themeColor="text1"/>
          <w:szCs w:val="23"/>
        </w:rPr>
        <w:t>.</w:t>
      </w:r>
      <w:r w:rsidR="00575779" w:rsidRPr="00BA5F43">
        <w:rPr>
          <w:rFonts w:eastAsiaTheme="majorEastAsia" w:cs="Calibri"/>
          <w:bCs/>
          <w:color w:val="000000" w:themeColor="text1"/>
          <w:szCs w:val="23"/>
        </w:rPr>
        <w:t xml:space="preserve"> </w:t>
      </w:r>
      <w:r w:rsidR="00142192" w:rsidRPr="00BA5F43">
        <w:rPr>
          <w:rFonts w:eastAsiaTheme="majorEastAsia" w:cs="Calibri"/>
          <w:bCs/>
          <w:color w:val="000000" w:themeColor="text1"/>
          <w:szCs w:val="23"/>
        </w:rPr>
        <w:t>S</w:t>
      </w:r>
      <w:r w:rsidR="00463020" w:rsidRPr="00BA5F43">
        <w:rPr>
          <w:rFonts w:eastAsiaTheme="majorEastAsia" w:cs="Calibri"/>
          <w:bCs/>
          <w:color w:val="000000" w:themeColor="text1"/>
          <w:szCs w:val="23"/>
        </w:rPr>
        <w:t xml:space="preserve">hared </w:t>
      </w:r>
      <w:r w:rsidR="00EC62D7" w:rsidRPr="00BA5F43">
        <w:rPr>
          <w:rFonts w:eastAsiaTheme="majorEastAsia" w:cs="Calibri"/>
          <w:bCs/>
          <w:color w:val="000000" w:themeColor="text1"/>
          <w:szCs w:val="23"/>
        </w:rPr>
        <w:t xml:space="preserve">policy </w:t>
      </w:r>
      <w:r w:rsidR="00463020" w:rsidRPr="00BA5F43">
        <w:rPr>
          <w:rFonts w:eastAsiaTheme="majorEastAsia" w:cs="Calibri"/>
          <w:bCs/>
          <w:color w:val="000000" w:themeColor="text1"/>
          <w:szCs w:val="23"/>
        </w:rPr>
        <w:t>principles and coordinated timing help balance interoperability with sovereignty.</w:t>
      </w:r>
      <w:r w:rsidR="00575779" w:rsidRPr="00BA5F43">
        <w:rPr>
          <w:rFonts w:eastAsiaTheme="majorEastAsia" w:cs="Calibri"/>
          <w:bCs/>
          <w:color w:val="000000" w:themeColor="text1"/>
          <w:szCs w:val="23"/>
        </w:rPr>
        <w:t xml:space="preserve"> </w:t>
      </w:r>
    </w:p>
    <w:p w14:paraId="2A60E977" w14:textId="77777777" w:rsidR="00384493" w:rsidRDefault="00463020" w:rsidP="00494183">
      <w:pPr>
        <w:pStyle w:val="Heading3"/>
        <w:jc w:val="both"/>
      </w:pPr>
      <w:bookmarkStart w:id="22" w:name="_Toc202790152"/>
      <w:r w:rsidRPr="002A4838">
        <w:t>Build shared learning infrastructure</w:t>
      </w:r>
      <w:bookmarkEnd w:id="22"/>
    </w:p>
    <w:p w14:paraId="3BE8C0D9" w14:textId="4D9EC579" w:rsidR="00463020" w:rsidRPr="00463020" w:rsidRDefault="00463020" w:rsidP="00494183">
      <w:pPr>
        <w:jc w:val="both"/>
        <w:rPr>
          <w:rFonts w:cs="Calibri"/>
          <w:szCs w:val="23"/>
        </w:rPr>
      </w:pPr>
      <w:r w:rsidRPr="00463020">
        <w:rPr>
          <w:rFonts w:cs="Calibri"/>
          <w:szCs w:val="23"/>
        </w:rPr>
        <w:t xml:space="preserve">Establish </w:t>
      </w:r>
      <w:r w:rsidR="00024263">
        <w:rPr>
          <w:rFonts w:cs="Calibri"/>
          <w:szCs w:val="23"/>
        </w:rPr>
        <w:t xml:space="preserve">mechanisms to share best practices such as </w:t>
      </w:r>
      <w:r w:rsidRPr="00463020">
        <w:rPr>
          <w:rFonts w:cs="Calibri"/>
          <w:szCs w:val="23"/>
        </w:rPr>
        <w:t xml:space="preserve">communities of practice, joint training platforms and peer mentoring schemes. </w:t>
      </w:r>
      <w:r w:rsidR="00683C41">
        <w:rPr>
          <w:rFonts w:cs="Calibri"/>
          <w:szCs w:val="23"/>
        </w:rPr>
        <w:t xml:space="preserve">Leverage country experiences with experimentation and innovation to support regulatory advancements that are adaptable to diverse markets and </w:t>
      </w:r>
      <w:r w:rsidR="00683C41">
        <w:rPr>
          <w:rFonts w:cs="Calibri"/>
          <w:szCs w:val="23"/>
        </w:rPr>
        <w:lastRenderedPageBreak/>
        <w:t xml:space="preserve">contexts. </w:t>
      </w:r>
      <w:r w:rsidRPr="00463020">
        <w:rPr>
          <w:rFonts w:cs="Calibri"/>
          <w:szCs w:val="23"/>
        </w:rPr>
        <w:t>Support open-access knowledge tools that can be adapted locally and reused by other regulators.</w:t>
      </w:r>
    </w:p>
    <w:p w14:paraId="56034D6F" w14:textId="7D391E38" w:rsidR="00384493" w:rsidRDefault="00463020" w:rsidP="00494183">
      <w:pPr>
        <w:pStyle w:val="Heading3"/>
        <w:jc w:val="both"/>
      </w:pPr>
      <w:bookmarkStart w:id="23" w:name="_Toc202790153"/>
      <w:r w:rsidRPr="00463020">
        <w:t>Coordinate data, tools and standards</w:t>
      </w:r>
      <w:bookmarkEnd w:id="23"/>
    </w:p>
    <w:p w14:paraId="6B24147E" w14:textId="55F5A2DC" w:rsidR="00A05B6F" w:rsidRPr="00A05B6F" w:rsidRDefault="00463020" w:rsidP="00BA5F43">
      <w:r w:rsidRPr="00797ECC">
        <w:rPr>
          <w:rFonts w:cs="Calibri"/>
          <w:szCs w:val="23"/>
        </w:rPr>
        <w:t xml:space="preserve">Promote interoperability-by-design. </w:t>
      </w:r>
      <w:r w:rsidR="007E4572" w:rsidRPr="00797ECC">
        <w:rPr>
          <w:rFonts w:cs="Calibri"/>
          <w:szCs w:val="23"/>
        </w:rPr>
        <w:t>Each country should decide the appropriate partners – domestic agencies, neighbouring regulators, regional bodies and standards organisations</w:t>
      </w:r>
      <w:r w:rsidR="003D54B1" w:rsidRPr="00797ECC">
        <w:rPr>
          <w:rFonts w:cs="Calibri"/>
          <w:szCs w:val="23"/>
        </w:rPr>
        <w:t xml:space="preserve"> - </w:t>
      </w:r>
      <w:r w:rsidR="0063017B" w:rsidRPr="00797ECC">
        <w:rPr>
          <w:rFonts w:cs="Calibri"/>
          <w:szCs w:val="23"/>
        </w:rPr>
        <w:t xml:space="preserve">and align regulatory action </w:t>
      </w:r>
      <w:r w:rsidR="003D54B1" w:rsidRPr="00797ECC">
        <w:rPr>
          <w:rFonts w:cs="Calibri"/>
          <w:szCs w:val="23"/>
        </w:rPr>
        <w:t>where it adds value</w:t>
      </w:r>
      <w:r w:rsidR="0063017B" w:rsidRPr="00797ECC">
        <w:rPr>
          <w:rFonts w:cs="Calibri"/>
          <w:szCs w:val="23"/>
        </w:rPr>
        <w:t xml:space="preserve"> using</w:t>
      </w:r>
      <w:r w:rsidR="009C3AAD" w:rsidRPr="0049218E">
        <w:rPr>
          <w:rFonts w:cs="Calibri"/>
          <w:szCs w:val="23"/>
        </w:rPr>
        <w:t xml:space="preserve">, </w:t>
      </w:r>
      <w:r w:rsidR="000B45FF" w:rsidRPr="0049218E">
        <w:rPr>
          <w:rFonts w:cs="Calibri"/>
          <w:szCs w:val="23"/>
        </w:rPr>
        <w:t>among others,</w:t>
      </w:r>
      <w:r w:rsidR="0063017B" w:rsidRPr="00797ECC">
        <w:rPr>
          <w:rFonts w:cs="Calibri"/>
          <w:szCs w:val="23"/>
        </w:rPr>
        <w:t xml:space="preserve"> </w:t>
      </w:r>
      <w:r w:rsidRPr="00797ECC">
        <w:rPr>
          <w:rFonts w:cs="Calibri"/>
          <w:szCs w:val="23"/>
        </w:rPr>
        <w:t>common APIs, shared indicators and data-sharing protocols.</w:t>
      </w:r>
      <w:r w:rsidR="00042428" w:rsidRPr="00797ECC">
        <w:rPr>
          <w:rFonts w:cs="Calibri"/>
          <w:szCs w:val="23"/>
        </w:rPr>
        <w:t xml:space="preserve"> </w:t>
      </w:r>
      <w:r w:rsidR="00E456DA" w:rsidRPr="0049218E">
        <w:rPr>
          <w:rFonts w:cs="Calibri"/>
          <w:szCs w:val="23"/>
        </w:rPr>
        <w:t>Consider s</w:t>
      </w:r>
      <w:r w:rsidR="00D061B0" w:rsidRPr="00797ECC">
        <w:rPr>
          <w:rFonts w:cs="Calibri"/>
          <w:szCs w:val="23"/>
        </w:rPr>
        <w:t>et</w:t>
      </w:r>
      <w:r w:rsidR="00E456DA" w:rsidRPr="0049218E">
        <w:rPr>
          <w:rFonts w:cs="Calibri"/>
          <w:szCs w:val="23"/>
        </w:rPr>
        <w:t>ting</w:t>
      </w:r>
      <w:r w:rsidR="00445A40" w:rsidRPr="00797ECC">
        <w:rPr>
          <w:rFonts w:cs="Calibri"/>
          <w:szCs w:val="23"/>
        </w:rPr>
        <w:t xml:space="preserve"> collaboration frameworks for </w:t>
      </w:r>
      <w:r w:rsidR="00865446" w:rsidRPr="00797ECC">
        <w:rPr>
          <w:rFonts w:cs="Calibri"/>
          <w:szCs w:val="23"/>
        </w:rPr>
        <w:t>privacy-preserving data sharing (e.g. aggregated incidents/performance) to support aligned oversight and cross-border incident response.</w:t>
      </w:r>
      <w:r w:rsidR="00BE1CC9" w:rsidRPr="00797ECC">
        <w:rPr>
          <w:rFonts w:cs="Calibri"/>
          <w:szCs w:val="23"/>
        </w:rPr>
        <w:t xml:space="preserve"> </w:t>
      </w:r>
    </w:p>
    <w:p w14:paraId="777C0DFE" w14:textId="77777777" w:rsidR="00384493" w:rsidRDefault="00463020" w:rsidP="00494183">
      <w:pPr>
        <w:pStyle w:val="Heading3"/>
        <w:jc w:val="both"/>
      </w:pPr>
      <w:bookmarkStart w:id="24" w:name="_Toc202790154"/>
      <w:r w:rsidRPr="00463020">
        <w:t>Assert regional voice and digital sovereignty</w:t>
      </w:r>
      <w:bookmarkEnd w:id="24"/>
    </w:p>
    <w:p w14:paraId="534030B7" w14:textId="59200B40" w:rsidR="00384493" w:rsidRDefault="00AE3423" w:rsidP="00494183">
      <w:pPr>
        <w:jc w:val="both"/>
        <w:rPr>
          <w:rFonts w:cs="Calibri"/>
          <w:szCs w:val="23"/>
        </w:rPr>
      </w:pPr>
      <w:r w:rsidRPr="00AE3423">
        <w:rPr>
          <w:rFonts w:cs="Calibri"/>
          <w:szCs w:val="23"/>
        </w:rPr>
        <w:t>Coordinate at regional level</w:t>
      </w:r>
      <w:r>
        <w:rPr>
          <w:rFonts w:cs="Calibri"/>
          <w:szCs w:val="23"/>
        </w:rPr>
        <w:t>s</w:t>
      </w:r>
      <w:r w:rsidRPr="00AE3423">
        <w:rPr>
          <w:rFonts w:cs="Calibri"/>
          <w:szCs w:val="23"/>
        </w:rPr>
        <w:t xml:space="preserve"> to influence emerging international frameworks, ensuring adaptability to diverse national contexts.</w:t>
      </w:r>
      <w:r>
        <w:rPr>
          <w:rFonts w:cs="Calibri"/>
          <w:szCs w:val="23"/>
        </w:rPr>
        <w:t xml:space="preserve"> </w:t>
      </w:r>
      <w:r w:rsidR="00463020" w:rsidRPr="00463020">
        <w:rPr>
          <w:rFonts w:cs="Calibri"/>
          <w:szCs w:val="23"/>
        </w:rPr>
        <w:t xml:space="preserve">Engage in multilateral </w:t>
      </w:r>
      <w:r w:rsidR="00610A78">
        <w:rPr>
          <w:rFonts w:cs="Calibri"/>
          <w:szCs w:val="23"/>
        </w:rPr>
        <w:t>fora and regional platforms</w:t>
      </w:r>
      <w:r w:rsidR="00463020" w:rsidRPr="00463020">
        <w:rPr>
          <w:rFonts w:cs="Calibri"/>
          <w:szCs w:val="23"/>
        </w:rPr>
        <w:t>, support regional initiatives</w:t>
      </w:r>
      <w:r w:rsidR="007F6C80">
        <w:rPr>
          <w:rFonts w:cs="Calibri"/>
          <w:szCs w:val="23"/>
        </w:rPr>
        <w:t>, and b</w:t>
      </w:r>
      <w:r w:rsidR="005F5CD0" w:rsidRPr="005F5CD0">
        <w:rPr>
          <w:rFonts w:cs="Calibri"/>
          <w:szCs w:val="23"/>
        </w:rPr>
        <w:t>uild regional capacity and shared mechanisms to turn common positions into action</w:t>
      </w:r>
      <w:r w:rsidR="00AE1D16">
        <w:rPr>
          <w:rFonts w:cs="Calibri"/>
          <w:szCs w:val="23"/>
        </w:rPr>
        <w:t xml:space="preserve"> </w:t>
      </w:r>
      <w:r w:rsidR="00AE1D16" w:rsidRPr="00AE1D16">
        <w:rPr>
          <w:rFonts w:cs="Calibri"/>
          <w:szCs w:val="23"/>
        </w:rPr>
        <w:t>while</w:t>
      </w:r>
      <w:r w:rsidR="00CF2736">
        <w:rPr>
          <w:rFonts w:cs="Calibri"/>
          <w:szCs w:val="23"/>
        </w:rPr>
        <w:t xml:space="preserve"> </w:t>
      </w:r>
      <w:r w:rsidR="00AE1D16" w:rsidRPr="00AE1D16">
        <w:rPr>
          <w:rFonts w:cs="Calibri"/>
          <w:szCs w:val="23"/>
        </w:rPr>
        <w:t>preserving national policy space</w:t>
      </w:r>
      <w:r w:rsidR="005F5CD0" w:rsidRPr="005F5CD0">
        <w:rPr>
          <w:rFonts w:cs="Calibri"/>
          <w:szCs w:val="23"/>
        </w:rPr>
        <w:t>.</w:t>
      </w:r>
    </w:p>
    <w:p w14:paraId="7DCE3F43" w14:textId="1FA963FE" w:rsidR="00494183" w:rsidRPr="00494183" w:rsidRDefault="00505449" w:rsidP="00494183">
      <w:pPr>
        <w:pStyle w:val="Heading3"/>
        <w:rPr>
          <w:rStyle w:val="Heading3Char"/>
          <w:b/>
        </w:rPr>
      </w:pPr>
      <w:r>
        <w:rPr>
          <w:rStyle w:val="Heading3Char"/>
          <w:b/>
        </w:rPr>
        <w:t xml:space="preserve">Leverage </w:t>
      </w:r>
      <w:r w:rsidRPr="00AB04E9">
        <w:rPr>
          <w:rFonts w:cs="Calibri"/>
          <w:bCs/>
          <w:szCs w:val="23"/>
        </w:rPr>
        <w:t>regional and international cooperation to accelerate national agendas</w:t>
      </w:r>
    </w:p>
    <w:p w14:paraId="001E3C00" w14:textId="562D643B" w:rsidR="006701EA" w:rsidRDefault="00F00E27" w:rsidP="00494183">
      <w:pPr>
        <w:jc w:val="both"/>
        <w:rPr>
          <w:rFonts w:cs="Calibri"/>
          <w:szCs w:val="23"/>
        </w:rPr>
      </w:pPr>
      <w:r w:rsidRPr="00AB04E9">
        <w:rPr>
          <w:rFonts w:cs="Calibri"/>
          <w:szCs w:val="23"/>
        </w:rPr>
        <w:t>Cooperate</w:t>
      </w:r>
      <w:r>
        <w:rPr>
          <w:rFonts w:cs="Calibri"/>
          <w:szCs w:val="23"/>
        </w:rPr>
        <w:t xml:space="preserve"> </w:t>
      </w:r>
      <w:r w:rsidR="00B146B6">
        <w:rPr>
          <w:rFonts w:cs="Calibri"/>
          <w:szCs w:val="23"/>
        </w:rPr>
        <w:t>–</w:t>
      </w:r>
      <w:r>
        <w:rPr>
          <w:rFonts w:cs="Calibri"/>
          <w:szCs w:val="23"/>
        </w:rPr>
        <w:t xml:space="preserve"> </w:t>
      </w:r>
      <w:r w:rsidRPr="00821DE6">
        <w:rPr>
          <w:rFonts w:cs="Calibri"/>
          <w:szCs w:val="23"/>
        </w:rPr>
        <w:t>as</w:t>
      </w:r>
      <w:r w:rsidR="00B146B6">
        <w:rPr>
          <w:rFonts w:cs="Calibri"/>
          <w:szCs w:val="23"/>
        </w:rPr>
        <w:t xml:space="preserve"> </w:t>
      </w:r>
      <w:r w:rsidRPr="00821DE6">
        <w:rPr>
          <w:rFonts w:cs="Calibri"/>
          <w:szCs w:val="23"/>
        </w:rPr>
        <w:t xml:space="preserve">appropriate to national context </w:t>
      </w:r>
      <w:r>
        <w:rPr>
          <w:rFonts w:cs="Calibri"/>
          <w:szCs w:val="23"/>
        </w:rPr>
        <w:t xml:space="preserve">– </w:t>
      </w:r>
      <w:r w:rsidRPr="00AB04E9">
        <w:rPr>
          <w:rFonts w:cs="Calibri"/>
          <w:szCs w:val="23"/>
        </w:rPr>
        <w:t>with</w:t>
      </w:r>
      <w:r>
        <w:rPr>
          <w:rFonts w:cs="Calibri"/>
          <w:szCs w:val="23"/>
        </w:rPr>
        <w:t xml:space="preserve"> </w:t>
      </w:r>
      <w:r w:rsidRPr="00AB04E9">
        <w:rPr>
          <w:rFonts w:cs="Calibri"/>
          <w:szCs w:val="23"/>
        </w:rPr>
        <w:t xml:space="preserve">regional bodies, peer regulators and standards organisations to share practices, pursue targeted alignment where it reduces duplication or speeds deployment (e.g. </w:t>
      </w:r>
      <w:r w:rsidR="00A6431B">
        <w:rPr>
          <w:rFonts w:cs="Calibri"/>
          <w:szCs w:val="23"/>
        </w:rPr>
        <w:t xml:space="preserve">in </w:t>
      </w:r>
      <w:r w:rsidRPr="00AB04E9">
        <w:rPr>
          <w:rFonts w:cs="Calibri"/>
          <w:szCs w:val="23"/>
        </w:rPr>
        <w:t xml:space="preserve">spectrum planning, safety, interoperability), and mobilize joint capacity to advance national regulatory and innovation goals. </w:t>
      </w:r>
      <w:r w:rsidR="00834231" w:rsidRPr="00AB04E9">
        <w:rPr>
          <w:rFonts w:cs="Calibri"/>
          <w:szCs w:val="23"/>
        </w:rPr>
        <w:t>Embed coordination in existing structures</w:t>
      </w:r>
      <w:r w:rsidR="00834231">
        <w:rPr>
          <w:rFonts w:cs="Calibri"/>
          <w:szCs w:val="23"/>
        </w:rPr>
        <w:t>,</w:t>
      </w:r>
      <w:r w:rsidR="00834231" w:rsidRPr="00AB04E9">
        <w:rPr>
          <w:rFonts w:cs="Calibri"/>
          <w:szCs w:val="23"/>
        </w:rPr>
        <w:t xml:space="preserve"> </w:t>
      </w:r>
      <w:r w:rsidR="00834231">
        <w:rPr>
          <w:rFonts w:cs="Calibri"/>
          <w:szCs w:val="23"/>
        </w:rPr>
        <w:t>a</w:t>
      </w:r>
      <w:r w:rsidR="00463020" w:rsidRPr="00463020">
        <w:rPr>
          <w:rFonts w:cs="Calibri"/>
          <w:szCs w:val="23"/>
        </w:rPr>
        <w:t xml:space="preserve">ssign dedicated units, </w:t>
      </w:r>
      <w:r w:rsidR="00C42EBA">
        <w:rPr>
          <w:rFonts w:cs="Calibri"/>
          <w:szCs w:val="23"/>
        </w:rPr>
        <w:t>facilitate</w:t>
      </w:r>
      <w:r w:rsidR="00C42EBA" w:rsidRPr="00463020">
        <w:rPr>
          <w:rFonts w:cs="Calibri"/>
          <w:szCs w:val="23"/>
        </w:rPr>
        <w:t xml:space="preserve"> </w:t>
      </w:r>
      <w:r w:rsidR="00463020" w:rsidRPr="00463020">
        <w:rPr>
          <w:rFonts w:cs="Calibri"/>
          <w:szCs w:val="23"/>
        </w:rPr>
        <w:t xml:space="preserve">cross-border planning and track the real-world impact of cooperation. </w:t>
      </w:r>
      <w:r w:rsidR="00AD4C62">
        <w:rPr>
          <w:rFonts w:cs="Calibri"/>
          <w:szCs w:val="23"/>
        </w:rPr>
        <w:t>Integrate s</w:t>
      </w:r>
      <w:r w:rsidR="00463020" w:rsidRPr="00463020">
        <w:rPr>
          <w:rFonts w:cs="Calibri"/>
          <w:szCs w:val="23"/>
        </w:rPr>
        <w:t xml:space="preserve">ystemic coordination </w:t>
      </w:r>
      <w:r w:rsidR="007F2B6D">
        <w:rPr>
          <w:rFonts w:cs="Calibri"/>
          <w:szCs w:val="23"/>
        </w:rPr>
        <w:t xml:space="preserve">and consultation </w:t>
      </w:r>
      <w:r w:rsidR="00AD4C62">
        <w:rPr>
          <w:rFonts w:cs="Calibri"/>
          <w:szCs w:val="23"/>
        </w:rPr>
        <w:t>into</w:t>
      </w:r>
      <w:r w:rsidR="00463020" w:rsidRPr="00463020">
        <w:rPr>
          <w:rFonts w:cs="Calibri"/>
          <w:szCs w:val="23"/>
        </w:rPr>
        <w:t xml:space="preserve"> institutional </w:t>
      </w:r>
      <w:r w:rsidR="00A25200">
        <w:rPr>
          <w:rFonts w:cs="Calibri"/>
          <w:szCs w:val="23"/>
        </w:rPr>
        <w:t xml:space="preserve">and policy </w:t>
      </w:r>
      <w:r w:rsidR="00463020" w:rsidRPr="00463020">
        <w:rPr>
          <w:rFonts w:cs="Calibri"/>
          <w:szCs w:val="23"/>
        </w:rPr>
        <w:t>design</w:t>
      </w:r>
      <w:r w:rsidR="003C0711" w:rsidRPr="003C0711">
        <w:t xml:space="preserve"> </w:t>
      </w:r>
      <w:r w:rsidR="00A21D97">
        <w:t>t</w:t>
      </w:r>
      <w:r w:rsidR="003C0711" w:rsidRPr="003C0711">
        <w:rPr>
          <w:rFonts w:cs="Calibri"/>
          <w:szCs w:val="23"/>
        </w:rPr>
        <w:t>o support ongoing alignment</w:t>
      </w:r>
      <w:r w:rsidR="000E7E88">
        <w:rPr>
          <w:rFonts w:cs="Calibri"/>
          <w:szCs w:val="23"/>
        </w:rPr>
        <w:t>, as necessary,</w:t>
      </w:r>
      <w:r w:rsidR="003C0711" w:rsidRPr="003C0711">
        <w:rPr>
          <w:rFonts w:cs="Calibri"/>
          <w:szCs w:val="23"/>
        </w:rPr>
        <w:t xml:space="preserve"> across policies, sectors and stakeholders</w:t>
      </w:r>
      <w:r w:rsidR="00463020" w:rsidRPr="00463020">
        <w:rPr>
          <w:rFonts w:cs="Calibri"/>
          <w:szCs w:val="23"/>
        </w:rPr>
        <w:t>.</w:t>
      </w:r>
      <w:r w:rsidR="00834231">
        <w:rPr>
          <w:rFonts w:cs="Calibri"/>
          <w:szCs w:val="23"/>
        </w:rPr>
        <w:t xml:space="preserve"> </w:t>
      </w:r>
      <w:r w:rsidR="004C1788">
        <w:rPr>
          <w:rFonts w:cs="Calibri"/>
          <w:szCs w:val="23"/>
        </w:rPr>
        <w:t xml:space="preserve"> </w:t>
      </w:r>
    </w:p>
    <w:p w14:paraId="50BF32D4" w14:textId="579D9EE3" w:rsidR="00F43AD9" w:rsidRDefault="00F43AD9" w:rsidP="00494183">
      <w:pPr>
        <w:jc w:val="both"/>
        <w:rPr>
          <w:rFonts w:cs="Calibri"/>
          <w:szCs w:val="23"/>
        </w:rPr>
      </w:pPr>
      <w:r w:rsidRPr="0049218E">
        <w:rPr>
          <w:rFonts w:cs="Calibri"/>
          <w:szCs w:val="23"/>
        </w:rPr>
        <w:t xml:space="preserve">For international organisations, use convening power to matchmake among regulators and help cultivate peer-to-peer learning opportunities that are based on precise need and challenges. Facilitate the optimal use of global resources by blending shared experiences with localised applications. With technology, support developing open-access knowledge tools that can be adapted locally and reused by different regulators and promote interoperability-by-design through regulatory systems and </w:t>
      </w:r>
      <w:r w:rsidR="0049218E" w:rsidRPr="00BA5F43">
        <w:rPr>
          <w:rFonts w:cs="Calibri"/>
          <w:szCs w:val="23"/>
        </w:rPr>
        <w:t>commonly defined</w:t>
      </w:r>
      <w:r w:rsidRPr="0049218E">
        <w:rPr>
          <w:rFonts w:cs="Calibri"/>
          <w:szCs w:val="23"/>
        </w:rPr>
        <w:t xml:space="preserve"> indicators.</w:t>
      </w:r>
    </w:p>
    <w:p w14:paraId="3B85AB96" w14:textId="77777777" w:rsidR="006701EA" w:rsidRDefault="008A4296" w:rsidP="00BA5F43">
      <w:pPr>
        <w:spacing w:after="0"/>
        <w:jc w:val="both"/>
        <w:rPr>
          <w:rFonts w:cs="Calibri"/>
          <w:b/>
          <w:bCs/>
          <w:szCs w:val="23"/>
        </w:rPr>
      </w:pPr>
      <w:r>
        <w:rPr>
          <w:rFonts w:cs="Calibri"/>
          <w:b/>
          <w:bCs/>
          <w:szCs w:val="23"/>
        </w:rPr>
        <w:t>Enable partnerships and investment</w:t>
      </w:r>
    </w:p>
    <w:p w14:paraId="397B2282" w14:textId="399A857C" w:rsidR="008A4296" w:rsidRPr="00BA5F43" w:rsidRDefault="006D11FB" w:rsidP="00494183">
      <w:pPr>
        <w:jc w:val="both"/>
        <w:rPr>
          <w:rFonts w:cs="Calibri"/>
          <w:b/>
          <w:bCs/>
          <w:szCs w:val="23"/>
        </w:rPr>
      </w:pPr>
      <w:r w:rsidRPr="006D11FB">
        <w:t>Recognize the need for innovative investment models to support the sustainable deployment of telecommunications/ICTs and digital infrastructure while ensuring a level-playing field for all market players and applying competition safeguards. In light of persistent financial challenges in rural and remote areas, we encourage the development of inclusive policy and regulatory approaches that enable public-public and public-private partnerships, government-wide collaboration and long-term digital growth.</w:t>
      </w:r>
    </w:p>
    <w:p w14:paraId="7836938D" w14:textId="77777777" w:rsidR="00BC27DA" w:rsidRPr="00920466" w:rsidRDefault="00BC27DA" w:rsidP="00BC27DA">
      <w:pPr>
        <w:pStyle w:val="Heading2"/>
        <w:jc w:val="both"/>
        <w:rPr>
          <w:rFonts w:cs="Calibri"/>
          <w:szCs w:val="23"/>
        </w:rPr>
      </w:pPr>
      <w:r w:rsidRPr="00920466">
        <w:rPr>
          <w:rFonts w:cs="Calibri"/>
          <w:szCs w:val="23"/>
        </w:rPr>
        <w:t>V</w:t>
      </w:r>
      <w:r w:rsidRPr="00920466">
        <w:rPr>
          <w:rFonts w:cs="Calibri"/>
          <w:szCs w:val="23"/>
        </w:rPr>
        <w:tab/>
        <w:t xml:space="preserve"> WAY FORWARD</w:t>
      </w:r>
    </w:p>
    <w:p w14:paraId="7068D435" w14:textId="37135DE6" w:rsidR="00BC27DA" w:rsidRPr="00463020" w:rsidRDefault="00BC27DA" w:rsidP="00494183">
      <w:pPr>
        <w:jc w:val="both"/>
        <w:rPr>
          <w:rFonts w:cs="Calibri"/>
          <w:szCs w:val="23"/>
        </w:rPr>
      </w:pPr>
      <w:r w:rsidRPr="00920466">
        <w:rPr>
          <w:rFonts w:cs="Calibri"/>
          <w:szCs w:val="23"/>
        </w:rPr>
        <w:t xml:space="preserve">In a landscape shaped by constant flux and technological upheaval, regulation </w:t>
      </w:r>
      <w:r w:rsidR="002F5A8F">
        <w:rPr>
          <w:rFonts w:cs="Calibri"/>
          <w:szCs w:val="23"/>
        </w:rPr>
        <w:t>can</w:t>
      </w:r>
      <w:r w:rsidR="002F5A8F" w:rsidRPr="00920466">
        <w:rPr>
          <w:rFonts w:cs="Calibri"/>
          <w:szCs w:val="23"/>
        </w:rPr>
        <w:t xml:space="preserve"> </w:t>
      </w:r>
      <w:r w:rsidRPr="00920466">
        <w:rPr>
          <w:rFonts w:cs="Calibri"/>
          <w:szCs w:val="23"/>
        </w:rPr>
        <w:t xml:space="preserve">be a lever for responsible innovation </w:t>
      </w:r>
      <w:r w:rsidR="001D00A6">
        <w:rPr>
          <w:rFonts w:cs="Calibri"/>
          <w:szCs w:val="23"/>
        </w:rPr>
        <w:t>that supports economic growth, market competition and public good</w:t>
      </w:r>
      <w:r w:rsidRPr="00920466">
        <w:rPr>
          <w:rFonts w:cs="Calibri"/>
          <w:szCs w:val="23"/>
        </w:rPr>
        <w:t xml:space="preserve">. </w:t>
      </w:r>
      <w:r w:rsidR="002A1A7A">
        <w:rPr>
          <w:rFonts w:cs="Calibri"/>
          <w:szCs w:val="23"/>
        </w:rPr>
        <w:t>We</w:t>
      </w:r>
      <w:r w:rsidR="002A1A7A" w:rsidRPr="00920466">
        <w:rPr>
          <w:rFonts w:cs="Calibri"/>
          <w:szCs w:val="23"/>
        </w:rPr>
        <w:t xml:space="preserve"> </w:t>
      </w:r>
      <w:r w:rsidR="002A1A7A">
        <w:rPr>
          <w:rFonts w:cs="Calibri"/>
          <w:szCs w:val="23"/>
        </w:rPr>
        <w:lastRenderedPageBreak/>
        <w:t xml:space="preserve">do not act in silos – through internal innovations, sufficient capacity and deep partnerships within and across our markets, we can </w:t>
      </w:r>
      <w:r w:rsidRPr="00920466">
        <w:rPr>
          <w:rFonts w:cs="Calibri"/>
          <w:szCs w:val="23"/>
        </w:rPr>
        <w:t>move from rule-setters to ecosystem builder</w:t>
      </w:r>
      <w:r w:rsidR="003D79AD">
        <w:rPr>
          <w:rFonts w:cs="Calibri"/>
          <w:szCs w:val="23"/>
        </w:rPr>
        <w:t>s</w:t>
      </w:r>
      <w:r w:rsidRPr="00920466">
        <w:rPr>
          <w:rFonts w:cs="Calibri"/>
          <w:szCs w:val="23"/>
        </w:rPr>
        <w:t xml:space="preserve">. The principles and approaches in these guidelines offer a clear path: one that strengthens public trust, </w:t>
      </w:r>
      <w:r w:rsidR="004F23D9">
        <w:rPr>
          <w:rFonts w:cs="Calibri"/>
          <w:szCs w:val="23"/>
        </w:rPr>
        <w:t xml:space="preserve">credits the specific role of regulators, </w:t>
      </w:r>
      <w:r w:rsidR="003B0BC8">
        <w:rPr>
          <w:rFonts w:cs="Calibri"/>
          <w:szCs w:val="23"/>
        </w:rPr>
        <w:t xml:space="preserve">protect public interests, </w:t>
      </w:r>
      <w:r w:rsidRPr="00920466">
        <w:rPr>
          <w:rFonts w:cs="Calibri"/>
          <w:szCs w:val="23"/>
        </w:rPr>
        <w:t>fosters digital development</w:t>
      </w:r>
      <w:r w:rsidR="001126F2">
        <w:rPr>
          <w:rFonts w:cs="Calibri"/>
          <w:szCs w:val="23"/>
        </w:rPr>
        <w:t xml:space="preserve"> that leaves no one behind,</w:t>
      </w:r>
      <w:r w:rsidRPr="00920466">
        <w:rPr>
          <w:rFonts w:cs="Calibri"/>
          <w:szCs w:val="23"/>
        </w:rPr>
        <w:t xml:space="preserve"> and reinforces the collective ability to govern a connected, dynamic and interdependent digital world.</w:t>
      </w:r>
    </w:p>
    <w:sectPr w:rsidR="00BC27DA" w:rsidRPr="00463020" w:rsidSect="009D0999">
      <w:footerReference w:type="default" r:id="rId7"/>
      <w:pgSz w:w="11906" w:h="16838"/>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F069C" w14:textId="77777777" w:rsidR="00AB18CB" w:rsidRDefault="00AB18CB" w:rsidP="005D0999">
      <w:pPr>
        <w:spacing w:after="0" w:line="240" w:lineRule="auto"/>
      </w:pPr>
      <w:r>
        <w:separator/>
      </w:r>
    </w:p>
  </w:endnote>
  <w:endnote w:type="continuationSeparator" w:id="0">
    <w:p w14:paraId="3F578E55" w14:textId="77777777" w:rsidR="00AB18CB" w:rsidRDefault="00AB18CB" w:rsidP="005D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585073"/>
      <w:docPartObj>
        <w:docPartGallery w:val="Page Numbers (Bottom of Page)"/>
        <w:docPartUnique/>
      </w:docPartObj>
    </w:sdtPr>
    <w:sdtEndPr>
      <w:rPr>
        <w:rFonts w:cs="Calibri"/>
        <w:noProof/>
        <w:sz w:val="22"/>
        <w:szCs w:val="22"/>
      </w:rPr>
    </w:sdtEndPr>
    <w:sdtContent>
      <w:p w14:paraId="70D81B72" w14:textId="1C8BD837" w:rsidR="005D0999" w:rsidRPr="005D0999" w:rsidRDefault="005D0999">
        <w:pPr>
          <w:pStyle w:val="Footer"/>
          <w:jc w:val="center"/>
          <w:rPr>
            <w:rFonts w:cs="Calibri"/>
            <w:sz w:val="22"/>
            <w:szCs w:val="22"/>
          </w:rPr>
        </w:pPr>
        <w:r w:rsidRPr="005D0999">
          <w:rPr>
            <w:rFonts w:cs="Calibri"/>
            <w:sz w:val="22"/>
            <w:szCs w:val="22"/>
          </w:rPr>
          <w:fldChar w:fldCharType="begin"/>
        </w:r>
        <w:r w:rsidRPr="005D0999">
          <w:rPr>
            <w:rFonts w:cs="Calibri"/>
            <w:sz w:val="22"/>
            <w:szCs w:val="22"/>
          </w:rPr>
          <w:instrText xml:space="preserve"> PAGE   \* MERGEFORMAT </w:instrText>
        </w:r>
        <w:r w:rsidRPr="005D0999">
          <w:rPr>
            <w:rFonts w:cs="Calibri"/>
            <w:sz w:val="22"/>
            <w:szCs w:val="22"/>
          </w:rPr>
          <w:fldChar w:fldCharType="separate"/>
        </w:r>
        <w:r w:rsidR="00DC43A2">
          <w:rPr>
            <w:rFonts w:cs="Calibri"/>
            <w:noProof/>
            <w:sz w:val="22"/>
            <w:szCs w:val="22"/>
          </w:rPr>
          <w:t>3</w:t>
        </w:r>
        <w:r w:rsidRPr="005D0999">
          <w:rPr>
            <w:rFonts w:cs="Calibri"/>
            <w:noProof/>
            <w:sz w:val="22"/>
            <w:szCs w:val="22"/>
          </w:rPr>
          <w:fldChar w:fldCharType="end"/>
        </w:r>
      </w:p>
    </w:sdtContent>
  </w:sdt>
  <w:p w14:paraId="2BC79568" w14:textId="77777777" w:rsidR="005D0999" w:rsidRDefault="005D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E09E" w14:textId="77777777" w:rsidR="00AB18CB" w:rsidRDefault="00AB18CB" w:rsidP="005D0999">
      <w:pPr>
        <w:spacing w:after="0" w:line="240" w:lineRule="auto"/>
      </w:pPr>
      <w:r>
        <w:separator/>
      </w:r>
    </w:p>
  </w:footnote>
  <w:footnote w:type="continuationSeparator" w:id="0">
    <w:p w14:paraId="0FDFCD2D" w14:textId="77777777" w:rsidR="00AB18CB" w:rsidRDefault="00AB18CB" w:rsidP="005D0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DE"/>
    <w:rsid w:val="00002C96"/>
    <w:rsid w:val="000114FD"/>
    <w:rsid w:val="0001431E"/>
    <w:rsid w:val="00021089"/>
    <w:rsid w:val="00022C6E"/>
    <w:rsid w:val="00024263"/>
    <w:rsid w:val="00033781"/>
    <w:rsid w:val="00042428"/>
    <w:rsid w:val="000479DE"/>
    <w:rsid w:val="00050441"/>
    <w:rsid w:val="0005056B"/>
    <w:rsid w:val="000516AE"/>
    <w:rsid w:val="000553B5"/>
    <w:rsid w:val="00065A82"/>
    <w:rsid w:val="00072E21"/>
    <w:rsid w:val="00073233"/>
    <w:rsid w:val="00073548"/>
    <w:rsid w:val="00075073"/>
    <w:rsid w:val="00084A2A"/>
    <w:rsid w:val="00087A1A"/>
    <w:rsid w:val="00094676"/>
    <w:rsid w:val="000A2588"/>
    <w:rsid w:val="000B227A"/>
    <w:rsid w:val="000B45FF"/>
    <w:rsid w:val="000E5B83"/>
    <w:rsid w:val="000E7E88"/>
    <w:rsid w:val="001126F2"/>
    <w:rsid w:val="00122A21"/>
    <w:rsid w:val="001242EA"/>
    <w:rsid w:val="001248BE"/>
    <w:rsid w:val="00140269"/>
    <w:rsid w:val="00142192"/>
    <w:rsid w:val="00150AFE"/>
    <w:rsid w:val="001568EC"/>
    <w:rsid w:val="0016078E"/>
    <w:rsid w:val="00164506"/>
    <w:rsid w:val="00174101"/>
    <w:rsid w:val="00180508"/>
    <w:rsid w:val="001825CB"/>
    <w:rsid w:val="00182775"/>
    <w:rsid w:val="0018431A"/>
    <w:rsid w:val="001937F7"/>
    <w:rsid w:val="00197654"/>
    <w:rsid w:val="001A1E47"/>
    <w:rsid w:val="001A555B"/>
    <w:rsid w:val="001A740F"/>
    <w:rsid w:val="001B5406"/>
    <w:rsid w:val="001C66EB"/>
    <w:rsid w:val="001C7BBA"/>
    <w:rsid w:val="001D00A6"/>
    <w:rsid w:val="001D4621"/>
    <w:rsid w:val="001D7BCB"/>
    <w:rsid w:val="001E09CD"/>
    <w:rsid w:val="001F586F"/>
    <w:rsid w:val="00203872"/>
    <w:rsid w:val="0020400A"/>
    <w:rsid w:val="00211635"/>
    <w:rsid w:val="00211E70"/>
    <w:rsid w:val="00212823"/>
    <w:rsid w:val="00214411"/>
    <w:rsid w:val="00221A10"/>
    <w:rsid w:val="002220AA"/>
    <w:rsid w:val="0022664F"/>
    <w:rsid w:val="00226EB9"/>
    <w:rsid w:val="002275FA"/>
    <w:rsid w:val="00232C8A"/>
    <w:rsid w:val="00236451"/>
    <w:rsid w:val="00240E51"/>
    <w:rsid w:val="002445DC"/>
    <w:rsid w:val="00257851"/>
    <w:rsid w:val="00261D82"/>
    <w:rsid w:val="00264D45"/>
    <w:rsid w:val="00265921"/>
    <w:rsid w:val="0027423E"/>
    <w:rsid w:val="00276DC0"/>
    <w:rsid w:val="0028308C"/>
    <w:rsid w:val="00290D90"/>
    <w:rsid w:val="00296331"/>
    <w:rsid w:val="00297A19"/>
    <w:rsid w:val="002A0654"/>
    <w:rsid w:val="002A1A7A"/>
    <w:rsid w:val="002A2514"/>
    <w:rsid w:val="002A4838"/>
    <w:rsid w:val="002B1F5A"/>
    <w:rsid w:val="002B3756"/>
    <w:rsid w:val="002B5B91"/>
    <w:rsid w:val="002C3155"/>
    <w:rsid w:val="002C55B5"/>
    <w:rsid w:val="002C5BF1"/>
    <w:rsid w:val="002C69DB"/>
    <w:rsid w:val="002C7A3C"/>
    <w:rsid w:val="002D08FD"/>
    <w:rsid w:val="002D10E0"/>
    <w:rsid w:val="002D1CF3"/>
    <w:rsid w:val="002D32B5"/>
    <w:rsid w:val="002D3998"/>
    <w:rsid w:val="002D55F7"/>
    <w:rsid w:val="002E1057"/>
    <w:rsid w:val="002E43E2"/>
    <w:rsid w:val="002F334F"/>
    <w:rsid w:val="002F3932"/>
    <w:rsid w:val="002F453D"/>
    <w:rsid w:val="002F5A8F"/>
    <w:rsid w:val="003036C5"/>
    <w:rsid w:val="00304F4B"/>
    <w:rsid w:val="003065AD"/>
    <w:rsid w:val="00310ABC"/>
    <w:rsid w:val="003128D2"/>
    <w:rsid w:val="00314A43"/>
    <w:rsid w:val="003217B5"/>
    <w:rsid w:val="0032649F"/>
    <w:rsid w:val="0032780C"/>
    <w:rsid w:val="00341134"/>
    <w:rsid w:val="00352002"/>
    <w:rsid w:val="003563B4"/>
    <w:rsid w:val="00357DF3"/>
    <w:rsid w:val="0036508E"/>
    <w:rsid w:val="003666AD"/>
    <w:rsid w:val="003668E4"/>
    <w:rsid w:val="00371F32"/>
    <w:rsid w:val="00373781"/>
    <w:rsid w:val="00381EF6"/>
    <w:rsid w:val="00384493"/>
    <w:rsid w:val="003851F3"/>
    <w:rsid w:val="0038549A"/>
    <w:rsid w:val="003911B1"/>
    <w:rsid w:val="00395719"/>
    <w:rsid w:val="003B0BC8"/>
    <w:rsid w:val="003B0D6C"/>
    <w:rsid w:val="003B1010"/>
    <w:rsid w:val="003B1797"/>
    <w:rsid w:val="003B3537"/>
    <w:rsid w:val="003C0711"/>
    <w:rsid w:val="003C1BE3"/>
    <w:rsid w:val="003C2A9A"/>
    <w:rsid w:val="003C347E"/>
    <w:rsid w:val="003C5238"/>
    <w:rsid w:val="003D4B55"/>
    <w:rsid w:val="003D54B1"/>
    <w:rsid w:val="003D79AD"/>
    <w:rsid w:val="003E14B1"/>
    <w:rsid w:val="003E2102"/>
    <w:rsid w:val="003E2D4A"/>
    <w:rsid w:val="003E6267"/>
    <w:rsid w:val="003F7B87"/>
    <w:rsid w:val="00400178"/>
    <w:rsid w:val="004016AC"/>
    <w:rsid w:val="00414BE7"/>
    <w:rsid w:val="004200AF"/>
    <w:rsid w:val="004205A3"/>
    <w:rsid w:val="00433144"/>
    <w:rsid w:val="00434520"/>
    <w:rsid w:val="00435993"/>
    <w:rsid w:val="00437FFC"/>
    <w:rsid w:val="00443F72"/>
    <w:rsid w:val="00445A40"/>
    <w:rsid w:val="0045152F"/>
    <w:rsid w:val="004516AB"/>
    <w:rsid w:val="00463020"/>
    <w:rsid w:val="00465BC7"/>
    <w:rsid w:val="0046699B"/>
    <w:rsid w:val="00471C7B"/>
    <w:rsid w:val="00475353"/>
    <w:rsid w:val="00485DBA"/>
    <w:rsid w:val="0049218E"/>
    <w:rsid w:val="00494183"/>
    <w:rsid w:val="0049659B"/>
    <w:rsid w:val="004A061C"/>
    <w:rsid w:val="004B4833"/>
    <w:rsid w:val="004B6470"/>
    <w:rsid w:val="004B6CD6"/>
    <w:rsid w:val="004C1788"/>
    <w:rsid w:val="004D0C26"/>
    <w:rsid w:val="004D7281"/>
    <w:rsid w:val="004F1901"/>
    <w:rsid w:val="004F23D9"/>
    <w:rsid w:val="004F3B23"/>
    <w:rsid w:val="004F3D5B"/>
    <w:rsid w:val="004F43B4"/>
    <w:rsid w:val="004F6EDB"/>
    <w:rsid w:val="00500857"/>
    <w:rsid w:val="005027D9"/>
    <w:rsid w:val="00502F14"/>
    <w:rsid w:val="00505449"/>
    <w:rsid w:val="00511641"/>
    <w:rsid w:val="00532B2B"/>
    <w:rsid w:val="00541BEA"/>
    <w:rsid w:val="00550343"/>
    <w:rsid w:val="00551425"/>
    <w:rsid w:val="00562546"/>
    <w:rsid w:val="00575779"/>
    <w:rsid w:val="00580A6C"/>
    <w:rsid w:val="005839E7"/>
    <w:rsid w:val="00583B9B"/>
    <w:rsid w:val="00585436"/>
    <w:rsid w:val="005A0BD4"/>
    <w:rsid w:val="005C07BF"/>
    <w:rsid w:val="005C2CCE"/>
    <w:rsid w:val="005C414F"/>
    <w:rsid w:val="005C433C"/>
    <w:rsid w:val="005C474C"/>
    <w:rsid w:val="005D0999"/>
    <w:rsid w:val="005D3D72"/>
    <w:rsid w:val="005F1056"/>
    <w:rsid w:val="005F5CD0"/>
    <w:rsid w:val="006043CA"/>
    <w:rsid w:val="006053F2"/>
    <w:rsid w:val="00610A78"/>
    <w:rsid w:val="00614308"/>
    <w:rsid w:val="00617A61"/>
    <w:rsid w:val="006213E4"/>
    <w:rsid w:val="0063012F"/>
    <w:rsid w:val="0063017B"/>
    <w:rsid w:val="00633251"/>
    <w:rsid w:val="0064517C"/>
    <w:rsid w:val="0064694B"/>
    <w:rsid w:val="00647902"/>
    <w:rsid w:val="00650A91"/>
    <w:rsid w:val="00651FF6"/>
    <w:rsid w:val="00654E64"/>
    <w:rsid w:val="006612CA"/>
    <w:rsid w:val="00666A38"/>
    <w:rsid w:val="006701EA"/>
    <w:rsid w:val="00680FFA"/>
    <w:rsid w:val="00683C41"/>
    <w:rsid w:val="00686E1A"/>
    <w:rsid w:val="00694D99"/>
    <w:rsid w:val="006963AD"/>
    <w:rsid w:val="006A0786"/>
    <w:rsid w:val="006A0FD5"/>
    <w:rsid w:val="006A7270"/>
    <w:rsid w:val="006B013F"/>
    <w:rsid w:val="006B0ADC"/>
    <w:rsid w:val="006B509D"/>
    <w:rsid w:val="006D11FB"/>
    <w:rsid w:val="006D20E0"/>
    <w:rsid w:val="006D325C"/>
    <w:rsid w:val="006E052B"/>
    <w:rsid w:val="006E1E98"/>
    <w:rsid w:val="006E2954"/>
    <w:rsid w:val="006E2CF0"/>
    <w:rsid w:val="006E541F"/>
    <w:rsid w:val="00701606"/>
    <w:rsid w:val="00701FAB"/>
    <w:rsid w:val="00702ED2"/>
    <w:rsid w:val="00703290"/>
    <w:rsid w:val="007074BD"/>
    <w:rsid w:val="0071272D"/>
    <w:rsid w:val="00716067"/>
    <w:rsid w:val="00717BBB"/>
    <w:rsid w:val="00720923"/>
    <w:rsid w:val="00723AA7"/>
    <w:rsid w:val="00723FB4"/>
    <w:rsid w:val="00726C49"/>
    <w:rsid w:val="0073512B"/>
    <w:rsid w:val="00744EAC"/>
    <w:rsid w:val="00745E4F"/>
    <w:rsid w:val="007464F2"/>
    <w:rsid w:val="0075191E"/>
    <w:rsid w:val="007519EA"/>
    <w:rsid w:val="00762AEB"/>
    <w:rsid w:val="00772342"/>
    <w:rsid w:val="00774FC8"/>
    <w:rsid w:val="00784798"/>
    <w:rsid w:val="00784DAD"/>
    <w:rsid w:val="00785BAF"/>
    <w:rsid w:val="00790361"/>
    <w:rsid w:val="00791AF2"/>
    <w:rsid w:val="00792676"/>
    <w:rsid w:val="007932A4"/>
    <w:rsid w:val="00795D50"/>
    <w:rsid w:val="007964E1"/>
    <w:rsid w:val="00797ECC"/>
    <w:rsid w:val="007A0ABA"/>
    <w:rsid w:val="007A3080"/>
    <w:rsid w:val="007A4FD7"/>
    <w:rsid w:val="007B0181"/>
    <w:rsid w:val="007B4165"/>
    <w:rsid w:val="007B5810"/>
    <w:rsid w:val="007B58DC"/>
    <w:rsid w:val="007C0571"/>
    <w:rsid w:val="007C16F9"/>
    <w:rsid w:val="007C1B83"/>
    <w:rsid w:val="007C2DD0"/>
    <w:rsid w:val="007D133E"/>
    <w:rsid w:val="007D720A"/>
    <w:rsid w:val="007D769B"/>
    <w:rsid w:val="007E0232"/>
    <w:rsid w:val="007E4572"/>
    <w:rsid w:val="007E6C27"/>
    <w:rsid w:val="007F0319"/>
    <w:rsid w:val="007F2B6D"/>
    <w:rsid w:val="007F6C80"/>
    <w:rsid w:val="00802451"/>
    <w:rsid w:val="00802939"/>
    <w:rsid w:val="00804506"/>
    <w:rsid w:val="00804DD8"/>
    <w:rsid w:val="0081085C"/>
    <w:rsid w:val="0081623C"/>
    <w:rsid w:val="00821DE6"/>
    <w:rsid w:val="00827978"/>
    <w:rsid w:val="0083142A"/>
    <w:rsid w:val="00834231"/>
    <w:rsid w:val="008379B6"/>
    <w:rsid w:val="00837A76"/>
    <w:rsid w:val="0084015C"/>
    <w:rsid w:val="00842409"/>
    <w:rsid w:val="0084723D"/>
    <w:rsid w:val="0086027B"/>
    <w:rsid w:val="008649A8"/>
    <w:rsid w:val="00865446"/>
    <w:rsid w:val="00865A56"/>
    <w:rsid w:val="00873610"/>
    <w:rsid w:val="008A2254"/>
    <w:rsid w:val="008A4296"/>
    <w:rsid w:val="008C3EB8"/>
    <w:rsid w:val="008C7D64"/>
    <w:rsid w:val="008D0EBD"/>
    <w:rsid w:val="008E1961"/>
    <w:rsid w:val="008E2B93"/>
    <w:rsid w:val="008F61BE"/>
    <w:rsid w:val="009048EE"/>
    <w:rsid w:val="00916037"/>
    <w:rsid w:val="0093007E"/>
    <w:rsid w:val="00930FEE"/>
    <w:rsid w:val="00933D36"/>
    <w:rsid w:val="0093484B"/>
    <w:rsid w:val="00946FB8"/>
    <w:rsid w:val="00947871"/>
    <w:rsid w:val="009604F1"/>
    <w:rsid w:val="00967CF8"/>
    <w:rsid w:val="009708F9"/>
    <w:rsid w:val="009860EE"/>
    <w:rsid w:val="0099000B"/>
    <w:rsid w:val="009A6E55"/>
    <w:rsid w:val="009C2B2D"/>
    <w:rsid w:val="009C3AAD"/>
    <w:rsid w:val="009C60CF"/>
    <w:rsid w:val="009D0999"/>
    <w:rsid w:val="009D5486"/>
    <w:rsid w:val="009D6D34"/>
    <w:rsid w:val="009E3179"/>
    <w:rsid w:val="009E41F0"/>
    <w:rsid w:val="009E6C65"/>
    <w:rsid w:val="009F0293"/>
    <w:rsid w:val="009F2447"/>
    <w:rsid w:val="009F254D"/>
    <w:rsid w:val="00A0104B"/>
    <w:rsid w:val="00A05B6F"/>
    <w:rsid w:val="00A1476E"/>
    <w:rsid w:val="00A153A2"/>
    <w:rsid w:val="00A175B0"/>
    <w:rsid w:val="00A21D97"/>
    <w:rsid w:val="00A25200"/>
    <w:rsid w:val="00A25921"/>
    <w:rsid w:val="00A307ED"/>
    <w:rsid w:val="00A36B74"/>
    <w:rsid w:val="00A422DE"/>
    <w:rsid w:val="00A53EDC"/>
    <w:rsid w:val="00A61AF2"/>
    <w:rsid w:val="00A6431B"/>
    <w:rsid w:val="00A643B2"/>
    <w:rsid w:val="00A73837"/>
    <w:rsid w:val="00A759B3"/>
    <w:rsid w:val="00A8611D"/>
    <w:rsid w:val="00A86C7A"/>
    <w:rsid w:val="00A9305C"/>
    <w:rsid w:val="00A9306E"/>
    <w:rsid w:val="00A957AC"/>
    <w:rsid w:val="00AA5EEC"/>
    <w:rsid w:val="00AA6840"/>
    <w:rsid w:val="00AB02D8"/>
    <w:rsid w:val="00AB04E9"/>
    <w:rsid w:val="00AB18CB"/>
    <w:rsid w:val="00AB3B68"/>
    <w:rsid w:val="00AB5F6B"/>
    <w:rsid w:val="00AD144D"/>
    <w:rsid w:val="00AD4C62"/>
    <w:rsid w:val="00AD77E2"/>
    <w:rsid w:val="00AD7B44"/>
    <w:rsid w:val="00AE1D16"/>
    <w:rsid w:val="00AE3423"/>
    <w:rsid w:val="00AE5D03"/>
    <w:rsid w:val="00AE6A0D"/>
    <w:rsid w:val="00B102CB"/>
    <w:rsid w:val="00B112D8"/>
    <w:rsid w:val="00B146B6"/>
    <w:rsid w:val="00B1714F"/>
    <w:rsid w:val="00B17229"/>
    <w:rsid w:val="00B23DAC"/>
    <w:rsid w:val="00B30EC9"/>
    <w:rsid w:val="00B34000"/>
    <w:rsid w:val="00B37651"/>
    <w:rsid w:val="00B50313"/>
    <w:rsid w:val="00B514FA"/>
    <w:rsid w:val="00B6061F"/>
    <w:rsid w:val="00B665E4"/>
    <w:rsid w:val="00B70743"/>
    <w:rsid w:val="00B72563"/>
    <w:rsid w:val="00B77ACD"/>
    <w:rsid w:val="00B80981"/>
    <w:rsid w:val="00B85D8B"/>
    <w:rsid w:val="00B90BC9"/>
    <w:rsid w:val="00B93DF3"/>
    <w:rsid w:val="00B95987"/>
    <w:rsid w:val="00BA20F4"/>
    <w:rsid w:val="00BA5F43"/>
    <w:rsid w:val="00BB0513"/>
    <w:rsid w:val="00BB21C5"/>
    <w:rsid w:val="00BC27DA"/>
    <w:rsid w:val="00BC39B2"/>
    <w:rsid w:val="00BD28DE"/>
    <w:rsid w:val="00BD7287"/>
    <w:rsid w:val="00BD7643"/>
    <w:rsid w:val="00BD7F30"/>
    <w:rsid w:val="00BE1CC9"/>
    <w:rsid w:val="00BE4D9E"/>
    <w:rsid w:val="00BF0F1B"/>
    <w:rsid w:val="00BF2354"/>
    <w:rsid w:val="00BF2AD1"/>
    <w:rsid w:val="00C05FD4"/>
    <w:rsid w:val="00C07221"/>
    <w:rsid w:val="00C112F7"/>
    <w:rsid w:val="00C113F0"/>
    <w:rsid w:val="00C177B9"/>
    <w:rsid w:val="00C17A27"/>
    <w:rsid w:val="00C21A40"/>
    <w:rsid w:val="00C269C7"/>
    <w:rsid w:val="00C26B69"/>
    <w:rsid w:val="00C27654"/>
    <w:rsid w:val="00C35E86"/>
    <w:rsid w:val="00C36D2F"/>
    <w:rsid w:val="00C42EBA"/>
    <w:rsid w:val="00C54B9A"/>
    <w:rsid w:val="00C67321"/>
    <w:rsid w:val="00C8494D"/>
    <w:rsid w:val="00C9115A"/>
    <w:rsid w:val="00C954A5"/>
    <w:rsid w:val="00C96249"/>
    <w:rsid w:val="00C96E54"/>
    <w:rsid w:val="00CA07B2"/>
    <w:rsid w:val="00CA0958"/>
    <w:rsid w:val="00CA299B"/>
    <w:rsid w:val="00CA2A19"/>
    <w:rsid w:val="00CB7C0D"/>
    <w:rsid w:val="00CD3E68"/>
    <w:rsid w:val="00CD4938"/>
    <w:rsid w:val="00CD58E3"/>
    <w:rsid w:val="00CE130C"/>
    <w:rsid w:val="00CE136F"/>
    <w:rsid w:val="00CE2DF1"/>
    <w:rsid w:val="00CF1001"/>
    <w:rsid w:val="00CF19AA"/>
    <w:rsid w:val="00CF2736"/>
    <w:rsid w:val="00CF43AF"/>
    <w:rsid w:val="00D023CC"/>
    <w:rsid w:val="00D02AA4"/>
    <w:rsid w:val="00D04921"/>
    <w:rsid w:val="00D061B0"/>
    <w:rsid w:val="00D0771A"/>
    <w:rsid w:val="00D237BC"/>
    <w:rsid w:val="00D27433"/>
    <w:rsid w:val="00D3413F"/>
    <w:rsid w:val="00D3614A"/>
    <w:rsid w:val="00D437E8"/>
    <w:rsid w:val="00D43AB0"/>
    <w:rsid w:val="00D47981"/>
    <w:rsid w:val="00D5306A"/>
    <w:rsid w:val="00D57838"/>
    <w:rsid w:val="00D57FF4"/>
    <w:rsid w:val="00D64AB3"/>
    <w:rsid w:val="00D65A5A"/>
    <w:rsid w:val="00D800B4"/>
    <w:rsid w:val="00D815C7"/>
    <w:rsid w:val="00D8722B"/>
    <w:rsid w:val="00D97D0A"/>
    <w:rsid w:val="00DB2F6E"/>
    <w:rsid w:val="00DB3D07"/>
    <w:rsid w:val="00DB433B"/>
    <w:rsid w:val="00DC43A2"/>
    <w:rsid w:val="00DD18DD"/>
    <w:rsid w:val="00DD419C"/>
    <w:rsid w:val="00DF6C00"/>
    <w:rsid w:val="00E104FF"/>
    <w:rsid w:val="00E23D6F"/>
    <w:rsid w:val="00E24DA6"/>
    <w:rsid w:val="00E30EFA"/>
    <w:rsid w:val="00E339C7"/>
    <w:rsid w:val="00E35FB6"/>
    <w:rsid w:val="00E3662A"/>
    <w:rsid w:val="00E44A16"/>
    <w:rsid w:val="00E456DA"/>
    <w:rsid w:val="00E52732"/>
    <w:rsid w:val="00E52CB2"/>
    <w:rsid w:val="00E60D98"/>
    <w:rsid w:val="00E6548C"/>
    <w:rsid w:val="00E7172F"/>
    <w:rsid w:val="00E7258A"/>
    <w:rsid w:val="00E732E7"/>
    <w:rsid w:val="00E76ED2"/>
    <w:rsid w:val="00E778A1"/>
    <w:rsid w:val="00E84280"/>
    <w:rsid w:val="00EB5C66"/>
    <w:rsid w:val="00EB6F2E"/>
    <w:rsid w:val="00EC62D7"/>
    <w:rsid w:val="00EE49D9"/>
    <w:rsid w:val="00EE63E6"/>
    <w:rsid w:val="00EE7CC9"/>
    <w:rsid w:val="00EF4816"/>
    <w:rsid w:val="00EF7B5C"/>
    <w:rsid w:val="00F00E27"/>
    <w:rsid w:val="00F0253D"/>
    <w:rsid w:val="00F05951"/>
    <w:rsid w:val="00F0785F"/>
    <w:rsid w:val="00F14B2A"/>
    <w:rsid w:val="00F1789B"/>
    <w:rsid w:val="00F22E01"/>
    <w:rsid w:val="00F2389A"/>
    <w:rsid w:val="00F26066"/>
    <w:rsid w:val="00F275C4"/>
    <w:rsid w:val="00F306F7"/>
    <w:rsid w:val="00F41B81"/>
    <w:rsid w:val="00F43AD9"/>
    <w:rsid w:val="00F447BA"/>
    <w:rsid w:val="00F53DC3"/>
    <w:rsid w:val="00F758E2"/>
    <w:rsid w:val="00F938D5"/>
    <w:rsid w:val="00FA21B7"/>
    <w:rsid w:val="00FB53E0"/>
    <w:rsid w:val="00FC4958"/>
    <w:rsid w:val="00FC6DAD"/>
    <w:rsid w:val="00FC7555"/>
    <w:rsid w:val="00FD1E62"/>
    <w:rsid w:val="00FD280B"/>
    <w:rsid w:val="00FD7F6A"/>
    <w:rsid w:val="00FE7B32"/>
    <w:rsid w:val="00FF0363"/>
    <w:rsid w:val="00FF4AF2"/>
    <w:rsid w:val="00FF5330"/>
    <w:rsid w:val="5F0EA5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0C87"/>
  <w15:chartTrackingRefBased/>
  <w15:docId w15:val="{9BBD0750-0275-4BBB-B5A6-9FD45404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2E"/>
    <w:rPr>
      <w:rFonts w:ascii="Calibri" w:hAnsi="Calibri"/>
      <w:sz w:val="23"/>
    </w:rPr>
  </w:style>
  <w:style w:type="paragraph" w:styleId="Heading1">
    <w:name w:val="heading 1"/>
    <w:basedOn w:val="Normal"/>
    <w:next w:val="Normal"/>
    <w:link w:val="Heading1Char"/>
    <w:uiPriority w:val="9"/>
    <w:qFormat/>
    <w:rsid w:val="00BD2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0999"/>
    <w:pPr>
      <w:keepNext/>
      <w:keepLines/>
      <w:spacing w:before="36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FF0363"/>
    <w:pPr>
      <w:keepNext/>
      <w:keepLines/>
      <w:spacing w:before="160" w:after="0"/>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semiHidden/>
    <w:unhideWhenUsed/>
    <w:qFormat/>
    <w:rsid w:val="00BD2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0999"/>
    <w:rPr>
      <w:rFonts w:ascii="Calibri" w:eastAsiaTheme="majorEastAsia" w:hAnsi="Calibri" w:cstheme="majorBidi"/>
      <w:b/>
      <w:color w:val="000000" w:themeColor="text1"/>
      <w:sz w:val="23"/>
      <w:szCs w:val="32"/>
    </w:rPr>
  </w:style>
  <w:style w:type="character" w:customStyle="1" w:styleId="Heading3Char">
    <w:name w:val="Heading 3 Char"/>
    <w:basedOn w:val="DefaultParagraphFont"/>
    <w:link w:val="Heading3"/>
    <w:uiPriority w:val="9"/>
    <w:rsid w:val="00FF0363"/>
    <w:rPr>
      <w:rFonts w:ascii="Calibri" w:eastAsiaTheme="majorEastAsia" w:hAnsi="Calibri" w:cstheme="majorBidi"/>
      <w:b/>
      <w:color w:val="000000" w:themeColor="text1"/>
      <w:sz w:val="23"/>
      <w:szCs w:val="28"/>
    </w:rPr>
  </w:style>
  <w:style w:type="character" w:customStyle="1" w:styleId="Heading4Char">
    <w:name w:val="Heading 4 Char"/>
    <w:basedOn w:val="DefaultParagraphFont"/>
    <w:link w:val="Heading4"/>
    <w:uiPriority w:val="9"/>
    <w:semiHidden/>
    <w:rsid w:val="00BD2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8DE"/>
    <w:rPr>
      <w:rFonts w:eastAsiaTheme="majorEastAsia" w:cstheme="majorBidi"/>
      <w:color w:val="272727" w:themeColor="text1" w:themeTint="D8"/>
    </w:rPr>
  </w:style>
  <w:style w:type="paragraph" w:styleId="Title">
    <w:name w:val="Title"/>
    <w:basedOn w:val="Normal"/>
    <w:next w:val="Normal"/>
    <w:link w:val="TitleChar"/>
    <w:uiPriority w:val="10"/>
    <w:qFormat/>
    <w:rsid w:val="00BD2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8DE"/>
    <w:pPr>
      <w:spacing w:before="160"/>
      <w:jc w:val="center"/>
    </w:pPr>
    <w:rPr>
      <w:i/>
      <w:iCs/>
      <w:color w:val="404040" w:themeColor="text1" w:themeTint="BF"/>
    </w:rPr>
  </w:style>
  <w:style w:type="character" w:customStyle="1" w:styleId="QuoteChar">
    <w:name w:val="Quote Char"/>
    <w:basedOn w:val="DefaultParagraphFont"/>
    <w:link w:val="Quote"/>
    <w:uiPriority w:val="29"/>
    <w:rsid w:val="00BD28DE"/>
    <w:rPr>
      <w:i/>
      <w:iCs/>
      <w:color w:val="404040" w:themeColor="text1" w:themeTint="BF"/>
    </w:rPr>
  </w:style>
  <w:style w:type="paragraph" w:styleId="ListParagraph">
    <w:name w:val="List Paragraph"/>
    <w:basedOn w:val="Normal"/>
    <w:uiPriority w:val="34"/>
    <w:qFormat/>
    <w:rsid w:val="00BD28DE"/>
    <w:pPr>
      <w:ind w:left="720"/>
      <w:contextualSpacing/>
    </w:pPr>
  </w:style>
  <w:style w:type="character" w:styleId="IntenseEmphasis">
    <w:name w:val="Intense Emphasis"/>
    <w:basedOn w:val="DefaultParagraphFont"/>
    <w:uiPriority w:val="21"/>
    <w:qFormat/>
    <w:rsid w:val="00BD28DE"/>
    <w:rPr>
      <w:i/>
      <w:iCs/>
      <w:color w:val="0F4761" w:themeColor="accent1" w:themeShade="BF"/>
    </w:rPr>
  </w:style>
  <w:style w:type="paragraph" w:styleId="IntenseQuote">
    <w:name w:val="Intense Quote"/>
    <w:basedOn w:val="Normal"/>
    <w:next w:val="Normal"/>
    <w:link w:val="IntenseQuoteChar"/>
    <w:uiPriority w:val="30"/>
    <w:qFormat/>
    <w:rsid w:val="00BD2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8DE"/>
    <w:rPr>
      <w:i/>
      <w:iCs/>
      <w:color w:val="0F4761" w:themeColor="accent1" w:themeShade="BF"/>
    </w:rPr>
  </w:style>
  <w:style w:type="character" w:styleId="IntenseReference">
    <w:name w:val="Intense Reference"/>
    <w:basedOn w:val="DefaultParagraphFont"/>
    <w:uiPriority w:val="32"/>
    <w:qFormat/>
    <w:rsid w:val="00BD28DE"/>
    <w:rPr>
      <w:b/>
      <w:bCs/>
      <w:smallCaps/>
      <w:color w:val="0F4761" w:themeColor="accent1" w:themeShade="BF"/>
      <w:spacing w:val="5"/>
    </w:rPr>
  </w:style>
  <w:style w:type="paragraph" w:styleId="Header">
    <w:name w:val="header"/>
    <w:basedOn w:val="Normal"/>
    <w:link w:val="HeaderChar"/>
    <w:uiPriority w:val="99"/>
    <w:unhideWhenUsed/>
    <w:rsid w:val="005D0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999"/>
  </w:style>
  <w:style w:type="paragraph" w:styleId="Footer">
    <w:name w:val="footer"/>
    <w:basedOn w:val="Normal"/>
    <w:link w:val="FooterChar"/>
    <w:uiPriority w:val="99"/>
    <w:unhideWhenUsed/>
    <w:rsid w:val="005D0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999"/>
  </w:style>
  <w:style w:type="paragraph" w:styleId="Revision">
    <w:name w:val="Revision"/>
    <w:hidden/>
    <w:uiPriority w:val="99"/>
    <w:semiHidden/>
    <w:rsid w:val="00290D90"/>
    <w:pPr>
      <w:spacing w:after="0" w:line="240" w:lineRule="auto"/>
    </w:pPr>
    <w:rPr>
      <w:rFonts w:ascii="Calibri" w:hAnsi="Calibri"/>
      <w:sz w:val="23"/>
    </w:rPr>
  </w:style>
  <w:style w:type="paragraph" w:styleId="TOCHeading">
    <w:name w:val="TOC Heading"/>
    <w:basedOn w:val="Heading1"/>
    <w:next w:val="Normal"/>
    <w:uiPriority w:val="39"/>
    <w:unhideWhenUsed/>
    <w:qFormat/>
    <w:rsid w:val="00701606"/>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701606"/>
    <w:pPr>
      <w:spacing w:after="100"/>
      <w:ind w:left="230"/>
    </w:pPr>
  </w:style>
  <w:style w:type="paragraph" w:styleId="TOC3">
    <w:name w:val="toc 3"/>
    <w:basedOn w:val="Normal"/>
    <w:next w:val="Normal"/>
    <w:autoRedefine/>
    <w:uiPriority w:val="39"/>
    <w:unhideWhenUsed/>
    <w:rsid w:val="00701606"/>
    <w:pPr>
      <w:spacing w:after="100"/>
      <w:ind w:left="460"/>
    </w:pPr>
  </w:style>
  <w:style w:type="character" w:styleId="Hyperlink">
    <w:name w:val="Hyperlink"/>
    <w:basedOn w:val="DefaultParagraphFont"/>
    <w:uiPriority w:val="99"/>
    <w:unhideWhenUsed/>
    <w:rsid w:val="00701606"/>
    <w:rPr>
      <w:color w:val="467886" w:themeColor="hyperlink"/>
      <w:u w:val="single"/>
    </w:rPr>
  </w:style>
  <w:style w:type="character" w:styleId="CommentReference">
    <w:name w:val="annotation reference"/>
    <w:basedOn w:val="DefaultParagraphFont"/>
    <w:uiPriority w:val="99"/>
    <w:semiHidden/>
    <w:unhideWhenUsed/>
    <w:rsid w:val="0049659B"/>
    <w:rPr>
      <w:sz w:val="16"/>
      <w:szCs w:val="16"/>
    </w:rPr>
  </w:style>
  <w:style w:type="paragraph" w:styleId="CommentText">
    <w:name w:val="annotation text"/>
    <w:basedOn w:val="Normal"/>
    <w:link w:val="CommentTextChar"/>
    <w:uiPriority w:val="99"/>
    <w:unhideWhenUsed/>
    <w:rsid w:val="0049659B"/>
    <w:pPr>
      <w:spacing w:line="240" w:lineRule="auto"/>
    </w:pPr>
    <w:rPr>
      <w:sz w:val="20"/>
      <w:szCs w:val="20"/>
    </w:rPr>
  </w:style>
  <w:style w:type="character" w:customStyle="1" w:styleId="CommentTextChar">
    <w:name w:val="Comment Text Char"/>
    <w:basedOn w:val="DefaultParagraphFont"/>
    <w:link w:val="CommentText"/>
    <w:uiPriority w:val="99"/>
    <w:rsid w:val="0049659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9659B"/>
    <w:rPr>
      <w:b/>
      <w:bCs/>
    </w:rPr>
  </w:style>
  <w:style w:type="character" w:customStyle="1" w:styleId="CommentSubjectChar">
    <w:name w:val="Comment Subject Char"/>
    <w:basedOn w:val="CommentTextChar"/>
    <w:link w:val="CommentSubject"/>
    <w:uiPriority w:val="99"/>
    <w:semiHidden/>
    <w:rsid w:val="0049659B"/>
    <w:rPr>
      <w:rFonts w:ascii="Calibri" w:hAnsi="Calibri"/>
      <w:b/>
      <w:bCs/>
      <w:sz w:val="20"/>
      <w:szCs w:val="20"/>
    </w:rPr>
  </w:style>
  <w:style w:type="paragraph" w:styleId="BalloonText">
    <w:name w:val="Balloon Text"/>
    <w:basedOn w:val="Normal"/>
    <w:link w:val="BalloonTextChar"/>
    <w:uiPriority w:val="99"/>
    <w:semiHidden/>
    <w:unhideWhenUsed/>
    <w:rsid w:val="00DC4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1919">
      <w:bodyDiv w:val="1"/>
      <w:marLeft w:val="0"/>
      <w:marRight w:val="0"/>
      <w:marTop w:val="0"/>
      <w:marBottom w:val="0"/>
      <w:divBdr>
        <w:top w:val="none" w:sz="0" w:space="0" w:color="auto"/>
        <w:left w:val="none" w:sz="0" w:space="0" w:color="auto"/>
        <w:bottom w:val="none" w:sz="0" w:space="0" w:color="auto"/>
        <w:right w:val="none" w:sz="0" w:space="0" w:color="auto"/>
      </w:divBdr>
    </w:div>
    <w:div w:id="275527469">
      <w:bodyDiv w:val="1"/>
      <w:marLeft w:val="0"/>
      <w:marRight w:val="0"/>
      <w:marTop w:val="0"/>
      <w:marBottom w:val="0"/>
      <w:divBdr>
        <w:top w:val="none" w:sz="0" w:space="0" w:color="auto"/>
        <w:left w:val="none" w:sz="0" w:space="0" w:color="auto"/>
        <w:bottom w:val="none" w:sz="0" w:space="0" w:color="auto"/>
        <w:right w:val="none" w:sz="0" w:space="0" w:color="auto"/>
      </w:divBdr>
    </w:div>
    <w:div w:id="896864001">
      <w:bodyDiv w:val="1"/>
      <w:marLeft w:val="0"/>
      <w:marRight w:val="0"/>
      <w:marTop w:val="0"/>
      <w:marBottom w:val="0"/>
      <w:divBdr>
        <w:top w:val="none" w:sz="0" w:space="0" w:color="auto"/>
        <w:left w:val="none" w:sz="0" w:space="0" w:color="auto"/>
        <w:bottom w:val="none" w:sz="0" w:space="0" w:color="auto"/>
        <w:right w:val="none" w:sz="0" w:space="0" w:color="auto"/>
      </w:divBdr>
    </w:div>
    <w:div w:id="1099331845">
      <w:bodyDiv w:val="1"/>
      <w:marLeft w:val="0"/>
      <w:marRight w:val="0"/>
      <w:marTop w:val="0"/>
      <w:marBottom w:val="0"/>
      <w:divBdr>
        <w:top w:val="none" w:sz="0" w:space="0" w:color="auto"/>
        <w:left w:val="none" w:sz="0" w:space="0" w:color="auto"/>
        <w:bottom w:val="none" w:sz="0" w:space="0" w:color="auto"/>
        <w:right w:val="none" w:sz="0" w:space="0" w:color="auto"/>
      </w:divBdr>
    </w:div>
    <w:div w:id="1189565047">
      <w:bodyDiv w:val="1"/>
      <w:marLeft w:val="0"/>
      <w:marRight w:val="0"/>
      <w:marTop w:val="0"/>
      <w:marBottom w:val="0"/>
      <w:divBdr>
        <w:top w:val="none" w:sz="0" w:space="0" w:color="auto"/>
        <w:left w:val="none" w:sz="0" w:space="0" w:color="auto"/>
        <w:bottom w:val="none" w:sz="0" w:space="0" w:color="auto"/>
        <w:right w:val="none" w:sz="0" w:space="0" w:color="auto"/>
      </w:divBdr>
      <w:divsChild>
        <w:div w:id="813134064">
          <w:marLeft w:val="0"/>
          <w:marRight w:val="0"/>
          <w:marTop w:val="0"/>
          <w:marBottom w:val="75"/>
          <w:divBdr>
            <w:top w:val="none" w:sz="0" w:space="0" w:color="auto"/>
            <w:left w:val="none" w:sz="0" w:space="0" w:color="auto"/>
            <w:bottom w:val="none" w:sz="0" w:space="0" w:color="auto"/>
            <w:right w:val="none" w:sz="0" w:space="0" w:color="auto"/>
          </w:divBdr>
        </w:div>
      </w:divsChild>
    </w:div>
    <w:div w:id="1373847397">
      <w:bodyDiv w:val="1"/>
      <w:marLeft w:val="0"/>
      <w:marRight w:val="0"/>
      <w:marTop w:val="0"/>
      <w:marBottom w:val="0"/>
      <w:divBdr>
        <w:top w:val="none" w:sz="0" w:space="0" w:color="auto"/>
        <w:left w:val="none" w:sz="0" w:space="0" w:color="auto"/>
        <w:bottom w:val="none" w:sz="0" w:space="0" w:color="auto"/>
        <w:right w:val="none" w:sz="0" w:space="0" w:color="auto"/>
      </w:divBdr>
    </w:div>
    <w:div w:id="1427077020">
      <w:bodyDiv w:val="1"/>
      <w:marLeft w:val="0"/>
      <w:marRight w:val="0"/>
      <w:marTop w:val="0"/>
      <w:marBottom w:val="0"/>
      <w:divBdr>
        <w:top w:val="none" w:sz="0" w:space="0" w:color="auto"/>
        <w:left w:val="none" w:sz="0" w:space="0" w:color="auto"/>
        <w:bottom w:val="none" w:sz="0" w:space="0" w:color="auto"/>
        <w:right w:val="none" w:sz="0" w:space="0" w:color="auto"/>
      </w:divBdr>
    </w:div>
    <w:div w:id="1668289668">
      <w:bodyDiv w:val="1"/>
      <w:marLeft w:val="0"/>
      <w:marRight w:val="0"/>
      <w:marTop w:val="0"/>
      <w:marBottom w:val="0"/>
      <w:divBdr>
        <w:top w:val="none" w:sz="0" w:space="0" w:color="auto"/>
        <w:left w:val="none" w:sz="0" w:space="0" w:color="auto"/>
        <w:bottom w:val="none" w:sz="0" w:space="0" w:color="auto"/>
        <w:right w:val="none" w:sz="0" w:space="0" w:color="auto"/>
      </w:divBdr>
    </w:div>
    <w:div w:id="1732390057">
      <w:bodyDiv w:val="1"/>
      <w:marLeft w:val="0"/>
      <w:marRight w:val="0"/>
      <w:marTop w:val="0"/>
      <w:marBottom w:val="0"/>
      <w:divBdr>
        <w:top w:val="none" w:sz="0" w:space="0" w:color="auto"/>
        <w:left w:val="none" w:sz="0" w:space="0" w:color="auto"/>
        <w:bottom w:val="none" w:sz="0" w:space="0" w:color="auto"/>
        <w:right w:val="none" w:sz="0" w:space="0" w:color="auto"/>
      </w:divBdr>
    </w:div>
    <w:div w:id="1899314341">
      <w:bodyDiv w:val="1"/>
      <w:marLeft w:val="0"/>
      <w:marRight w:val="0"/>
      <w:marTop w:val="0"/>
      <w:marBottom w:val="0"/>
      <w:divBdr>
        <w:top w:val="none" w:sz="0" w:space="0" w:color="auto"/>
        <w:left w:val="none" w:sz="0" w:space="0" w:color="auto"/>
        <w:bottom w:val="none" w:sz="0" w:space="0" w:color="auto"/>
        <w:right w:val="none" w:sz="0" w:space="0" w:color="auto"/>
      </w:divBdr>
    </w:div>
    <w:div w:id="1936207652">
      <w:bodyDiv w:val="1"/>
      <w:marLeft w:val="0"/>
      <w:marRight w:val="0"/>
      <w:marTop w:val="0"/>
      <w:marBottom w:val="0"/>
      <w:divBdr>
        <w:top w:val="none" w:sz="0" w:space="0" w:color="auto"/>
        <w:left w:val="none" w:sz="0" w:space="0" w:color="auto"/>
        <w:bottom w:val="none" w:sz="0" w:space="0" w:color="auto"/>
        <w:right w:val="none" w:sz="0" w:space="0" w:color="auto"/>
      </w:divBdr>
    </w:div>
    <w:div w:id="2098477881">
      <w:bodyDiv w:val="1"/>
      <w:marLeft w:val="0"/>
      <w:marRight w:val="0"/>
      <w:marTop w:val="0"/>
      <w:marBottom w:val="0"/>
      <w:divBdr>
        <w:top w:val="none" w:sz="0" w:space="0" w:color="auto"/>
        <w:left w:val="none" w:sz="0" w:space="0" w:color="auto"/>
        <w:bottom w:val="none" w:sz="0" w:space="0" w:color="auto"/>
        <w:right w:val="none" w:sz="0" w:space="0" w:color="auto"/>
      </w:divBdr>
      <w:divsChild>
        <w:div w:id="104552480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4F2E-A88B-4476-B19D-9998FBD9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Links>
    <vt:vector size="156" baseType="variant">
      <vt:variant>
        <vt:i4>1376312</vt:i4>
      </vt:variant>
      <vt:variant>
        <vt:i4>152</vt:i4>
      </vt:variant>
      <vt:variant>
        <vt:i4>0</vt:i4>
      </vt:variant>
      <vt:variant>
        <vt:i4>5</vt:i4>
      </vt:variant>
      <vt:variant>
        <vt:lpwstr/>
      </vt:variant>
      <vt:variant>
        <vt:lpwstr>_Toc202790155</vt:lpwstr>
      </vt:variant>
      <vt:variant>
        <vt:i4>1376312</vt:i4>
      </vt:variant>
      <vt:variant>
        <vt:i4>146</vt:i4>
      </vt:variant>
      <vt:variant>
        <vt:i4>0</vt:i4>
      </vt:variant>
      <vt:variant>
        <vt:i4>5</vt:i4>
      </vt:variant>
      <vt:variant>
        <vt:lpwstr/>
      </vt:variant>
      <vt:variant>
        <vt:lpwstr>_Toc202790154</vt:lpwstr>
      </vt:variant>
      <vt:variant>
        <vt:i4>1376312</vt:i4>
      </vt:variant>
      <vt:variant>
        <vt:i4>140</vt:i4>
      </vt:variant>
      <vt:variant>
        <vt:i4>0</vt:i4>
      </vt:variant>
      <vt:variant>
        <vt:i4>5</vt:i4>
      </vt:variant>
      <vt:variant>
        <vt:lpwstr/>
      </vt:variant>
      <vt:variant>
        <vt:lpwstr>_Toc202790153</vt:lpwstr>
      </vt:variant>
      <vt:variant>
        <vt:i4>1376312</vt:i4>
      </vt:variant>
      <vt:variant>
        <vt:i4>134</vt:i4>
      </vt:variant>
      <vt:variant>
        <vt:i4>0</vt:i4>
      </vt:variant>
      <vt:variant>
        <vt:i4>5</vt:i4>
      </vt:variant>
      <vt:variant>
        <vt:lpwstr/>
      </vt:variant>
      <vt:variant>
        <vt:lpwstr>_Toc202790152</vt:lpwstr>
      </vt:variant>
      <vt:variant>
        <vt:i4>1376312</vt:i4>
      </vt:variant>
      <vt:variant>
        <vt:i4>128</vt:i4>
      </vt:variant>
      <vt:variant>
        <vt:i4>0</vt:i4>
      </vt:variant>
      <vt:variant>
        <vt:i4>5</vt:i4>
      </vt:variant>
      <vt:variant>
        <vt:lpwstr/>
      </vt:variant>
      <vt:variant>
        <vt:lpwstr>_Toc202790151</vt:lpwstr>
      </vt:variant>
      <vt:variant>
        <vt:i4>1376312</vt:i4>
      </vt:variant>
      <vt:variant>
        <vt:i4>122</vt:i4>
      </vt:variant>
      <vt:variant>
        <vt:i4>0</vt:i4>
      </vt:variant>
      <vt:variant>
        <vt:i4>5</vt:i4>
      </vt:variant>
      <vt:variant>
        <vt:lpwstr/>
      </vt:variant>
      <vt:variant>
        <vt:lpwstr>_Toc202790150</vt:lpwstr>
      </vt:variant>
      <vt:variant>
        <vt:i4>1310776</vt:i4>
      </vt:variant>
      <vt:variant>
        <vt:i4>116</vt:i4>
      </vt:variant>
      <vt:variant>
        <vt:i4>0</vt:i4>
      </vt:variant>
      <vt:variant>
        <vt:i4>5</vt:i4>
      </vt:variant>
      <vt:variant>
        <vt:lpwstr/>
      </vt:variant>
      <vt:variant>
        <vt:lpwstr>_Toc202790149</vt:lpwstr>
      </vt:variant>
      <vt:variant>
        <vt:i4>1310776</vt:i4>
      </vt:variant>
      <vt:variant>
        <vt:i4>110</vt:i4>
      </vt:variant>
      <vt:variant>
        <vt:i4>0</vt:i4>
      </vt:variant>
      <vt:variant>
        <vt:i4>5</vt:i4>
      </vt:variant>
      <vt:variant>
        <vt:lpwstr/>
      </vt:variant>
      <vt:variant>
        <vt:lpwstr>_Toc202790148</vt:lpwstr>
      </vt:variant>
      <vt:variant>
        <vt:i4>1310776</vt:i4>
      </vt:variant>
      <vt:variant>
        <vt:i4>104</vt:i4>
      </vt:variant>
      <vt:variant>
        <vt:i4>0</vt:i4>
      </vt:variant>
      <vt:variant>
        <vt:i4>5</vt:i4>
      </vt:variant>
      <vt:variant>
        <vt:lpwstr/>
      </vt:variant>
      <vt:variant>
        <vt:lpwstr>_Toc202790147</vt:lpwstr>
      </vt:variant>
      <vt:variant>
        <vt:i4>1310776</vt:i4>
      </vt:variant>
      <vt:variant>
        <vt:i4>98</vt:i4>
      </vt:variant>
      <vt:variant>
        <vt:i4>0</vt:i4>
      </vt:variant>
      <vt:variant>
        <vt:i4>5</vt:i4>
      </vt:variant>
      <vt:variant>
        <vt:lpwstr/>
      </vt:variant>
      <vt:variant>
        <vt:lpwstr>_Toc202790146</vt:lpwstr>
      </vt:variant>
      <vt:variant>
        <vt:i4>1310776</vt:i4>
      </vt:variant>
      <vt:variant>
        <vt:i4>92</vt:i4>
      </vt:variant>
      <vt:variant>
        <vt:i4>0</vt:i4>
      </vt:variant>
      <vt:variant>
        <vt:i4>5</vt:i4>
      </vt:variant>
      <vt:variant>
        <vt:lpwstr/>
      </vt:variant>
      <vt:variant>
        <vt:lpwstr>_Toc202790145</vt:lpwstr>
      </vt:variant>
      <vt:variant>
        <vt:i4>1310776</vt:i4>
      </vt:variant>
      <vt:variant>
        <vt:i4>86</vt:i4>
      </vt:variant>
      <vt:variant>
        <vt:i4>0</vt:i4>
      </vt:variant>
      <vt:variant>
        <vt:i4>5</vt:i4>
      </vt:variant>
      <vt:variant>
        <vt:lpwstr/>
      </vt:variant>
      <vt:variant>
        <vt:lpwstr>_Toc202790144</vt:lpwstr>
      </vt:variant>
      <vt:variant>
        <vt:i4>1310776</vt:i4>
      </vt:variant>
      <vt:variant>
        <vt:i4>80</vt:i4>
      </vt:variant>
      <vt:variant>
        <vt:i4>0</vt:i4>
      </vt:variant>
      <vt:variant>
        <vt:i4>5</vt:i4>
      </vt:variant>
      <vt:variant>
        <vt:lpwstr/>
      </vt:variant>
      <vt:variant>
        <vt:lpwstr>_Toc202790143</vt:lpwstr>
      </vt:variant>
      <vt:variant>
        <vt:i4>1310776</vt:i4>
      </vt:variant>
      <vt:variant>
        <vt:i4>74</vt:i4>
      </vt:variant>
      <vt:variant>
        <vt:i4>0</vt:i4>
      </vt:variant>
      <vt:variant>
        <vt:i4>5</vt:i4>
      </vt:variant>
      <vt:variant>
        <vt:lpwstr/>
      </vt:variant>
      <vt:variant>
        <vt:lpwstr>_Toc202790142</vt:lpwstr>
      </vt:variant>
      <vt:variant>
        <vt:i4>1310776</vt:i4>
      </vt:variant>
      <vt:variant>
        <vt:i4>68</vt:i4>
      </vt:variant>
      <vt:variant>
        <vt:i4>0</vt:i4>
      </vt:variant>
      <vt:variant>
        <vt:i4>5</vt:i4>
      </vt:variant>
      <vt:variant>
        <vt:lpwstr/>
      </vt:variant>
      <vt:variant>
        <vt:lpwstr>_Toc202790141</vt:lpwstr>
      </vt:variant>
      <vt:variant>
        <vt:i4>1310776</vt:i4>
      </vt:variant>
      <vt:variant>
        <vt:i4>62</vt:i4>
      </vt:variant>
      <vt:variant>
        <vt:i4>0</vt:i4>
      </vt:variant>
      <vt:variant>
        <vt:i4>5</vt:i4>
      </vt:variant>
      <vt:variant>
        <vt:lpwstr/>
      </vt:variant>
      <vt:variant>
        <vt:lpwstr>_Toc202790140</vt:lpwstr>
      </vt:variant>
      <vt:variant>
        <vt:i4>1245240</vt:i4>
      </vt:variant>
      <vt:variant>
        <vt:i4>56</vt:i4>
      </vt:variant>
      <vt:variant>
        <vt:i4>0</vt:i4>
      </vt:variant>
      <vt:variant>
        <vt:i4>5</vt:i4>
      </vt:variant>
      <vt:variant>
        <vt:lpwstr/>
      </vt:variant>
      <vt:variant>
        <vt:lpwstr>_Toc202790139</vt:lpwstr>
      </vt:variant>
      <vt:variant>
        <vt:i4>1245240</vt:i4>
      </vt:variant>
      <vt:variant>
        <vt:i4>50</vt:i4>
      </vt:variant>
      <vt:variant>
        <vt:i4>0</vt:i4>
      </vt:variant>
      <vt:variant>
        <vt:i4>5</vt:i4>
      </vt:variant>
      <vt:variant>
        <vt:lpwstr/>
      </vt:variant>
      <vt:variant>
        <vt:lpwstr>_Toc202790138</vt:lpwstr>
      </vt:variant>
      <vt:variant>
        <vt:i4>1245240</vt:i4>
      </vt:variant>
      <vt:variant>
        <vt:i4>44</vt:i4>
      </vt:variant>
      <vt:variant>
        <vt:i4>0</vt:i4>
      </vt:variant>
      <vt:variant>
        <vt:i4>5</vt:i4>
      </vt:variant>
      <vt:variant>
        <vt:lpwstr/>
      </vt:variant>
      <vt:variant>
        <vt:lpwstr>_Toc202790137</vt:lpwstr>
      </vt:variant>
      <vt:variant>
        <vt:i4>1245240</vt:i4>
      </vt:variant>
      <vt:variant>
        <vt:i4>38</vt:i4>
      </vt:variant>
      <vt:variant>
        <vt:i4>0</vt:i4>
      </vt:variant>
      <vt:variant>
        <vt:i4>5</vt:i4>
      </vt:variant>
      <vt:variant>
        <vt:lpwstr/>
      </vt:variant>
      <vt:variant>
        <vt:lpwstr>_Toc202790136</vt:lpwstr>
      </vt:variant>
      <vt:variant>
        <vt:i4>1245240</vt:i4>
      </vt:variant>
      <vt:variant>
        <vt:i4>32</vt:i4>
      </vt:variant>
      <vt:variant>
        <vt:i4>0</vt:i4>
      </vt:variant>
      <vt:variant>
        <vt:i4>5</vt:i4>
      </vt:variant>
      <vt:variant>
        <vt:lpwstr/>
      </vt:variant>
      <vt:variant>
        <vt:lpwstr>_Toc202790135</vt:lpwstr>
      </vt:variant>
      <vt:variant>
        <vt:i4>1245240</vt:i4>
      </vt:variant>
      <vt:variant>
        <vt:i4>26</vt:i4>
      </vt:variant>
      <vt:variant>
        <vt:i4>0</vt:i4>
      </vt:variant>
      <vt:variant>
        <vt:i4>5</vt:i4>
      </vt:variant>
      <vt:variant>
        <vt:lpwstr/>
      </vt:variant>
      <vt:variant>
        <vt:lpwstr>_Toc202790134</vt:lpwstr>
      </vt:variant>
      <vt:variant>
        <vt:i4>1245240</vt:i4>
      </vt:variant>
      <vt:variant>
        <vt:i4>20</vt:i4>
      </vt:variant>
      <vt:variant>
        <vt:i4>0</vt:i4>
      </vt:variant>
      <vt:variant>
        <vt:i4>5</vt:i4>
      </vt:variant>
      <vt:variant>
        <vt:lpwstr/>
      </vt:variant>
      <vt:variant>
        <vt:lpwstr>_Toc202790133</vt:lpwstr>
      </vt:variant>
      <vt:variant>
        <vt:i4>1245240</vt:i4>
      </vt:variant>
      <vt:variant>
        <vt:i4>14</vt:i4>
      </vt:variant>
      <vt:variant>
        <vt:i4>0</vt:i4>
      </vt:variant>
      <vt:variant>
        <vt:i4>5</vt:i4>
      </vt:variant>
      <vt:variant>
        <vt:lpwstr/>
      </vt:variant>
      <vt:variant>
        <vt:lpwstr>_Toc202790132</vt:lpwstr>
      </vt:variant>
      <vt:variant>
        <vt:i4>1245240</vt:i4>
      </vt:variant>
      <vt:variant>
        <vt:i4>8</vt:i4>
      </vt:variant>
      <vt:variant>
        <vt:i4>0</vt:i4>
      </vt:variant>
      <vt:variant>
        <vt:i4>5</vt:i4>
      </vt:variant>
      <vt:variant>
        <vt:lpwstr/>
      </vt:variant>
      <vt:variant>
        <vt:lpwstr>_Toc202790131</vt:lpwstr>
      </vt:variant>
      <vt:variant>
        <vt:i4>1245240</vt:i4>
      </vt:variant>
      <vt:variant>
        <vt:i4>2</vt:i4>
      </vt:variant>
      <vt:variant>
        <vt:i4>0</vt:i4>
      </vt:variant>
      <vt:variant>
        <vt:i4>5</vt:i4>
      </vt:variant>
      <vt:variant>
        <vt:lpwstr/>
      </vt:variant>
      <vt:variant>
        <vt:lpwstr>_Toc202790130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Lozanova, Youlia</dc:creator>
  <cp:keywords/>
  <dc:description/>
  <cp:lastModifiedBy>Sundberg, Nancy</cp:lastModifiedBy>
  <cp:revision>4</cp:revision>
  <dcterms:created xsi:type="dcterms:W3CDTF">2025-08-28T11:54:00Z</dcterms:created>
  <dcterms:modified xsi:type="dcterms:W3CDTF">2025-08-28T12:46:00Z</dcterms:modified>
</cp:coreProperties>
</file>