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179BA" w14:textId="2886367B" w:rsidR="00E61553" w:rsidRPr="00A10B30" w:rsidRDefault="00E61553" w:rsidP="00E61553">
      <w:pPr>
        <w:jc w:val="both"/>
        <w:rPr>
          <w:rFonts w:cs="Calibri"/>
          <w:i/>
          <w:iCs/>
          <w:szCs w:val="22"/>
          <w:lang w:val="ru-RU"/>
        </w:rPr>
      </w:pPr>
      <w:r w:rsidRPr="00A10B30">
        <w:rPr>
          <w:i/>
          <w:iCs/>
          <w:lang w:val="ru-RU"/>
        </w:rPr>
        <w:t>Проект 1 Руководящих указаний ГСР-25 на основе примеров передового опыта от 25 июля 2025</w:t>
      </w:r>
      <w:r w:rsidR="004C4383">
        <w:rPr>
          <w:i/>
          <w:iCs/>
          <w:lang w:val="en-US"/>
        </w:rPr>
        <w:t> </w:t>
      </w:r>
      <w:r w:rsidRPr="00A10B30">
        <w:rPr>
          <w:i/>
          <w:iCs/>
          <w:lang w:val="ru-RU"/>
        </w:rPr>
        <w:t>года</w:t>
      </w:r>
    </w:p>
    <w:p w14:paraId="42F78B45" w14:textId="70CE85BC" w:rsidR="00E61553" w:rsidRPr="00A10B30" w:rsidRDefault="00E61553" w:rsidP="00E61553">
      <w:pPr>
        <w:pStyle w:val="Heading1"/>
        <w:ind w:left="0" w:firstLine="0"/>
        <w:rPr>
          <w:rFonts w:cs="Calibri"/>
          <w:sz w:val="28"/>
          <w:szCs w:val="28"/>
          <w:lang w:val="ru-RU"/>
        </w:rPr>
      </w:pPr>
      <w:r w:rsidRPr="00A10B30">
        <w:rPr>
          <w:lang w:val="ru-RU"/>
        </w:rPr>
        <w:t>РАСШИРЕНИЕ ВОЗМОЖНОСТЕЙ РЕГУЛЯТОРНЫХ ОРГАНОВ КАК СОЗДАТЕЛЕЙ ЦИФРОВОЙ</w:t>
      </w:r>
      <w:r>
        <w:rPr>
          <w:lang w:val="en-US"/>
        </w:rPr>
        <w:t> </w:t>
      </w:r>
      <w:r w:rsidRPr="00A10B30">
        <w:rPr>
          <w:lang w:val="ru-RU"/>
        </w:rPr>
        <w:t>ЭКОСИСТЕМЫ</w:t>
      </w:r>
    </w:p>
    <w:p w14:paraId="2DA6A079" w14:textId="1A1742F9" w:rsidR="00E61553" w:rsidRPr="00A10B30" w:rsidRDefault="00E61553" w:rsidP="00E61553">
      <w:pPr>
        <w:rPr>
          <w:rFonts w:cs="Calibri"/>
          <w:szCs w:val="23"/>
          <w:lang w:val="ru-RU"/>
        </w:rPr>
      </w:pPr>
      <w:r w:rsidRPr="00A10B30">
        <w:rPr>
          <w:lang w:val="ru-RU"/>
        </w:rPr>
        <w:t>По мере того как цифровые технологии меняют способы взаимодействия обществ, ведения ими торговли, обучения и управления, от регуляторных органов требуется нечто большее, чем просто надзор за рынками. Они должны адаптироваться, включать инновации в основу своей институциональной структуры и помогать формировать устойчивые и ориентированные на будущее цифровые экосистемы. Такая трансформация требует коренного изменения образа мышления, внедрения новых инструментов и углубления сотрудничества между отраслями</w:t>
      </w:r>
      <w:r w:rsidR="00C3283C">
        <w:rPr>
          <w:lang w:val="en-US"/>
        </w:rPr>
        <w:t> </w:t>
      </w:r>
      <w:r w:rsidRPr="00A10B30">
        <w:rPr>
          <w:lang w:val="ru-RU"/>
        </w:rPr>
        <w:t>и</w:t>
      </w:r>
      <w:r w:rsidR="00C3283C">
        <w:rPr>
          <w:lang w:val="en-US"/>
        </w:rPr>
        <w:t> </w:t>
      </w:r>
      <w:r w:rsidRPr="00A10B30">
        <w:rPr>
          <w:lang w:val="ru-RU"/>
        </w:rPr>
        <w:t>странами.</w:t>
      </w:r>
    </w:p>
    <w:p w14:paraId="6C670398" w14:textId="0EC6AFA3" w:rsidR="00E61553" w:rsidRPr="00A10B30" w:rsidRDefault="00E61553" w:rsidP="00E61553">
      <w:pPr>
        <w:rPr>
          <w:rFonts w:cs="Calibri"/>
          <w:szCs w:val="23"/>
          <w:lang w:val="ru-RU"/>
        </w:rPr>
      </w:pPr>
      <w:r w:rsidRPr="00A10B30">
        <w:rPr>
          <w:lang w:val="ru-RU"/>
        </w:rPr>
        <w:t>Опираясь на разрабатывавшиеся в течение двух десятилетий Руководящие указания ГСР на основе примеров передового опыта, которые помогали определить разумные принципы регулирования и содействовать созданию благоприятной среды, мы, представители регуляторных органов, участвующие в Глобальном симпозиуме для регуляторных органов 2025</w:t>
      </w:r>
      <w:r w:rsidR="00C3283C">
        <w:rPr>
          <w:lang w:val="en-US"/>
        </w:rPr>
        <w:t> </w:t>
      </w:r>
      <w:r w:rsidRPr="00A10B30">
        <w:rPr>
          <w:lang w:val="ru-RU"/>
        </w:rPr>
        <w:t>года, признаем безотлагательный характер этого изменения. Реагирование на существующие проблемы вызовы и подготовка к будущим требует, чтобы регуляторные органы взяли на себя роль создателей цифровых</w:t>
      </w:r>
      <w:r w:rsidR="003E322A">
        <w:rPr>
          <w:lang w:val="en-US"/>
        </w:rPr>
        <w:t> </w:t>
      </w:r>
      <w:r w:rsidRPr="00A10B30">
        <w:rPr>
          <w:lang w:val="ru-RU"/>
        </w:rPr>
        <w:t>экосистем.</w:t>
      </w:r>
    </w:p>
    <w:p w14:paraId="4701BC8E" w14:textId="77777777" w:rsidR="00E61553" w:rsidRPr="00A10B30" w:rsidRDefault="00E61553" w:rsidP="00E61553">
      <w:pPr>
        <w:rPr>
          <w:rFonts w:cs="Calibri"/>
          <w:szCs w:val="23"/>
          <w:lang w:val="ru-RU"/>
        </w:rPr>
      </w:pPr>
      <w:r w:rsidRPr="00A10B30">
        <w:rPr>
          <w:lang w:val="ru-RU"/>
        </w:rPr>
        <w:t>Эти руководящие указания отражают нашу общую приверженность: они основаны на национальном опыте, ориентированы на глобальную перспективу и направлены на обеспечение применения ориентированных на будущее передовых практик в области регулирования в интересах цифрового будущего, в котором никто не будет забыт.</w:t>
      </w:r>
    </w:p>
    <w:p w14:paraId="28AB6170" w14:textId="41D14553" w:rsidR="00E61553" w:rsidRPr="00A10B30" w:rsidRDefault="00E61553" w:rsidP="00E61553">
      <w:pPr>
        <w:pStyle w:val="Heading3"/>
        <w:ind w:left="567" w:hanging="567"/>
        <w:rPr>
          <w:lang w:val="ru-RU"/>
        </w:rPr>
      </w:pPr>
      <w:bookmarkStart w:id="0" w:name="_Toc202790130"/>
      <w:bookmarkStart w:id="1" w:name="_Toc204701735"/>
      <w:r>
        <w:rPr>
          <w:bCs/>
          <w:lang w:val="en-US"/>
        </w:rPr>
        <w:t>I</w:t>
      </w:r>
      <w:r w:rsidRPr="00E61553">
        <w:rPr>
          <w:bCs/>
          <w:lang w:val="ru-RU"/>
        </w:rPr>
        <w:tab/>
      </w:r>
      <w:r w:rsidRPr="00A10B30">
        <w:rPr>
          <w:bCs/>
          <w:lang w:val="ru-RU"/>
        </w:rPr>
        <w:t>СОДЕЙСТВИЕ ИННОВАЦИЯМ В РЕГУЛЯТОРНЫХ ПОДХОДАХ</w:t>
      </w:r>
      <w:bookmarkEnd w:id="0"/>
      <w:bookmarkEnd w:id="1"/>
    </w:p>
    <w:p w14:paraId="51C5D4F6" w14:textId="77777777" w:rsidR="00E61553" w:rsidRPr="00337397" w:rsidRDefault="00E61553" w:rsidP="00E61553">
      <w:pPr>
        <w:pStyle w:val="Headingb"/>
        <w:rPr>
          <w:lang w:val="ru-RU"/>
        </w:rPr>
      </w:pPr>
      <w:bookmarkStart w:id="2" w:name="_Toc202790131"/>
      <w:bookmarkStart w:id="3" w:name="_Toc204701736"/>
      <w:r w:rsidRPr="00A10B30">
        <w:rPr>
          <w:lang w:val="ru-RU"/>
        </w:rPr>
        <w:t>Включение инноваций в основные виды деятельности в сфере регулирования</w:t>
      </w:r>
      <w:bookmarkEnd w:id="2"/>
      <w:bookmarkEnd w:id="3"/>
    </w:p>
    <w:p w14:paraId="2D87C1F4" w14:textId="77777777" w:rsidR="00E61553" w:rsidRPr="00A10B30" w:rsidRDefault="00E61553" w:rsidP="00E61553">
      <w:pPr>
        <w:rPr>
          <w:rFonts w:cs="Calibri"/>
          <w:szCs w:val="23"/>
          <w:lang w:val="ru-RU"/>
        </w:rPr>
      </w:pPr>
      <w:r w:rsidRPr="00A10B30">
        <w:rPr>
          <w:lang w:val="ru-RU"/>
        </w:rPr>
        <w:t>Регуляторным органам следует рассматривать инновации не как вспомогательное направление, а как основную составляющую процесса разработки и осуществления регулирования. Важно институционализировать экспериментальную деятельность путем включения пилотных проектов в годовые планы работы, использования регуляторных экспериментальных сред и тестирования упрощения правил перед их полномасштабным внедрением. Также предлагается предусматривать возможность неудач, признавая, что не каждая инновация увенчается успехом, но каждая попытка дает ценные знания, укрепляющие будущие регуляторные подходы.</w:t>
      </w:r>
    </w:p>
    <w:p w14:paraId="4C286649" w14:textId="77777777" w:rsidR="00E61553" w:rsidRPr="00A10B30" w:rsidRDefault="00E61553" w:rsidP="00E61553">
      <w:pPr>
        <w:pStyle w:val="Headingb"/>
        <w:rPr>
          <w:lang w:val="ru-RU"/>
        </w:rPr>
      </w:pPr>
      <w:bookmarkStart w:id="4" w:name="_Toc202790132"/>
      <w:bookmarkStart w:id="5" w:name="_Toc204701737"/>
      <w:r w:rsidRPr="00A10B30">
        <w:rPr>
          <w:lang w:val="ru-RU"/>
        </w:rPr>
        <w:t xml:space="preserve">Развитие ориентированных на будущее навыков и </w:t>
      </w:r>
      <w:bookmarkEnd w:id="4"/>
      <w:r w:rsidRPr="00A10B30">
        <w:rPr>
          <w:lang w:val="ru-RU"/>
        </w:rPr>
        <w:t>образов мышления</w:t>
      </w:r>
      <w:bookmarkEnd w:id="5"/>
    </w:p>
    <w:p w14:paraId="44E8E4A6" w14:textId="53D007E5" w:rsidR="00E61553" w:rsidRPr="00A10B30" w:rsidRDefault="00E61553" w:rsidP="00E61553">
      <w:pPr>
        <w:rPr>
          <w:rFonts w:cs="Calibri"/>
          <w:szCs w:val="23"/>
          <w:lang w:val="ru-RU"/>
        </w:rPr>
      </w:pPr>
      <w:r w:rsidRPr="00A10B30">
        <w:rPr>
          <w:lang w:val="ru-RU"/>
        </w:rPr>
        <w:t>Помимо технических знаний в области цифровых новых и появляющихся технологий, таких как ИИ, IoT, новые космические технологии и блокчейн, регуляторным органам необходимы навыки в области моделирования стратегий и поведения людей, а также системного мышления. Следует формировать гибкую, ориентированную на будущее культуру регулирования, внедряя в институциональные процедуры непрерывное взаимное обучение и междисциплинарное</w:t>
      </w:r>
      <w:r w:rsidR="003E322A">
        <w:rPr>
          <w:lang w:val="en-US"/>
        </w:rPr>
        <w:t> </w:t>
      </w:r>
      <w:r w:rsidRPr="00A10B30">
        <w:rPr>
          <w:lang w:val="ru-RU"/>
        </w:rPr>
        <w:t>сотрудничество.</w:t>
      </w:r>
    </w:p>
    <w:p w14:paraId="35987DE3" w14:textId="77777777" w:rsidR="00E61553" w:rsidRPr="00A10B30" w:rsidRDefault="00E61553" w:rsidP="00E61553">
      <w:pPr>
        <w:pStyle w:val="Headingb"/>
        <w:rPr>
          <w:lang w:val="ru-RU"/>
        </w:rPr>
      </w:pPr>
      <w:bookmarkStart w:id="6" w:name="_Toc202790133"/>
      <w:bookmarkStart w:id="7" w:name="_Toc204701738"/>
      <w:r w:rsidRPr="00A10B30">
        <w:rPr>
          <w:lang w:val="ru-RU"/>
        </w:rPr>
        <w:t>Гибкость и прогнозирование</w:t>
      </w:r>
      <w:bookmarkEnd w:id="6"/>
      <w:r w:rsidRPr="00A10B30">
        <w:rPr>
          <w:lang w:val="ru-RU"/>
        </w:rPr>
        <w:t xml:space="preserve"> в регулировании</w:t>
      </w:r>
      <w:bookmarkEnd w:id="7"/>
    </w:p>
    <w:p w14:paraId="36222F2E" w14:textId="4195B1FE" w:rsidR="00E61553" w:rsidRPr="00A10B30" w:rsidRDefault="00E61553" w:rsidP="00E61553">
      <w:pPr>
        <w:rPr>
          <w:rFonts w:cs="Calibri"/>
          <w:szCs w:val="23"/>
          <w:lang w:val="ru-RU"/>
        </w:rPr>
      </w:pPr>
      <w:r w:rsidRPr="00A10B30">
        <w:rPr>
          <w:lang w:val="ru-RU"/>
        </w:rPr>
        <w:t>Предлагается внедрять гибкие модели, такие как регулирование, ориентированное на результаты, многоуровневое лицензирование и положения о прекращении действия, с тем чтобы обеспечить возможность принятия адаптивных ответных мер регулирования в условиях развития технологий и рынков. Следует направлять инновации, а не просто реагировать на них, используя данные, стратегическое прогнозирование, обзор перспектив и упреждающие подходы для более эффективного выявления появляющихся рисков и</w:t>
      </w:r>
      <w:r>
        <w:rPr>
          <w:lang w:val="en-US"/>
        </w:rPr>
        <w:t> </w:t>
      </w:r>
      <w:r w:rsidRPr="00A10B30">
        <w:rPr>
          <w:lang w:val="ru-RU"/>
        </w:rPr>
        <w:t>возможностей.</w:t>
      </w:r>
    </w:p>
    <w:p w14:paraId="5878B6A6" w14:textId="77777777" w:rsidR="00E61553" w:rsidRPr="00A10B30" w:rsidRDefault="00E61553" w:rsidP="00E61553">
      <w:pPr>
        <w:pStyle w:val="Headingb"/>
        <w:rPr>
          <w:lang w:val="ru-RU"/>
        </w:rPr>
      </w:pPr>
      <w:bookmarkStart w:id="8" w:name="_Toc202790134"/>
      <w:bookmarkStart w:id="9" w:name="_Toc204701739"/>
      <w:r w:rsidRPr="00A10B30">
        <w:rPr>
          <w:lang w:val="ru-RU"/>
        </w:rPr>
        <w:lastRenderedPageBreak/>
        <w:t>Сотрудничество в интересах инноваций</w:t>
      </w:r>
      <w:bookmarkEnd w:id="8"/>
      <w:bookmarkEnd w:id="9"/>
    </w:p>
    <w:p w14:paraId="2A03EE53" w14:textId="1DB4B75F" w:rsidR="00E61553" w:rsidRPr="00A10B30" w:rsidRDefault="00E61553" w:rsidP="00E61553">
      <w:pPr>
        <w:rPr>
          <w:rFonts w:cs="Calibri"/>
          <w:szCs w:val="23"/>
          <w:lang w:val="ru-RU"/>
        </w:rPr>
      </w:pPr>
      <w:r w:rsidRPr="00A10B30">
        <w:rPr>
          <w:lang w:val="ru-RU"/>
        </w:rPr>
        <w:t>Предлагается переходить от разовых консультаций к структурированному сотрудничеству по решению проблем между правительственными органами, участниками рынка, академическими организациями и структурами гражданского общества в различных отраслях. Следует совместно создавать надежные и гибкие решения для согласования точек зрения и объединения знаний в рамках совместного управления. Рекомендуется согласовывать политику и предотвращать противоречия в правилах, внедряя механизмы межсекторальной</w:t>
      </w:r>
      <w:r w:rsidR="00C3283C">
        <w:rPr>
          <w:lang w:val="en-US"/>
        </w:rPr>
        <w:t> </w:t>
      </w:r>
      <w:r w:rsidRPr="00A10B30">
        <w:rPr>
          <w:lang w:val="ru-RU"/>
        </w:rPr>
        <w:t>координации.</w:t>
      </w:r>
    </w:p>
    <w:p w14:paraId="73DAAED4" w14:textId="145D694E" w:rsidR="00E61553" w:rsidRPr="00A10B30" w:rsidRDefault="00E61553" w:rsidP="00E61553">
      <w:pPr>
        <w:pStyle w:val="Heading3"/>
        <w:ind w:left="567" w:hanging="567"/>
        <w:rPr>
          <w:lang w:val="ru-RU"/>
        </w:rPr>
      </w:pPr>
      <w:bookmarkStart w:id="10" w:name="_Toc202790135"/>
      <w:bookmarkStart w:id="11" w:name="_Toc204701740"/>
      <w:r w:rsidRPr="00A10B30">
        <w:rPr>
          <w:bCs/>
          <w:lang w:val="ru-RU"/>
        </w:rPr>
        <w:t>I</w:t>
      </w:r>
      <w:r>
        <w:rPr>
          <w:bCs/>
          <w:lang w:val="en-US"/>
        </w:rPr>
        <w:t>I</w:t>
      </w:r>
      <w:r w:rsidRPr="00A10B30">
        <w:rPr>
          <w:lang w:val="ru-RU"/>
        </w:rPr>
        <w:tab/>
      </w:r>
      <w:r w:rsidRPr="00A10B30">
        <w:rPr>
          <w:bCs/>
          <w:lang w:val="ru-RU"/>
        </w:rPr>
        <w:t>АДАПТАЦИЯ И УКРЕПЛЕНИЕ РЕГУЛЯТОРНОГО ПОТЕНЦИАЛА</w:t>
      </w:r>
      <w:bookmarkEnd w:id="10"/>
      <w:bookmarkEnd w:id="11"/>
    </w:p>
    <w:p w14:paraId="27720290" w14:textId="77777777" w:rsidR="00E61553" w:rsidRPr="00A10B30" w:rsidRDefault="00E61553" w:rsidP="00E61553">
      <w:pPr>
        <w:pStyle w:val="Headingb"/>
        <w:rPr>
          <w:lang w:val="ru-RU"/>
        </w:rPr>
      </w:pPr>
      <w:bookmarkStart w:id="12" w:name="_Toc202790136"/>
      <w:bookmarkStart w:id="13" w:name="_Toc204701741"/>
      <w:r w:rsidRPr="00A10B30">
        <w:rPr>
          <w:lang w:val="ru-RU"/>
        </w:rPr>
        <w:t xml:space="preserve">Обновление мандатов с учетом </w:t>
      </w:r>
      <w:bookmarkEnd w:id="12"/>
      <w:r w:rsidRPr="00A10B30">
        <w:rPr>
          <w:lang w:val="ru-RU"/>
        </w:rPr>
        <w:t>актуальной ситуации в сфере цифровых технологий</w:t>
      </w:r>
      <w:bookmarkEnd w:id="13"/>
    </w:p>
    <w:p w14:paraId="5BD9186A" w14:textId="3D4B7CDD" w:rsidR="00E61553" w:rsidRPr="00A10B30" w:rsidRDefault="00E61553" w:rsidP="00E61553">
      <w:pPr>
        <w:rPr>
          <w:rFonts w:cs="Calibri"/>
          <w:szCs w:val="23"/>
          <w:lang w:val="ru-RU"/>
        </w:rPr>
      </w:pPr>
      <w:r w:rsidRPr="00A10B30">
        <w:rPr>
          <w:lang w:val="ru-RU"/>
        </w:rPr>
        <w:t>Следует обеспечить, чтобы мандаты регуляторных органов отражали конвергенцию инфраструктуры, контента и услуг. Для этого может потребоваться надзор за цифровыми платформами, управлением данными или ИИ, а также межсекторальная координация для снижения фрагментированности и повышения эффективности достижения общественно значимых целей. Это также требует политической, оперативной и финансовой независимости для обеспечения возможности долгосрочного планирования, принятия беспристрастных решений и последовательного правоприменения вне рамок политических или рыночных</w:t>
      </w:r>
      <w:r w:rsidR="00C3283C">
        <w:rPr>
          <w:lang w:val="en-US"/>
        </w:rPr>
        <w:t> </w:t>
      </w:r>
      <w:r w:rsidRPr="00A10B30">
        <w:rPr>
          <w:lang w:val="ru-RU"/>
        </w:rPr>
        <w:t>циклов.</w:t>
      </w:r>
    </w:p>
    <w:p w14:paraId="328A8D00" w14:textId="77777777" w:rsidR="00E61553" w:rsidRPr="00A10B30" w:rsidRDefault="00E61553" w:rsidP="00E61553">
      <w:pPr>
        <w:pStyle w:val="Headingb"/>
        <w:rPr>
          <w:lang w:val="ru-RU"/>
        </w:rPr>
      </w:pPr>
      <w:bookmarkStart w:id="14" w:name="_Toc202790137"/>
      <w:bookmarkStart w:id="15" w:name="_Toc204701742"/>
      <w:r w:rsidRPr="00A10B30">
        <w:rPr>
          <w:lang w:val="ru-RU"/>
        </w:rPr>
        <w:t>Инвестиции в стратегический потенциал</w:t>
      </w:r>
      <w:bookmarkEnd w:id="14"/>
      <w:bookmarkEnd w:id="15"/>
    </w:p>
    <w:p w14:paraId="08500176" w14:textId="34CC00E4" w:rsidR="00E61553" w:rsidRPr="00E61553" w:rsidRDefault="00E61553" w:rsidP="00E61553">
      <w:pPr>
        <w:rPr>
          <w:rFonts w:cs="Calibri"/>
          <w:szCs w:val="23"/>
          <w:lang w:val="ru-RU"/>
        </w:rPr>
      </w:pPr>
      <w:r w:rsidRPr="00A10B30">
        <w:rPr>
          <w:lang w:val="ru-RU"/>
        </w:rPr>
        <w:t>Следует выходить за рамки исключительно технической модернизации. Необходимо обеспечивать устойчивое инвестирование в людские и финансовые ресурсы, необходимые для поддержания и расширения этих инструментов как части основной деятельности в области регулирования. Рекомендуется создавать многопрофильные группы, организовывать внутренние подразделения по прогнозированию и анализу данных, а также оптимизировать координацию между отделами. Также рекомендуется устанавливать партнерские отношения с академическими организациями и аналитическими центрами для поддержки непрерывного обучения и повышения осведомленности о регуляторной</w:t>
      </w:r>
      <w:r>
        <w:rPr>
          <w:lang w:val="en-US"/>
        </w:rPr>
        <w:t> </w:t>
      </w:r>
      <w:r w:rsidRPr="00A10B30">
        <w:rPr>
          <w:lang w:val="ru-RU"/>
        </w:rPr>
        <w:t>деятельности.</w:t>
      </w:r>
    </w:p>
    <w:p w14:paraId="4C351C0C" w14:textId="77777777" w:rsidR="00E61553" w:rsidRPr="00A10B30" w:rsidRDefault="00E61553" w:rsidP="00E61553">
      <w:pPr>
        <w:pStyle w:val="Headingb"/>
        <w:rPr>
          <w:lang w:val="ru-RU"/>
        </w:rPr>
      </w:pPr>
      <w:bookmarkStart w:id="16" w:name="_Toc202790138"/>
      <w:bookmarkStart w:id="17" w:name="_Toc204701743"/>
      <w:r w:rsidRPr="00A10B30">
        <w:rPr>
          <w:lang w:val="ru-RU"/>
        </w:rPr>
        <w:t>Принятие инклюзивных решений на основе фактических данных</w:t>
      </w:r>
      <w:bookmarkEnd w:id="16"/>
      <w:bookmarkEnd w:id="17"/>
    </w:p>
    <w:p w14:paraId="2C81E2C3" w14:textId="77777777" w:rsidR="00E61553" w:rsidRPr="00A10B30" w:rsidRDefault="00E61553" w:rsidP="00E61553">
      <w:pPr>
        <w:rPr>
          <w:rFonts w:cs="Calibri"/>
          <w:szCs w:val="23"/>
          <w:lang w:val="ru-RU"/>
        </w:rPr>
      </w:pPr>
      <w:r w:rsidRPr="00A10B30">
        <w:rPr>
          <w:lang w:val="ru-RU"/>
        </w:rPr>
        <w:t>Необходимо укреплять регуляторный потенциал для принятия решений с учетом данных и рисков. Для обоснования принятия решений следует использовать платформы данных, аналитику при помощи ИИ и вклады заинтересованных сторон, в особенности из недостаточно обслуживаемых групп населения и местных новаторов. Правила рекомендуется приводить в соответствие с реальными условиями с помощью оценки регуляторного воздействия и поэтапного внедрения.</w:t>
      </w:r>
    </w:p>
    <w:p w14:paraId="0DE51202" w14:textId="77777777" w:rsidR="00E61553" w:rsidRPr="00A10B30" w:rsidRDefault="00E61553" w:rsidP="00E61553">
      <w:pPr>
        <w:pStyle w:val="Headingb"/>
        <w:rPr>
          <w:lang w:val="ru-RU"/>
        </w:rPr>
      </w:pPr>
      <w:bookmarkStart w:id="18" w:name="_Toc202790139"/>
      <w:bookmarkStart w:id="19" w:name="_Toc204701744"/>
      <w:r w:rsidRPr="00A10B30">
        <w:rPr>
          <w:lang w:val="ru-RU"/>
        </w:rPr>
        <w:t>Институционализация сотрудничества</w:t>
      </w:r>
      <w:bookmarkEnd w:id="18"/>
      <w:bookmarkEnd w:id="19"/>
    </w:p>
    <w:p w14:paraId="27F08EED" w14:textId="77777777" w:rsidR="00E61553" w:rsidRDefault="00E61553" w:rsidP="00E61553">
      <w:pPr>
        <w:rPr>
          <w:lang w:val="fr-FR"/>
        </w:rPr>
      </w:pPr>
      <w:r w:rsidRPr="00A10B30">
        <w:rPr>
          <w:lang w:val="ru-RU"/>
        </w:rPr>
        <w:t>Рекомендуется координировать деятельность в различных секторах и юрисдикциях в рамках совместных целевых групп, совместных регуляторных практикумов и межведомственных рабочих групп. Предлагается использовать разработанный МСЭ основанный на совместном управлении подход для разработки скоординированных и адаптивных решений для сложных проблем экосистемы. Подход, предполагающий вовлечение всех правительственных органов, становится обязательным; крайне важно обеспечить согласованность национальной цифровой политики и результативного управления сложными цифровыми экосистемами.</w:t>
      </w:r>
    </w:p>
    <w:p w14:paraId="5BA33178" w14:textId="77777777" w:rsidR="00337397" w:rsidRPr="00A10B30" w:rsidRDefault="00337397" w:rsidP="00337397">
      <w:pPr>
        <w:rPr>
          <w:rFonts w:cs="Calibri"/>
          <w:szCs w:val="23"/>
          <w:lang w:val="ru-RU"/>
        </w:rPr>
      </w:pPr>
      <w:r w:rsidRPr="00337397">
        <w:rPr>
          <w:lang w:val="ru-RU"/>
        </w:rPr>
        <w:t>Следует признать необходимость инновационных инвестиционных моделей для поддержки устойчивого развертывания электросвязи/ИКТ и цифровой инфраструктуры. В</w:t>
      </w:r>
      <w:r w:rsidRPr="00337397">
        <w:rPr>
          <w:lang w:val="en-US"/>
        </w:rPr>
        <w:t> </w:t>
      </w:r>
      <w:r w:rsidRPr="00337397">
        <w:rPr>
          <w:lang w:val="ru-RU"/>
        </w:rPr>
        <w:t>свете сохраняющихся проблем финансирования в обслуживаемых в недостаточной степени районах мы призываем разрабатывать инклюзивные политические и регуляторные подходы, которые создадут благоприятную среду для формирования партнерств в рамках государственного сектора и государственно-частных партнерств, сотрудничества между различными правительственными органами и долгосрочного цифрового развития.</w:t>
      </w:r>
    </w:p>
    <w:p w14:paraId="52A7D66A" w14:textId="77777777" w:rsidR="00E61553" w:rsidRPr="00A10B30" w:rsidRDefault="00E61553" w:rsidP="00E61553">
      <w:pPr>
        <w:pStyle w:val="Headingb"/>
        <w:rPr>
          <w:lang w:val="ru-RU"/>
        </w:rPr>
      </w:pPr>
      <w:bookmarkStart w:id="20" w:name="_Toc202790140"/>
      <w:bookmarkStart w:id="21" w:name="_Toc204701745"/>
      <w:r w:rsidRPr="00A10B30">
        <w:rPr>
          <w:lang w:val="ru-RU"/>
        </w:rPr>
        <w:lastRenderedPageBreak/>
        <w:t>Использование потенциала совместного регулирования и саморегулирования</w:t>
      </w:r>
      <w:bookmarkEnd w:id="20"/>
      <w:bookmarkEnd w:id="21"/>
    </w:p>
    <w:p w14:paraId="0BD982D1" w14:textId="77777777" w:rsidR="00E61553" w:rsidRPr="00A10B30" w:rsidRDefault="00E61553" w:rsidP="00E61553">
      <w:pPr>
        <w:rPr>
          <w:rFonts w:cs="Calibri"/>
          <w:szCs w:val="23"/>
          <w:lang w:val="ru-RU"/>
        </w:rPr>
      </w:pPr>
      <w:r w:rsidRPr="00A10B30">
        <w:rPr>
          <w:lang w:val="ru-RU"/>
        </w:rPr>
        <w:t>В надлежащих случаях рекомендуется делегировать задачи доверенным партнерам с четкими механизмами подотчетности. Следует поддерживать совместное регулирование с экспертными учреждениями, структурами гражданского общества или отраслевыми организациями, в особенности в таких стремительно развивающихся областях, как кибербезопасность, ИИ и управление данными.</w:t>
      </w:r>
    </w:p>
    <w:p w14:paraId="327C4B64" w14:textId="77777777" w:rsidR="00E61553" w:rsidRPr="00A10B30" w:rsidRDefault="00E61553" w:rsidP="00E61553">
      <w:pPr>
        <w:pStyle w:val="Headingb"/>
        <w:rPr>
          <w:lang w:val="ru-RU"/>
        </w:rPr>
      </w:pPr>
      <w:bookmarkStart w:id="22" w:name="_Toc202790141"/>
      <w:bookmarkStart w:id="23" w:name="_Toc204701746"/>
      <w:r w:rsidRPr="00A10B30">
        <w:rPr>
          <w:lang w:val="ru-RU"/>
        </w:rPr>
        <w:t>Формирование цифровых инноваций в интересах общества</w:t>
      </w:r>
      <w:bookmarkEnd w:id="22"/>
      <w:bookmarkEnd w:id="23"/>
    </w:p>
    <w:p w14:paraId="65650F65" w14:textId="2B4E3DD8" w:rsidR="00E61553" w:rsidRPr="00C3283C" w:rsidRDefault="00E61553" w:rsidP="00E61553">
      <w:pPr>
        <w:rPr>
          <w:rFonts w:cs="Calibri"/>
          <w:lang w:val="ru-RU"/>
        </w:rPr>
      </w:pPr>
      <w:r w:rsidRPr="00A10B30">
        <w:rPr>
          <w:lang w:val="ru-RU"/>
        </w:rPr>
        <w:t>Регулирование должно не только содействовать инновациям, но и направлять их в интересах социальной интеграции, защиты прав и устойчивости. Следует обеспечить приведение стимулов в соответствие с инвестициями в обслуживаемых в недостаточной степени районах, реальную возможность установления соединений и развитие цифровой инфраструктуры общего пользования для того, чтобы технологии приносили ощутимую пользу людям и</w:t>
      </w:r>
      <w:r w:rsidR="00C3283C">
        <w:rPr>
          <w:lang w:val="en-US"/>
        </w:rPr>
        <w:t> </w:t>
      </w:r>
      <w:r w:rsidRPr="00A10B30">
        <w:rPr>
          <w:lang w:val="ru-RU"/>
        </w:rPr>
        <w:t>сообществам.</w:t>
      </w:r>
    </w:p>
    <w:p w14:paraId="710C8E40" w14:textId="77777777" w:rsidR="00E61553" w:rsidRPr="00A10B30" w:rsidRDefault="00E61553" w:rsidP="00E61553">
      <w:pPr>
        <w:pStyle w:val="Heading3"/>
        <w:ind w:left="567" w:hanging="567"/>
        <w:rPr>
          <w:lang w:val="ru-RU"/>
        </w:rPr>
      </w:pPr>
      <w:bookmarkStart w:id="24" w:name="_Toc202790142"/>
      <w:bookmarkStart w:id="25" w:name="_Toc204701747"/>
      <w:r w:rsidRPr="00A10B30">
        <w:rPr>
          <w:bCs/>
          <w:lang w:val="ru-RU"/>
        </w:rPr>
        <w:t>III</w:t>
      </w:r>
      <w:r w:rsidRPr="00A10B30">
        <w:rPr>
          <w:lang w:val="ru-RU"/>
        </w:rPr>
        <w:tab/>
      </w:r>
      <w:r w:rsidRPr="00A10B30">
        <w:rPr>
          <w:bCs/>
          <w:lang w:val="ru-RU"/>
        </w:rPr>
        <w:t>ИСПОЛЬЗОВАНИЕ ПОЯВЛЯЮЩИХСЯ ТЕХНОЛОГИЙ ДЛЯ СОВЕРШЕНСТВОВАНИЯ РЕГУЛИРОВАНИЯ</w:t>
      </w:r>
      <w:bookmarkEnd w:id="24"/>
      <w:bookmarkEnd w:id="25"/>
    </w:p>
    <w:p w14:paraId="09BA110F" w14:textId="77777777" w:rsidR="00E61553" w:rsidRPr="00A10B30" w:rsidRDefault="00E61553" w:rsidP="00E61553">
      <w:pPr>
        <w:pStyle w:val="Headingb"/>
        <w:rPr>
          <w:lang w:val="ru-RU"/>
        </w:rPr>
      </w:pPr>
      <w:bookmarkStart w:id="26" w:name="_Toc202790143"/>
      <w:bookmarkStart w:id="27" w:name="_Toc204701748"/>
      <w:r w:rsidRPr="00A10B30">
        <w:rPr>
          <w:lang w:val="ru-RU"/>
        </w:rPr>
        <w:t>Использование цифровых инструментов на протяжении всего цикла регулирования</w:t>
      </w:r>
      <w:bookmarkEnd w:id="26"/>
      <w:bookmarkEnd w:id="27"/>
    </w:p>
    <w:p w14:paraId="422D1DD4" w14:textId="1A6347F1" w:rsidR="00E61553" w:rsidRPr="00A10B30" w:rsidRDefault="00E61553" w:rsidP="00E61553">
      <w:pPr>
        <w:rPr>
          <w:rFonts w:cs="Calibri"/>
          <w:szCs w:val="23"/>
          <w:lang w:val="ru-RU"/>
        </w:rPr>
      </w:pPr>
      <w:r w:rsidRPr="00A10B30">
        <w:rPr>
          <w:lang w:val="ru-RU"/>
        </w:rPr>
        <w:t>Необходимо включать появляющиеся технологии, такие как ИИ, большие данные, блокчейн и IoT, в системы регуляторного надзора, соблюдения требований и принятия решений не в качестве дополнительных возможностей, а в их основы. Примерами могут служить регулирование на основе данных, мониторинг спектра в режиме реального времени, автоматические оповещения о соответствии требованиям и "умные" системы лицензирования, а также другие применения RegTech</w:t>
      </w:r>
      <w:r w:rsidR="003E322A">
        <w:rPr>
          <w:lang w:val="en-US"/>
        </w:rPr>
        <w:t> </w:t>
      </w:r>
      <w:r w:rsidRPr="00A10B30">
        <w:rPr>
          <w:lang w:val="ru-RU"/>
        </w:rPr>
        <w:t>и SupReg.</w:t>
      </w:r>
    </w:p>
    <w:p w14:paraId="57DE1C64" w14:textId="77777777" w:rsidR="00E61553" w:rsidRPr="00A10B30" w:rsidRDefault="00E61553" w:rsidP="00E61553">
      <w:pPr>
        <w:pStyle w:val="Headingb"/>
        <w:rPr>
          <w:lang w:val="ru-RU"/>
        </w:rPr>
      </w:pPr>
      <w:bookmarkStart w:id="28" w:name="_Toc202790144"/>
      <w:bookmarkStart w:id="29" w:name="_Toc204701749"/>
      <w:r w:rsidRPr="00A10B30">
        <w:rPr>
          <w:lang w:val="ru-RU"/>
        </w:rPr>
        <w:t>Использование данных для адаптивного надзора</w:t>
      </w:r>
      <w:bookmarkEnd w:id="28"/>
      <w:bookmarkEnd w:id="29"/>
    </w:p>
    <w:p w14:paraId="7EF40204" w14:textId="73E5EC8E" w:rsidR="00E61553" w:rsidRPr="00A10B30" w:rsidRDefault="00E61553" w:rsidP="00E61553">
      <w:pPr>
        <w:rPr>
          <w:rFonts w:cs="Calibri"/>
          <w:szCs w:val="23"/>
          <w:lang w:val="ru-RU"/>
        </w:rPr>
      </w:pPr>
      <w:r w:rsidRPr="00A10B30">
        <w:rPr>
          <w:lang w:val="ru-RU"/>
        </w:rPr>
        <w:t>Рекомендуется создавать интегрированные системы данных, объединяющие представления участников рынка, показания датчиков и отзывы, получаемые от широкой аудитории. Необходимо обнаруживать пробелы в обслуживании, своевременно выявлять риски и содействовать целевому принятию мер, используя информационные панели и аналитические</w:t>
      </w:r>
      <w:r w:rsidR="00C3283C">
        <w:rPr>
          <w:lang w:val="en-US"/>
        </w:rPr>
        <w:t> </w:t>
      </w:r>
      <w:r w:rsidRPr="00A10B30">
        <w:rPr>
          <w:lang w:val="ru-RU"/>
        </w:rPr>
        <w:t>инструменты.</w:t>
      </w:r>
    </w:p>
    <w:p w14:paraId="71FE3D8D" w14:textId="77777777" w:rsidR="00E61553" w:rsidRPr="00A10B30" w:rsidRDefault="00E61553" w:rsidP="00E61553">
      <w:pPr>
        <w:pStyle w:val="Headingb"/>
        <w:rPr>
          <w:lang w:val="ru-RU"/>
        </w:rPr>
      </w:pPr>
      <w:bookmarkStart w:id="30" w:name="_Toc202790145"/>
      <w:bookmarkStart w:id="31" w:name="_Toc204701750"/>
      <w:r w:rsidRPr="00A10B30">
        <w:rPr>
          <w:lang w:val="ru-RU"/>
        </w:rPr>
        <w:t>Модернизация участия с помощью технологий</w:t>
      </w:r>
      <w:bookmarkEnd w:id="30"/>
      <w:bookmarkEnd w:id="31"/>
    </w:p>
    <w:p w14:paraId="418C2BDB" w14:textId="77777777" w:rsidR="00E61553" w:rsidRPr="00A10B30" w:rsidRDefault="00E61553" w:rsidP="00E61553">
      <w:pPr>
        <w:rPr>
          <w:rFonts w:cs="Calibri"/>
          <w:szCs w:val="23"/>
          <w:lang w:val="ru-RU"/>
        </w:rPr>
      </w:pPr>
      <w:r w:rsidRPr="00A10B30">
        <w:rPr>
          <w:lang w:val="ru-RU"/>
        </w:rPr>
        <w:t>Рекомендуется представлять цифровые порталы, платформы открытых данных и мобильные инструменты для обеспечения прозрачности решений и упрощения участия, в особенности для пользователей в обслуживаемых в недостаточной степени или отдаленных сообществах. Следует совершенствовать доступ и сбор обратной связи с помощью таких инструментов, как чат-боты на базе ИИ или информационные панели на основе карт. Важно оптимизировать и упростить процессы регулирования для отрасли с целью снижения затрат на соблюдение требований и повышения удобства ведения бизнеса при сохранении контроля.</w:t>
      </w:r>
    </w:p>
    <w:p w14:paraId="397B3E1C" w14:textId="77777777" w:rsidR="00E61553" w:rsidRPr="00A10B30" w:rsidRDefault="00E61553" w:rsidP="00E61553">
      <w:pPr>
        <w:pStyle w:val="Headingb"/>
        <w:rPr>
          <w:lang w:val="ru-RU"/>
        </w:rPr>
      </w:pPr>
      <w:bookmarkStart w:id="32" w:name="_Toc202790146"/>
      <w:bookmarkStart w:id="33" w:name="_Toc204701751"/>
      <w:r w:rsidRPr="00A10B30">
        <w:rPr>
          <w:lang w:val="ru-RU"/>
        </w:rPr>
        <w:t>Институционализация сотрудничества</w:t>
      </w:r>
      <w:bookmarkEnd w:id="32"/>
      <w:bookmarkEnd w:id="33"/>
    </w:p>
    <w:p w14:paraId="480A91F0" w14:textId="5D44CCA6" w:rsidR="00E61553" w:rsidRPr="00A10B30" w:rsidRDefault="00E61553" w:rsidP="00E61553">
      <w:pPr>
        <w:rPr>
          <w:rFonts w:cs="Calibri"/>
          <w:szCs w:val="23"/>
          <w:lang w:val="ru-RU"/>
        </w:rPr>
      </w:pPr>
      <w:r w:rsidRPr="00A10B30">
        <w:rPr>
          <w:lang w:val="ru-RU"/>
        </w:rPr>
        <w:t>Перед официальным принятием регуляторных мер следует проводить их тестирование с помощью инструментов экспериментальных сред, практикумов на основе реальных данных, моделей и сценариев. Важно ускорить анализ по итогам консультаций и повысить оперативность с помощью инструментов на базе ИИ. Рекомендуется обеспечивать результативность и ответственное внедрение инноваций путем разработки таких экспериментальных основ совместно с компаниями отрасли и другими заинтересованными</w:t>
      </w:r>
      <w:r w:rsidR="00C3283C">
        <w:rPr>
          <w:lang w:val="en-US"/>
        </w:rPr>
        <w:t> </w:t>
      </w:r>
      <w:r w:rsidRPr="00A10B30">
        <w:rPr>
          <w:lang w:val="ru-RU"/>
        </w:rPr>
        <w:t>сторонами.</w:t>
      </w:r>
    </w:p>
    <w:p w14:paraId="588D6EE4" w14:textId="77777777" w:rsidR="00E61553" w:rsidRPr="00A10B30" w:rsidRDefault="00E61553" w:rsidP="00E61553">
      <w:pPr>
        <w:pStyle w:val="Headingb"/>
        <w:rPr>
          <w:lang w:val="ru-RU"/>
        </w:rPr>
      </w:pPr>
      <w:bookmarkStart w:id="34" w:name="_Toc202790147"/>
      <w:bookmarkStart w:id="35" w:name="_Toc204701752"/>
      <w:r w:rsidRPr="00A10B30">
        <w:rPr>
          <w:lang w:val="ru-RU"/>
        </w:rPr>
        <w:t>Учет доверия и этических норм на этапе проектировани</w:t>
      </w:r>
      <w:bookmarkEnd w:id="34"/>
      <w:r w:rsidRPr="00A10B30">
        <w:rPr>
          <w:lang w:val="ru-RU"/>
        </w:rPr>
        <w:t>я</w:t>
      </w:r>
      <w:bookmarkEnd w:id="35"/>
    </w:p>
    <w:p w14:paraId="44E3FE57" w14:textId="28CEA2E1" w:rsidR="00E61553" w:rsidRPr="00A10B30" w:rsidRDefault="00E61553" w:rsidP="00E61553">
      <w:pPr>
        <w:rPr>
          <w:rFonts w:cs="Calibri"/>
          <w:szCs w:val="23"/>
          <w:lang w:val="ru-RU"/>
        </w:rPr>
      </w:pPr>
      <w:r w:rsidRPr="00A10B30">
        <w:rPr>
          <w:lang w:val="ru-RU"/>
        </w:rPr>
        <w:t>Следует подавать пример в использовании технологий в рамках организации. Важно</w:t>
      </w:r>
      <w:r w:rsidR="004561B1">
        <w:rPr>
          <w:lang w:val="en-US"/>
        </w:rPr>
        <w:t> </w:t>
      </w:r>
      <w:r w:rsidRPr="00A10B30">
        <w:rPr>
          <w:lang w:val="ru-RU"/>
        </w:rPr>
        <w:t xml:space="preserve">внедрять инструменты обеспечения конфиденциальности, установить четкую ответственность за </w:t>
      </w:r>
      <w:r w:rsidRPr="00A10B30">
        <w:rPr>
          <w:lang w:val="ru-RU"/>
        </w:rPr>
        <w:lastRenderedPageBreak/>
        <w:t>автоматизированное принятие решений и согласовать его с глобальными принципами надежного ИИ и защиты данных. Необходимо четко информировать общественность о том, как именно используются технологии и какие меры защиты при этом обеспечиваются.</w:t>
      </w:r>
    </w:p>
    <w:p w14:paraId="0B031307" w14:textId="77777777" w:rsidR="00E61553" w:rsidRPr="00A10B30" w:rsidRDefault="00E61553" w:rsidP="00E61553">
      <w:pPr>
        <w:pStyle w:val="Headingb"/>
        <w:rPr>
          <w:lang w:val="ru-RU"/>
        </w:rPr>
      </w:pPr>
      <w:bookmarkStart w:id="36" w:name="_Toc202790148"/>
      <w:bookmarkStart w:id="37" w:name="_Toc204701754"/>
      <w:r w:rsidRPr="00A10B30">
        <w:rPr>
          <w:lang w:val="ru-RU"/>
        </w:rPr>
        <w:t>Создание потенциала для эффективного выполнения задач</w:t>
      </w:r>
      <w:bookmarkEnd w:id="36"/>
      <w:bookmarkEnd w:id="37"/>
    </w:p>
    <w:p w14:paraId="0FFDBA21" w14:textId="32FB4122" w:rsidR="00E61553" w:rsidRPr="00337397" w:rsidRDefault="00E61553" w:rsidP="00E61553">
      <w:pPr>
        <w:rPr>
          <w:lang w:val="ru-RU"/>
        </w:rPr>
      </w:pPr>
      <w:r w:rsidRPr="00A10B30">
        <w:rPr>
          <w:lang w:val="ru-RU"/>
        </w:rPr>
        <w:t>Необходимо признавать, что для цифровой трансформации требуется стратегическое мышление, а не только программное обеспечение. Важно инвестировать в перспективных междисциплинарных специалистов, продвигать открытые стандарты и развивать инфраструктуру, охватывающую все правительственные органы, во избежание дублирования и чрезмерной зависимости от проприетарных систем.</w:t>
      </w:r>
    </w:p>
    <w:p w14:paraId="3629DAEB" w14:textId="77777777" w:rsidR="00E61553" w:rsidRPr="00A10B30" w:rsidRDefault="00E61553" w:rsidP="004561B1">
      <w:pPr>
        <w:pStyle w:val="Heading3"/>
        <w:ind w:left="567" w:hanging="567"/>
        <w:rPr>
          <w:bCs/>
          <w:lang w:val="ru-RU"/>
        </w:rPr>
      </w:pPr>
      <w:bookmarkStart w:id="38" w:name="_Toc202790149"/>
      <w:bookmarkStart w:id="39" w:name="_Toc204701755"/>
      <w:r w:rsidRPr="00A10B30">
        <w:rPr>
          <w:bCs/>
          <w:lang w:val="ru-RU"/>
        </w:rPr>
        <w:t>IV</w:t>
      </w:r>
      <w:r w:rsidRPr="00A10B30">
        <w:rPr>
          <w:lang w:val="ru-RU"/>
        </w:rPr>
        <w:tab/>
      </w:r>
      <w:r w:rsidRPr="00A10B30">
        <w:rPr>
          <w:bCs/>
          <w:lang w:val="ru-RU"/>
        </w:rPr>
        <w:t>УКРЕПЛЕНИЕ ТРАНСГРАНИЧНОГО СОТРУДНИЧЕСТВА ДЛЯ СОЕДИНЕННОГО БУДУЩЕГО</w:t>
      </w:r>
      <w:bookmarkEnd w:id="38"/>
      <w:bookmarkEnd w:id="39"/>
    </w:p>
    <w:p w14:paraId="7EC04A66" w14:textId="77777777" w:rsidR="00E61553" w:rsidRPr="00A10B30" w:rsidRDefault="00E61553" w:rsidP="004561B1">
      <w:pPr>
        <w:pStyle w:val="Headingb"/>
        <w:rPr>
          <w:lang w:val="ru-RU"/>
        </w:rPr>
      </w:pPr>
      <w:bookmarkStart w:id="40" w:name="_Toc202790150"/>
      <w:bookmarkStart w:id="41" w:name="_Toc204701756"/>
      <w:r w:rsidRPr="00A10B30">
        <w:rPr>
          <w:lang w:val="ru-RU"/>
        </w:rPr>
        <w:t>Ориентирование сотрудничества на результаты</w:t>
      </w:r>
      <w:bookmarkEnd w:id="40"/>
      <w:bookmarkEnd w:id="41"/>
    </w:p>
    <w:p w14:paraId="31F333E0" w14:textId="543836BE" w:rsidR="00E61553" w:rsidRPr="00A10B30" w:rsidRDefault="00E61553" w:rsidP="004561B1">
      <w:pPr>
        <w:rPr>
          <w:rFonts w:cs="Calibri"/>
          <w:szCs w:val="23"/>
          <w:lang w:val="ru-RU"/>
        </w:rPr>
      </w:pPr>
      <w:r w:rsidRPr="00A10B30">
        <w:rPr>
          <w:lang w:val="ru-RU"/>
        </w:rPr>
        <w:t>Следует использовать региональные и международные партнерства для решения общих задач и реализации приоритетов, от координации использования спектра до управления в сфере искусственного интеллекта. Рекомендуется отдавать приоритет совместным действиям, регуляторным экспериментальным средам и мерам по обеспечению соблюдения правил, которые приносят реальный результат, а не только официальным</w:t>
      </w:r>
      <w:r w:rsidR="004561B1">
        <w:rPr>
          <w:lang w:val="en-US"/>
        </w:rPr>
        <w:t> </w:t>
      </w:r>
      <w:r w:rsidRPr="00A10B30">
        <w:rPr>
          <w:lang w:val="ru-RU"/>
        </w:rPr>
        <w:t>соглашениям.</w:t>
      </w:r>
    </w:p>
    <w:p w14:paraId="5A19E5ED" w14:textId="77777777" w:rsidR="00E61553" w:rsidRPr="00A10B30" w:rsidRDefault="00E61553" w:rsidP="004561B1">
      <w:pPr>
        <w:pStyle w:val="Headingb"/>
        <w:rPr>
          <w:lang w:val="ru-RU"/>
        </w:rPr>
      </w:pPr>
      <w:bookmarkStart w:id="42" w:name="_Toc202790151"/>
      <w:bookmarkStart w:id="43" w:name="_Toc204701757"/>
      <w:r w:rsidRPr="00A10B30">
        <w:rPr>
          <w:lang w:val="ru-RU"/>
        </w:rPr>
        <w:t>Согласование деятельности в соответствующих случаях</w:t>
      </w:r>
      <w:bookmarkEnd w:id="42"/>
      <w:bookmarkEnd w:id="43"/>
    </w:p>
    <w:p w14:paraId="2E968EDD" w14:textId="465B518A" w:rsidR="00E61553" w:rsidRPr="00A10B30" w:rsidRDefault="00E61553" w:rsidP="004561B1">
      <w:pPr>
        <w:rPr>
          <w:rFonts w:cs="Calibri"/>
          <w:szCs w:val="23"/>
          <w:lang w:val="ru-RU"/>
        </w:rPr>
      </w:pPr>
      <w:r w:rsidRPr="00A10B30">
        <w:rPr>
          <w:lang w:val="ru-RU"/>
        </w:rPr>
        <w:t>Важно стремиться к согласованию в таких сферах, как цифровая торговля, этика ИИ и защита данных, и вместе с тем сохранять гибкость, необходимую для отражения национальных особенностей. Взаимное признание, общие принципы политики и согласованное планирование помогают сбалансировать функциональную совместимость и</w:t>
      </w:r>
      <w:r w:rsidR="004561B1">
        <w:rPr>
          <w:lang w:val="en-US"/>
        </w:rPr>
        <w:t> </w:t>
      </w:r>
      <w:r w:rsidRPr="00A10B30">
        <w:rPr>
          <w:lang w:val="ru-RU"/>
        </w:rPr>
        <w:t>суверенитет.</w:t>
      </w:r>
    </w:p>
    <w:p w14:paraId="60F37EFD" w14:textId="77777777" w:rsidR="00E61553" w:rsidRPr="00A10B30" w:rsidRDefault="00E61553" w:rsidP="004561B1">
      <w:pPr>
        <w:pStyle w:val="Headingb"/>
        <w:rPr>
          <w:lang w:val="ru-RU"/>
        </w:rPr>
      </w:pPr>
      <w:bookmarkStart w:id="44" w:name="_Toc202790152"/>
      <w:bookmarkStart w:id="45" w:name="_Toc204701758"/>
      <w:r w:rsidRPr="00A10B30">
        <w:rPr>
          <w:lang w:val="ru-RU"/>
        </w:rPr>
        <w:t>Создание общей инфраструктуры обучения</w:t>
      </w:r>
      <w:bookmarkEnd w:id="44"/>
      <w:bookmarkEnd w:id="45"/>
    </w:p>
    <w:p w14:paraId="785B8D6B" w14:textId="77777777" w:rsidR="00E61553" w:rsidRPr="00A10B30" w:rsidRDefault="00E61553" w:rsidP="004561B1">
      <w:pPr>
        <w:rPr>
          <w:rFonts w:cs="Calibri"/>
          <w:szCs w:val="23"/>
          <w:lang w:val="ru-RU"/>
        </w:rPr>
      </w:pPr>
      <w:r w:rsidRPr="00A10B30">
        <w:rPr>
          <w:lang w:val="ru-RU"/>
        </w:rPr>
        <w:t>Важно создавать сообщества специалистов-практиков, платформы совместной профессиональной подготовки и схемы наставничества. Рекомендуется поддерживать инструменты открытого доступа к знаниям, которые могут быть адаптированы к местным условиям и повторно использованы другими регуляторными органами.</w:t>
      </w:r>
    </w:p>
    <w:p w14:paraId="6B4D3615" w14:textId="77777777" w:rsidR="00E61553" w:rsidRPr="00A10B30" w:rsidRDefault="00E61553" w:rsidP="004561B1">
      <w:pPr>
        <w:pStyle w:val="Headingb"/>
        <w:rPr>
          <w:lang w:val="ru-RU"/>
        </w:rPr>
      </w:pPr>
      <w:bookmarkStart w:id="46" w:name="_Toc202790153"/>
      <w:bookmarkStart w:id="47" w:name="_Toc204701759"/>
      <w:r w:rsidRPr="00A10B30">
        <w:rPr>
          <w:lang w:val="ru-RU"/>
        </w:rPr>
        <w:t>Координация данных, инструментов и стандартов</w:t>
      </w:r>
      <w:bookmarkEnd w:id="46"/>
      <w:bookmarkEnd w:id="47"/>
    </w:p>
    <w:p w14:paraId="0C20B958" w14:textId="77777777" w:rsidR="00E61553" w:rsidRPr="00A10B30" w:rsidRDefault="00E61553" w:rsidP="004561B1">
      <w:pPr>
        <w:rPr>
          <w:rFonts w:cs="Calibri"/>
          <w:szCs w:val="23"/>
          <w:lang w:val="ru-RU"/>
        </w:rPr>
      </w:pPr>
      <w:r w:rsidRPr="00A10B30">
        <w:rPr>
          <w:lang w:val="ru-RU"/>
        </w:rPr>
        <w:t>В системах регулирования необходимо содействовать обеспечению функциональной совместимости на этапе проектирования. Важно отслеживать трансграничные риски и согласовывать регуляторные меры с использованием общих API, показателей и протоколов обмена данными.</w:t>
      </w:r>
    </w:p>
    <w:p w14:paraId="5E73263B" w14:textId="77777777" w:rsidR="00E61553" w:rsidRPr="00A10B30" w:rsidRDefault="00E61553" w:rsidP="004561B1">
      <w:pPr>
        <w:pStyle w:val="Headingb"/>
        <w:rPr>
          <w:lang w:val="ru-RU"/>
        </w:rPr>
      </w:pPr>
      <w:bookmarkStart w:id="48" w:name="_Toc202790154"/>
      <w:bookmarkStart w:id="49" w:name="_Toc204701760"/>
      <w:r w:rsidRPr="00A10B30">
        <w:rPr>
          <w:lang w:val="ru-RU"/>
        </w:rPr>
        <w:t>Отстаивание региональных интересов и цифрового суверенитета</w:t>
      </w:r>
      <w:bookmarkEnd w:id="48"/>
      <w:bookmarkEnd w:id="49"/>
    </w:p>
    <w:p w14:paraId="028E874B" w14:textId="4E029895" w:rsidR="00E61553" w:rsidRPr="00A10B30" w:rsidRDefault="00E61553" w:rsidP="004561B1">
      <w:pPr>
        <w:rPr>
          <w:rFonts w:cs="Calibri"/>
          <w:szCs w:val="23"/>
          <w:lang w:val="ru-RU"/>
        </w:rPr>
      </w:pPr>
      <w:r w:rsidRPr="00A10B30">
        <w:rPr>
          <w:lang w:val="ru-RU"/>
        </w:rPr>
        <w:t>Следует формировать глобальные нормы в соответствии с местными потребностями на основе сотрудничества. Рекомендуется участвовать в работе многосторонних форумов, укреплять цифровую дипломатию и поддерживать региональные инициативы по согласованию регуляторной практики и формированию региональных позиций по общим цифровым</w:t>
      </w:r>
      <w:r w:rsidR="00C3283C">
        <w:rPr>
          <w:lang w:val="en-US"/>
        </w:rPr>
        <w:t> </w:t>
      </w:r>
      <w:r w:rsidRPr="00A10B30">
        <w:rPr>
          <w:lang w:val="ru-RU"/>
        </w:rPr>
        <w:t>проблемам.</w:t>
      </w:r>
    </w:p>
    <w:p w14:paraId="30E90444" w14:textId="77777777" w:rsidR="00E61553" w:rsidRPr="00A10B30" w:rsidRDefault="00E61553" w:rsidP="00E61553">
      <w:pPr>
        <w:pStyle w:val="Heading3"/>
        <w:rPr>
          <w:rStyle w:val="Heading3Char"/>
          <w:b/>
          <w:lang w:val="ru-RU"/>
        </w:rPr>
      </w:pPr>
      <w:bookmarkStart w:id="50" w:name="_Toc202790155"/>
      <w:bookmarkStart w:id="51" w:name="_Toc204701761"/>
      <w:r w:rsidRPr="00A10B30">
        <w:rPr>
          <w:bCs/>
          <w:lang w:val="ru-RU"/>
        </w:rPr>
        <w:t>Сотрудничество как один из основных элементов деятельности</w:t>
      </w:r>
      <w:bookmarkEnd w:id="50"/>
      <w:bookmarkEnd w:id="51"/>
    </w:p>
    <w:p w14:paraId="76556B23" w14:textId="43ABF876" w:rsidR="00E61553" w:rsidRPr="00A10B30" w:rsidRDefault="00E61553" w:rsidP="004561B1">
      <w:pPr>
        <w:rPr>
          <w:rFonts w:cs="Calibri"/>
          <w:szCs w:val="23"/>
          <w:lang w:val="ru-RU"/>
        </w:rPr>
      </w:pPr>
      <w:r w:rsidRPr="00A10B30">
        <w:rPr>
          <w:lang w:val="ru-RU"/>
        </w:rPr>
        <w:t>Рекомендуется формировать специализированные подразделения, установить мандат на трансграничное планирование и отслеживать реальное воздействие сотрудничества. Важно</w:t>
      </w:r>
      <w:r w:rsidR="00C3283C">
        <w:rPr>
          <w:lang w:val="en-US"/>
        </w:rPr>
        <w:t> </w:t>
      </w:r>
      <w:r w:rsidRPr="00A10B30">
        <w:rPr>
          <w:lang w:val="ru-RU"/>
        </w:rPr>
        <w:t>интегрировать системную координацию в институциональную структуру для поддержки постоянного согласования между политикой, отраслями и заинтересованными</w:t>
      </w:r>
      <w:r w:rsidR="004561B1">
        <w:rPr>
          <w:lang w:val="en-US"/>
        </w:rPr>
        <w:t> </w:t>
      </w:r>
      <w:r w:rsidRPr="00A10B30">
        <w:rPr>
          <w:lang w:val="ru-RU"/>
        </w:rPr>
        <w:t>сторонами.</w:t>
      </w:r>
    </w:p>
    <w:p w14:paraId="45FC04AB" w14:textId="1347DCB1" w:rsidR="00E61553" w:rsidRPr="00A10B30" w:rsidRDefault="00E61553" w:rsidP="004561B1">
      <w:pPr>
        <w:pStyle w:val="Heading3"/>
        <w:ind w:left="567" w:hanging="567"/>
        <w:rPr>
          <w:rFonts w:cs="Calibri"/>
          <w:szCs w:val="23"/>
          <w:lang w:val="ru-RU"/>
        </w:rPr>
      </w:pPr>
      <w:bookmarkStart w:id="52" w:name="_Toc204701762"/>
      <w:r w:rsidRPr="00A10B30">
        <w:rPr>
          <w:bCs/>
          <w:lang w:val="ru-RU"/>
        </w:rPr>
        <w:lastRenderedPageBreak/>
        <w:t>V</w:t>
      </w:r>
      <w:r w:rsidRPr="00A10B30">
        <w:rPr>
          <w:lang w:val="ru-RU"/>
        </w:rPr>
        <w:tab/>
      </w:r>
      <w:r w:rsidRPr="00A10B30">
        <w:rPr>
          <w:bCs/>
          <w:lang w:val="ru-RU"/>
        </w:rPr>
        <w:t>ДАЛЬНЕЙШИЕ ДЕЙСТВИЯ</w:t>
      </w:r>
      <w:bookmarkEnd w:id="52"/>
    </w:p>
    <w:p w14:paraId="704BDDC6" w14:textId="365E9387" w:rsidR="00E61553" w:rsidRPr="00A10B30" w:rsidRDefault="00E61553" w:rsidP="004561B1">
      <w:pPr>
        <w:rPr>
          <w:rFonts w:cs="Calibri"/>
          <w:szCs w:val="23"/>
          <w:lang w:val="ru-RU"/>
        </w:rPr>
      </w:pPr>
      <w:r w:rsidRPr="00A10B30">
        <w:rPr>
          <w:lang w:val="ru-RU"/>
        </w:rPr>
        <w:t>В условиях постоянных изменений и технологических потрясений регулирование должно стать проводником ответственных инноваций, основанным на понимании технологий, институциональной гибкости, трансграничном сотрудничестве и этических нормах добросовестности. Регуляторные органы, взявшие на себя эту роль, смогут перейти от установления правил к созданию экосистем. В</w:t>
      </w:r>
      <w:r w:rsidR="003E322A">
        <w:rPr>
          <w:lang w:val="en-US"/>
        </w:rPr>
        <w:t> </w:t>
      </w:r>
      <w:r w:rsidRPr="00A10B30">
        <w:rPr>
          <w:lang w:val="ru-RU"/>
        </w:rPr>
        <w:t>изложенных в настоящих руководящих указаниях принципы и подходах предлагается четкий путь укрепления общественного доверия, содействия цифровому развитию, при котором никто не будет забыт, и укрепления коллективной способности управлять взаимосвязанным, динамичным и взаимозависимым цифровым миром.</w:t>
      </w:r>
    </w:p>
    <w:p w14:paraId="780883B5" w14:textId="77777777" w:rsidR="008847AD" w:rsidRDefault="008847AD" w:rsidP="008847AD">
      <w:pPr>
        <w:spacing w:before="720"/>
        <w:jc w:val="center"/>
      </w:pPr>
      <w:r>
        <w:t>______________</w:t>
      </w:r>
    </w:p>
    <w:sectPr w:rsidR="008847AD" w:rsidSect="003E322A">
      <w:headerReference w:type="default" r:id="rId8"/>
      <w:headerReference w:type="first" r:id="rId9"/>
      <w:pgSz w:w="11907" w:h="16834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9B121" w14:textId="77777777" w:rsidR="00E61553" w:rsidRDefault="00E61553">
      <w:r>
        <w:separator/>
      </w:r>
    </w:p>
  </w:endnote>
  <w:endnote w:type="continuationSeparator" w:id="0">
    <w:p w14:paraId="37DA39FF" w14:textId="77777777" w:rsidR="00E61553" w:rsidRDefault="00E6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56143" w14:textId="77777777" w:rsidR="00E61553" w:rsidRDefault="00E61553">
      <w:r>
        <w:t>____________________</w:t>
      </w:r>
    </w:p>
  </w:footnote>
  <w:footnote w:type="continuationSeparator" w:id="0">
    <w:p w14:paraId="1BA31F36" w14:textId="77777777" w:rsidR="00E61553" w:rsidRDefault="00E61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87023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DAB70E" w14:textId="43563496" w:rsidR="004C4383" w:rsidRDefault="004C4383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68249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5D8984" w14:textId="48D264D8" w:rsidR="004C4383" w:rsidRDefault="004C4383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53"/>
    <w:rsid w:val="00005BE0"/>
    <w:rsid w:val="0002183E"/>
    <w:rsid w:val="000569B4"/>
    <w:rsid w:val="0006007D"/>
    <w:rsid w:val="00080E82"/>
    <w:rsid w:val="000B2DE7"/>
    <w:rsid w:val="000E568E"/>
    <w:rsid w:val="0010592E"/>
    <w:rsid w:val="0014229E"/>
    <w:rsid w:val="0014734F"/>
    <w:rsid w:val="00156890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C3F32"/>
    <w:rsid w:val="002D2F57"/>
    <w:rsid w:val="002D48C5"/>
    <w:rsid w:val="0033025A"/>
    <w:rsid w:val="00337397"/>
    <w:rsid w:val="00345D2A"/>
    <w:rsid w:val="003E322A"/>
    <w:rsid w:val="003F099E"/>
    <w:rsid w:val="003F235E"/>
    <w:rsid w:val="00401FD7"/>
    <w:rsid w:val="004023E0"/>
    <w:rsid w:val="00403DD8"/>
    <w:rsid w:val="00442515"/>
    <w:rsid w:val="004561B1"/>
    <w:rsid w:val="0045686C"/>
    <w:rsid w:val="004918C4"/>
    <w:rsid w:val="00497703"/>
    <w:rsid w:val="004A0374"/>
    <w:rsid w:val="004A45B5"/>
    <w:rsid w:val="004C4383"/>
    <w:rsid w:val="004D0129"/>
    <w:rsid w:val="00515795"/>
    <w:rsid w:val="00522AE3"/>
    <w:rsid w:val="00532202"/>
    <w:rsid w:val="005A64D5"/>
    <w:rsid w:val="005B3DEC"/>
    <w:rsid w:val="00601994"/>
    <w:rsid w:val="00660449"/>
    <w:rsid w:val="00672F8A"/>
    <w:rsid w:val="006E2D42"/>
    <w:rsid w:val="00703676"/>
    <w:rsid w:val="00707304"/>
    <w:rsid w:val="00732269"/>
    <w:rsid w:val="00734068"/>
    <w:rsid w:val="00762555"/>
    <w:rsid w:val="0077110E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847AD"/>
    <w:rsid w:val="008B62B4"/>
    <w:rsid w:val="008D2D7B"/>
    <w:rsid w:val="008E0737"/>
    <w:rsid w:val="008F7C2C"/>
    <w:rsid w:val="00940E96"/>
    <w:rsid w:val="00950A82"/>
    <w:rsid w:val="009B0BAE"/>
    <w:rsid w:val="009C1C89"/>
    <w:rsid w:val="009E0736"/>
    <w:rsid w:val="009F3448"/>
    <w:rsid w:val="00A01CF9"/>
    <w:rsid w:val="00A20B63"/>
    <w:rsid w:val="00A71773"/>
    <w:rsid w:val="00AE2C85"/>
    <w:rsid w:val="00B0107F"/>
    <w:rsid w:val="00B12A37"/>
    <w:rsid w:val="00B41837"/>
    <w:rsid w:val="00B63EF2"/>
    <w:rsid w:val="00B758D4"/>
    <w:rsid w:val="00B766D8"/>
    <w:rsid w:val="00BA7D89"/>
    <w:rsid w:val="00BC0D39"/>
    <w:rsid w:val="00BC7BC0"/>
    <w:rsid w:val="00BD57B7"/>
    <w:rsid w:val="00BE63E2"/>
    <w:rsid w:val="00C3283C"/>
    <w:rsid w:val="00C462C5"/>
    <w:rsid w:val="00CD2009"/>
    <w:rsid w:val="00CF629C"/>
    <w:rsid w:val="00D631AA"/>
    <w:rsid w:val="00D92EEA"/>
    <w:rsid w:val="00DA5D4E"/>
    <w:rsid w:val="00DA770A"/>
    <w:rsid w:val="00E05752"/>
    <w:rsid w:val="00E176BA"/>
    <w:rsid w:val="00E423EC"/>
    <w:rsid w:val="00E55121"/>
    <w:rsid w:val="00E61553"/>
    <w:rsid w:val="00EB4FCB"/>
    <w:rsid w:val="00EC6BC5"/>
    <w:rsid w:val="00F348D0"/>
    <w:rsid w:val="00F35898"/>
    <w:rsid w:val="00F5225B"/>
    <w:rsid w:val="00F9132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C4FB3B"/>
  <w15:docId w15:val="{89BE7C9F-EB5E-492B-8EED-EC649E7A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283C"/>
    <w:pPr>
      <w:spacing w:after="120"/>
    </w:pPr>
    <w:rPr>
      <w:rFonts w:asciiTheme="minorHAnsi" w:eastAsiaTheme="minorHAnsi" w:hAnsiTheme="minorHAnsi" w:cstheme="minorBidi"/>
      <w:kern w:val="2"/>
      <w:sz w:val="22"/>
      <w:szCs w:val="24"/>
      <w:lang w:val="en-GB" w:eastAsia="en-US"/>
      <w14:ligatures w14:val="standardContextual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762555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uiPriority w:val="39"/>
    <w:rsid w:val="00227FF0"/>
  </w:style>
  <w:style w:type="paragraph" w:styleId="TOC2">
    <w:name w:val="toc 2"/>
    <w:basedOn w:val="TOC1"/>
    <w:uiPriority w:val="39"/>
    <w:rsid w:val="00227FF0"/>
    <w:pPr>
      <w:spacing w:before="160"/>
    </w:pPr>
  </w:style>
  <w:style w:type="paragraph" w:styleId="TOC1">
    <w:name w:val="toc 1"/>
    <w:basedOn w:val="Normal"/>
    <w:uiPriority w:val="39"/>
    <w:rsid w:val="00227FF0"/>
    <w:pPr>
      <w:keepLines/>
      <w:tabs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left" w:pos="5954"/>
        <w:tab w:val="right" w:pos="9639"/>
      </w:tabs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227FF0"/>
    <w:pPr>
      <w:tabs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left" w:pos="1134"/>
      </w:tabs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right" w:pos="1531"/>
        <w:tab w:val="left" w:pos="170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character" w:customStyle="1" w:styleId="Heading2Char">
    <w:name w:val="Heading 2 Char"/>
    <w:basedOn w:val="DefaultParagraphFont"/>
    <w:link w:val="Heading2"/>
    <w:uiPriority w:val="9"/>
    <w:rsid w:val="00E61553"/>
    <w:rPr>
      <w:rFonts w:ascii="Calibri" w:hAnsi="Calibri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61553"/>
    <w:rPr>
      <w:rFonts w:asciiTheme="minorHAnsi" w:hAnsiTheme="minorHAnsi"/>
      <w:b/>
      <w:sz w:val="22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61553"/>
    <w:pPr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FE848-B9E2-40FB-9A16-4A77C34C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42</TotalTime>
  <Pages>5</Pages>
  <Words>1570</Words>
  <Characters>12307</Characters>
  <Application>Microsoft Office Word</Application>
  <DocSecurity>0</DocSecurity>
  <Lines>102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13850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SV</dc:creator>
  <cp:keywords>C2024, C24, Council-24</cp:keywords>
  <dc:description/>
  <cp:lastModifiedBy>Conde, Tamaiti</cp:lastModifiedBy>
  <cp:revision>9</cp:revision>
  <cp:lastPrinted>2006-03-28T16:12:00Z</cp:lastPrinted>
  <dcterms:created xsi:type="dcterms:W3CDTF">2025-07-29T14:56:00Z</dcterms:created>
  <dcterms:modified xsi:type="dcterms:W3CDTF">2025-08-01T14:04:00Z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