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D54BD" w14:textId="0ED06B2B" w:rsidR="007E0232" w:rsidRPr="00940207" w:rsidRDefault="00940207" w:rsidP="00494183">
      <w:pPr>
        <w:jc w:val="both"/>
        <w:rPr>
          <w:rFonts w:ascii="STKaiti" w:eastAsia="STKaiti" w:hAnsi="STKaiti" w:cs="Calibri"/>
          <w:sz w:val="22"/>
          <w:szCs w:val="22"/>
          <w:lang w:val="en-US" w:eastAsia="zh-CN"/>
        </w:rPr>
      </w:pPr>
      <w:r w:rsidRPr="00940207">
        <w:rPr>
          <w:rFonts w:ascii="STKaiti" w:eastAsia="STKaiti" w:hAnsi="STKaiti" w:cs="Calibri" w:hint="eastAsia"/>
          <w:sz w:val="22"/>
          <w:szCs w:val="22"/>
          <w:lang w:val="en-US" w:eastAsia="zh-CN"/>
        </w:rPr>
        <w:t>草案</w:t>
      </w:r>
      <w:r w:rsidRPr="00870DB3">
        <w:rPr>
          <w:rFonts w:cs="Calibri"/>
          <w:szCs w:val="23"/>
          <w:lang w:eastAsia="zh-CN"/>
        </w:rPr>
        <w:t>1</w:t>
      </w:r>
      <w:r w:rsidRPr="00870DB3">
        <w:rPr>
          <w:rFonts w:eastAsia="STKaiti" w:cs="Calibri"/>
          <w:sz w:val="22"/>
          <w:szCs w:val="22"/>
          <w:lang w:val="en-US" w:eastAsia="zh-CN"/>
        </w:rPr>
        <w:t xml:space="preserve"> – </w:t>
      </w:r>
      <w:r w:rsidRPr="00870DB3">
        <w:rPr>
          <w:rFonts w:cs="Calibri"/>
          <w:szCs w:val="23"/>
          <w:lang w:eastAsia="zh-CN"/>
        </w:rPr>
        <w:t>GSR-25</w:t>
      </w:r>
      <w:r w:rsidRPr="00940207">
        <w:rPr>
          <w:rFonts w:ascii="STKaiti" w:eastAsia="STKaiti" w:hAnsi="STKaiti" w:cs="Calibri" w:hint="eastAsia"/>
          <w:sz w:val="22"/>
          <w:szCs w:val="22"/>
          <w:lang w:val="en-US" w:eastAsia="zh-CN"/>
        </w:rPr>
        <w:t>最佳做法导则</w:t>
      </w:r>
      <w:r w:rsidRPr="00870DB3">
        <w:rPr>
          <w:rFonts w:eastAsia="STKaiti" w:cs="Calibri"/>
          <w:sz w:val="22"/>
          <w:szCs w:val="22"/>
          <w:lang w:val="en-US" w:eastAsia="zh-CN"/>
        </w:rPr>
        <w:t>，</w:t>
      </w:r>
      <w:r w:rsidRPr="00870DB3">
        <w:rPr>
          <w:rFonts w:cs="Calibri"/>
          <w:szCs w:val="23"/>
          <w:lang w:eastAsia="zh-CN"/>
        </w:rPr>
        <w:t>2025</w:t>
      </w:r>
      <w:r w:rsidRPr="00870DB3">
        <w:rPr>
          <w:rFonts w:eastAsia="STKaiti" w:cs="Calibri"/>
          <w:sz w:val="22"/>
          <w:szCs w:val="22"/>
          <w:lang w:val="en-US" w:eastAsia="zh-CN"/>
        </w:rPr>
        <w:t>年</w:t>
      </w:r>
      <w:r w:rsidRPr="00870DB3">
        <w:rPr>
          <w:rFonts w:cs="Calibri"/>
          <w:szCs w:val="23"/>
          <w:lang w:eastAsia="zh-CN"/>
        </w:rPr>
        <w:t>7</w:t>
      </w:r>
      <w:r w:rsidRPr="00870DB3">
        <w:rPr>
          <w:rFonts w:eastAsia="STKaiti" w:cs="Calibri"/>
          <w:sz w:val="22"/>
          <w:szCs w:val="22"/>
          <w:lang w:val="en-US" w:eastAsia="zh-CN"/>
        </w:rPr>
        <w:t>月</w:t>
      </w:r>
      <w:r w:rsidRPr="00870DB3">
        <w:rPr>
          <w:rFonts w:cs="Calibri"/>
          <w:szCs w:val="23"/>
          <w:lang w:eastAsia="zh-CN"/>
        </w:rPr>
        <w:t>25</w:t>
      </w:r>
      <w:r w:rsidRPr="00940207">
        <w:rPr>
          <w:rFonts w:ascii="STKaiti" w:eastAsia="STKaiti" w:hAnsi="STKaiti" w:cs="Calibri" w:hint="eastAsia"/>
          <w:sz w:val="22"/>
          <w:szCs w:val="22"/>
          <w:lang w:val="en-US" w:eastAsia="zh-CN"/>
        </w:rPr>
        <w:t>日</w:t>
      </w:r>
    </w:p>
    <w:p w14:paraId="14D6A728" w14:textId="71BB8DD9" w:rsidR="00D27433" w:rsidRPr="001F00DC" w:rsidRDefault="00940207" w:rsidP="004E696B">
      <w:pPr>
        <w:jc w:val="both"/>
        <w:rPr>
          <w:rFonts w:ascii="SimSun" w:eastAsia="SimSun" w:hAnsi="SimSun" w:cs="Calibri"/>
          <w:b/>
          <w:bCs/>
          <w:sz w:val="28"/>
          <w:szCs w:val="28"/>
          <w:lang w:val="en-US" w:eastAsia="zh-CN"/>
        </w:rPr>
      </w:pPr>
      <w:r w:rsidRPr="001F00DC">
        <w:rPr>
          <w:rFonts w:ascii="SimSun" w:eastAsia="SimSun" w:hAnsi="SimSun" w:cs="Calibri" w:hint="eastAsia"/>
          <w:b/>
          <w:bCs/>
          <w:sz w:val="28"/>
          <w:szCs w:val="28"/>
          <w:lang w:eastAsia="zh-CN"/>
        </w:rPr>
        <w:t>赋能监管机构成为数字生态系统建设者</w:t>
      </w:r>
    </w:p>
    <w:p w14:paraId="09D7706B" w14:textId="4B69D421" w:rsidR="00D27433" w:rsidRPr="00A855E7" w:rsidRDefault="00B51415" w:rsidP="007A6C15">
      <w:pPr>
        <w:spacing w:before="160"/>
        <w:ind w:firstLineChars="200" w:firstLine="460"/>
        <w:jc w:val="both"/>
        <w:rPr>
          <w:rFonts w:eastAsia="SimSun" w:cs="Calibri"/>
          <w:szCs w:val="23"/>
          <w:lang w:eastAsia="zh-CN"/>
        </w:rPr>
      </w:pPr>
      <w:r w:rsidRPr="001F00DC">
        <w:rPr>
          <w:rFonts w:ascii="SimSun" w:eastAsia="SimSun" w:hAnsi="SimSun" w:cs="Calibri" w:hint="eastAsia"/>
          <w:szCs w:val="23"/>
          <w:lang w:eastAsia="zh-CN"/>
        </w:rPr>
        <w:t>随着数字技术改变社会联系、开展贸易、学习、治理的方式，监管机构</w:t>
      </w:r>
      <w:r w:rsidR="00A60971" w:rsidRPr="001F00DC">
        <w:rPr>
          <w:rFonts w:ascii="SimSun" w:eastAsia="SimSun" w:hAnsi="SimSun" w:cs="Calibri" w:hint="eastAsia"/>
          <w:szCs w:val="23"/>
          <w:lang w:eastAsia="zh-CN"/>
        </w:rPr>
        <w:t>肩负的责任</w:t>
      </w:r>
      <w:r w:rsidRPr="001F00DC">
        <w:rPr>
          <w:rFonts w:ascii="SimSun" w:eastAsia="SimSun" w:hAnsi="SimSun" w:cs="Calibri" w:hint="eastAsia"/>
          <w:szCs w:val="23"/>
          <w:lang w:eastAsia="zh-CN"/>
        </w:rPr>
        <w:t>不仅仅是监管市场。</w:t>
      </w:r>
      <w:r w:rsidR="000274E0" w:rsidRPr="001F00DC">
        <w:rPr>
          <w:rFonts w:ascii="SimSun" w:eastAsia="SimSun" w:hAnsi="SimSun" w:cs="Calibri" w:hint="eastAsia"/>
          <w:szCs w:val="23"/>
          <w:lang w:eastAsia="zh-CN"/>
        </w:rPr>
        <w:t>他们必须</w:t>
      </w:r>
      <w:r w:rsidR="00A60971" w:rsidRPr="001F00DC">
        <w:rPr>
          <w:rFonts w:ascii="SimSun" w:eastAsia="SimSun" w:hAnsi="SimSun" w:cs="Calibri" w:hint="eastAsia"/>
          <w:szCs w:val="23"/>
          <w:lang w:eastAsia="zh-CN"/>
        </w:rPr>
        <w:t>调整</w:t>
      </w:r>
      <w:r w:rsidR="000274E0" w:rsidRPr="001F00DC">
        <w:rPr>
          <w:rFonts w:ascii="SimSun" w:eastAsia="SimSun" w:hAnsi="SimSun" w:cs="Calibri" w:hint="eastAsia"/>
          <w:szCs w:val="23"/>
          <w:lang w:eastAsia="zh-CN"/>
        </w:rPr>
        <w:t>，将创新置于机构使命的核心，并协助构建具有复原力以及面向未来的数字生态系统。这一转型需要从根本上转变思维方式，采用新工具，并深化</w:t>
      </w:r>
      <w:r w:rsidR="000274E0" w:rsidRPr="00A855E7">
        <w:rPr>
          <w:rFonts w:eastAsia="SimSun" w:cs="Calibri"/>
          <w:szCs w:val="23"/>
          <w:lang w:eastAsia="zh-CN"/>
        </w:rPr>
        <w:t>跨行业和跨国界的协作。</w:t>
      </w:r>
    </w:p>
    <w:p w14:paraId="3DBA7A4D" w14:textId="33DE2961" w:rsidR="004E696B" w:rsidRPr="00A855E7" w:rsidRDefault="004E696B" w:rsidP="007A6C15">
      <w:pPr>
        <w:spacing w:before="160"/>
        <w:ind w:firstLineChars="200" w:firstLine="460"/>
        <w:jc w:val="both"/>
        <w:rPr>
          <w:rFonts w:eastAsia="SimSun" w:cs="Calibri"/>
          <w:szCs w:val="23"/>
          <w:lang w:eastAsia="zh-CN"/>
        </w:rPr>
      </w:pPr>
      <w:r w:rsidRPr="00A855E7">
        <w:rPr>
          <w:rFonts w:eastAsia="SimSun" w:cs="Calibri"/>
          <w:szCs w:val="23"/>
          <w:lang w:eastAsia="zh-CN"/>
        </w:rPr>
        <w:t>二十年来，</w:t>
      </w:r>
      <w:r w:rsidRPr="00A855E7">
        <w:rPr>
          <w:rFonts w:eastAsia="SimSun" w:cs="Calibri"/>
          <w:szCs w:val="23"/>
          <w:lang w:eastAsia="zh-CN"/>
        </w:rPr>
        <w:t>GSR</w:t>
      </w:r>
      <w:r w:rsidRPr="00A855E7">
        <w:rPr>
          <w:rFonts w:eastAsia="SimSun" w:cs="Calibri"/>
          <w:szCs w:val="23"/>
          <w:lang w:eastAsia="zh-CN"/>
        </w:rPr>
        <w:t>最佳做法导则帮助制定了合理的监管原则并营造了有利的环境。在此基础上，我们</w:t>
      </w:r>
      <w:r w:rsidRPr="00A855E7">
        <w:rPr>
          <w:rFonts w:eastAsia="SimSun" w:cs="Calibri"/>
          <w:szCs w:val="23"/>
          <w:lang w:eastAsia="zh-CN"/>
        </w:rPr>
        <w:t xml:space="preserve"> – </w:t>
      </w:r>
      <w:r w:rsidRPr="00A855E7">
        <w:rPr>
          <w:rFonts w:eastAsia="SimSun" w:cs="Calibri"/>
          <w:szCs w:val="23"/>
          <w:lang w:eastAsia="zh-CN"/>
        </w:rPr>
        <w:t>出席</w:t>
      </w:r>
      <w:r w:rsidRPr="00A855E7">
        <w:rPr>
          <w:rFonts w:eastAsia="SimSun" w:cs="Calibri"/>
          <w:szCs w:val="23"/>
          <w:lang w:eastAsia="zh-CN"/>
        </w:rPr>
        <w:t>2025</w:t>
      </w:r>
      <w:r w:rsidRPr="00A855E7">
        <w:rPr>
          <w:rFonts w:eastAsia="SimSun" w:cs="Calibri"/>
          <w:szCs w:val="23"/>
          <w:lang w:eastAsia="zh-CN"/>
        </w:rPr>
        <w:t>年全球监管机构专题研讨会的监管机构</w:t>
      </w:r>
      <w:r w:rsidRPr="00A855E7">
        <w:rPr>
          <w:rFonts w:eastAsia="SimSun" w:cs="Calibri"/>
          <w:szCs w:val="23"/>
          <w:lang w:eastAsia="zh-CN"/>
        </w:rPr>
        <w:t xml:space="preserve"> – </w:t>
      </w:r>
      <w:r w:rsidRPr="00A855E7">
        <w:rPr>
          <w:rFonts w:eastAsia="SimSun" w:cs="Calibri"/>
          <w:szCs w:val="23"/>
          <w:lang w:eastAsia="zh-CN"/>
        </w:rPr>
        <w:t>认识到这一转变的紧迫性。应对当今的挑战并为未来做好准备，需要监管机构承担起数字生态系统建设者的角色。</w:t>
      </w:r>
    </w:p>
    <w:p w14:paraId="6DE3D7F2" w14:textId="35FBCF74" w:rsidR="00D27433" w:rsidRPr="001F00DC" w:rsidRDefault="004E696B" w:rsidP="007A6C15">
      <w:pPr>
        <w:spacing w:before="160"/>
        <w:ind w:firstLineChars="200" w:firstLine="460"/>
        <w:jc w:val="both"/>
        <w:rPr>
          <w:rFonts w:ascii="SimSun" w:eastAsia="SimSun" w:hAnsi="SimSun" w:cs="Calibri"/>
          <w:szCs w:val="23"/>
          <w:lang w:eastAsia="zh-CN"/>
        </w:rPr>
      </w:pPr>
      <w:r w:rsidRPr="001F00DC">
        <w:rPr>
          <w:rFonts w:ascii="SimSun" w:eastAsia="SimSun" w:hAnsi="SimSun" w:cs="Calibri" w:hint="eastAsia"/>
          <w:szCs w:val="23"/>
          <w:lang w:eastAsia="zh-CN"/>
        </w:rPr>
        <w:t>这些导则反映了我们的共同承诺：</w:t>
      </w:r>
      <w:r w:rsidR="007D0EDA" w:rsidRPr="001F00DC">
        <w:rPr>
          <w:rFonts w:ascii="SimSun" w:eastAsia="SimSun" w:hAnsi="SimSun" w:cs="Calibri" w:hint="eastAsia"/>
          <w:szCs w:val="23"/>
          <w:lang w:eastAsia="zh-CN"/>
        </w:rPr>
        <w:t>以国家经验为基础，以全球视角为指导，着眼于</w:t>
      </w:r>
      <w:r w:rsidR="00EA14AC" w:rsidRPr="001F00DC">
        <w:rPr>
          <w:rFonts w:ascii="SimSun" w:eastAsia="SimSun" w:hAnsi="SimSun" w:cs="Calibri" w:hint="eastAsia"/>
          <w:szCs w:val="23"/>
          <w:lang w:eastAsia="zh-CN"/>
        </w:rPr>
        <w:t>发挥</w:t>
      </w:r>
      <w:r w:rsidR="007D0EDA" w:rsidRPr="001F00DC">
        <w:rPr>
          <w:rFonts w:ascii="SimSun" w:eastAsia="SimSun" w:hAnsi="SimSun" w:cs="Calibri" w:hint="eastAsia"/>
          <w:szCs w:val="23"/>
          <w:lang w:eastAsia="zh-CN"/>
        </w:rPr>
        <w:t>切实可行、具有前瞻性的监管领导力，确保无人掉队。</w:t>
      </w:r>
    </w:p>
    <w:p w14:paraId="794E6E5B" w14:textId="3D772CF6" w:rsidR="00463020" w:rsidRPr="00A855E7" w:rsidRDefault="00594EB9" w:rsidP="00494183">
      <w:pPr>
        <w:pStyle w:val="Heading2"/>
        <w:jc w:val="both"/>
        <w:rPr>
          <w:rFonts w:ascii="SimSun" w:eastAsia="SimSun" w:hAnsi="SimSun"/>
          <w:sz w:val="24"/>
          <w:szCs w:val="24"/>
          <w:lang w:eastAsia="zh-CN"/>
        </w:rPr>
      </w:pPr>
      <w:bookmarkStart w:id="0" w:name="_Toc204780019"/>
      <w:r w:rsidRPr="00A855E7">
        <w:rPr>
          <w:rStyle w:val="Heading1Char"/>
          <w:rFonts w:ascii="SimSun" w:eastAsia="SimSun" w:hAnsi="SimSun" w:hint="eastAsia"/>
          <w:color w:val="000000" w:themeColor="text1"/>
          <w:sz w:val="24"/>
          <w:szCs w:val="24"/>
          <w:lang w:eastAsia="zh-CN"/>
        </w:rPr>
        <w:t>一</w:t>
      </w:r>
      <w:r w:rsidR="00463020" w:rsidRPr="00A855E7">
        <w:rPr>
          <w:rStyle w:val="Heading1Char"/>
          <w:rFonts w:ascii="SimSun" w:eastAsia="SimSun" w:hAnsi="SimSun"/>
          <w:color w:val="000000" w:themeColor="text1"/>
          <w:sz w:val="24"/>
          <w:szCs w:val="24"/>
          <w:lang w:eastAsia="zh-CN"/>
        </w:rPr>
        <w:tab/>
      </w:r>
      <w:r w:rsidR="007D0EDA" w:rsidRPr="00A855E7">
        <w:rPr>
          <w:rStyle w:val="Heading1Char"/>
          <w:rFonts w:ascii="SimSun" w:eastAsia="SimSun" w:hAnsi="SimSun" w:hint="eastAsia"/>
          <w:color w:val="000000" w:themeColor="text1"/>
          <w:sz w:val="24"/>
          <w:szCs w:val="24"/>
          <w:lang w:eastAsia="zh-CN"/>
        </w:rPr>
        <w:t>促进监管方法的</w:t>
      </w:r>
      <w:r w:rsidR="00554BFD" w:rsidRPr="00A855E7">
        <w:rPr>
          <w:rStyle w:val="Heading1Char"/>
          <w:rFonts w:ascii="SimSun" w:eastAsia="SimSun" w:hAnsi="SimSun" w:hint="eastAsia"/>
          <w:color w:val="000000" w:themeColor="text1"/>
          <w:sz w:val="24"/>
          <w:szCs w:val="24"/>
          <w:lang w:eastAsia="zh-CN"/>
        </w:rPr>
        <w:t>创新</w:t>
      </w:r>
      <w:bookmarkEnd w:id="0"/>
    </w:p>
    <w:p w14:paraId="51262888" w14:textId="656EE3DB" w:rsidR="007E0232" w:rsidRPr="00554BFD" w:rsidRDefault="007D0EDA" w:rsidP="00554BFD">
      <w:pPr>
        <w:pStyle w:val="Heading2"/>
        <w:rPr>
          <w:rFonts w:ascii="SimSun" w:eastAsia="SimSun" w:hAnsi="SimSun"/>
          <w:lang w:eastAsia="zh-CN"/>
        </w:rPr>
      </w:pPr>
      <w:bookmarkStart w:id="1" w:name="_Toc204780020"/>
      <w:r w:rsidRPr="00554BFD">
        <w:rPr>
          <w:rFonts w:ascii="SimSun" w:eastAsia="SimSun" w:hAnsi="SimSun" w:hint="eastAsia"/>
          <w:lang w:eastAsia="zh-CN"/>
        </w:rPr>
        <w:t>使创新成为核心</w:t>
      </w:r>
      <w:r w:rsidR="00560BA4" w:rsidRPr="00554BFD">
        <w:rPr>
          <w:rFonts w:ascii="SimSun" w:eastAsia="SimSun" w:hAnsi="SimSun" w:hint="eastAsia"/>
          <w:lang w:eastAsia="zh-CN"/>
        </w:rPr>
        <w:t>的</w:t>
      </w:r>
      <w:r w:rsidRPr="00554BFD">
        <w:rPr>
          <w:rFonts w:ascii="SimSun" w:eastAsia="SimSun" w:hAnsi="SimSun" w:hint="eastAsia"/>
          <w:lang w:eastAsia="zh-CN"/>
        </w:rPr>
        <w:t>监管</w:t>
      </w:r>
      <w:r w:rsidR="00554BFD" w:rsidRPr="00554BFD">
        <w:rPr>
          <w:rFonts w:ascii="SimSun" w:eastAsia="SimSun" w:hAnsi="SimSun" w:cs="Calibri" w:hint="eastAsia"/>
          <w:szCs w:val="23"/>
          <w:lang w:eastAsia="zh-CN"/>
        </w:rPr>
        <w:t>实践</w:t>
      </w:r>
      <w:bookmarkEnd w:id="1"/>
    </w:p>
    <w:p w14:paraId="0A060316" w14:textId="57D3CE35" w:rsidR="00FF4AF2" w:rsidRPr="001F00DC" w:rsidRDefault="00560BA4" w:rsidP="007A6C15">
      <w:pPr>
        <w:ind w:firstLineChars="200" w:firstLine="460"/>
        <w:jc w:val="both"/>
        <w:rPr>
          <w:rFonts w:ascii="SimSun" w:eastAsia="SimSun" w:hAnsi="SimSun" w:cs="Calibri"/>
          <w:szCs w:val="23"/>
          <w:lang w:eastAsia="zh-CN"/>
        </w:rPr>
      </w:pPr>
      <w:r w:rsidRPr="001F00DC">
        <w:rPr>
          <w:rFonts w:ascii="SimSun" w:eastAsia="SimSun" w:hAnsi="SimSun" w:cs="Calibri" w:hint="eastAsia"/>
          <w:szCs w:val="23"/>
          <w:lang w:eastAsia="zh-CN"/>
        </w:rPr>
        <w:t>监管机构不应将创新视作附带项目，而应将其视为监管设计和实施的核心部分。</w:t>
      </w:r>
      <w:r w:rsidR="000E14A1" w:rsidRPr="001F00DC">
        <w:rPr>
          <w:rFonts w:ascii="SimSun" w:eastAsia="SimSun" w:hAnsi="SimSun" w:cs="Calibri" w:hint="eastAsia"/>
          <w:szCs w:val="23"/>
          <w:lang w:eastAsia="zh-CN"/>
        </w:rPr>
        <w:t>通过</w:t>
      </w:r>
      <w:r w:rsidR="00835C32" w:rsidRPr="001F00DC">
        <w:rPr>
          <w:rFonts w:ascii="SimSun" w:eastAsia="SimSun" w:hAnsi="SimSun" w:cs="Calibri" w:hint="eastAsia"/>
          <w:szCs w:val="23"/>
          <w:lang w:eastAsia="zh-CN"/>
        </w:rPr>
        <w:t>将试点项目嵌入年度工作计划</w:t>
      </w:r>
      <w:r w:rsidR="000E14A1" w:rsidRPr="001F00DC">
        <w:rPr>
          <w:rFonts w:ascii="SimSun" w:eastAsia="SimSun" w:hAnsi="SimSun" w:cs="Calibri" w:hint="eastAsia"/>
          <w:szCs w:val="23"/>
          <w:lang w:eastAsia="zh-CN"/>
        </w:rPr>
        <w:t>、</w:t>
      </w:r>
      <w:r w:rsidR="00835C32" w:rsidRPr="001F00DC">
        <w:rPr>
          <w:rFonts w:ascii="SimSun" w:eastAsia="SimSun" w:hAnsi="SimSun" w:cs="Calibri" w:hint="eastAsia"/>
          <w:szCs w:val="23"/>
          <w:lang w:eastAsia="zh-CN"/>
        </w:rPr>
        <w:t>使用监管沙盒</w:t>
      </w:r>
      <w:r w:rsidR="000E14A1" w:rsidRPr="001F00DC">
        <w:rPr>
          <w:rFonts w:ascii="SimSun" w:eastAsia="SimSun" w:hAnsi="SimSun" w:cs="Calibri" w:hint="eastAsia"/>
          <w:szCs w:val="23"/>
          <w:lang w:eastAsia="zh-CN"/>
        </w:rPr>
        <w:t>，</w:t>
      </w:r>
      <w:r w:rsidR="00835C32" w:rsidRPr="001F00DC">
        <w:rPr>
          <w:rFonts w:ascii="SimSun" w:eastAsia="SimSun" w:hAnsi="SimSun" w:cs="Calibri" w:hint="eastAsia"/>
          <w:szCs w:val="23"/>
          <w:lang w:eastAsia="zh-CN"/>
        </w:rPr>
        <w:t>并在全面部署前测试</w:t>
      </w:r>
      <w:r w:rsidR="000E14A1" w:rsidRPr="001F00DC">
        <w:rPr>
          <w:rFonts w:ascii="SimSun" w:eastAsia="SimSun" w:hAnsi="SimSun" w:cs="Calibri" w:hint="eastAsia"/>
          <w:szCs w:val="23"/>
          <w:lang w:eastAsia="zh-CN"/>
        </w:rPr>
        <w:t>轻度监管</w:t>
      </w:r>
      <w:r w:rsidR="00835C32" w:rsidRPr="001F00DC">
        <w:rPr>
          <w:rFonts w:ascii="SimSun" w:eastAsia="SimSun" w:hAnsi="SimSun" w:cs="Calibri" w:hint="eastAsia"/>
          <w:szCs w:val="23"/>
          <w:lang w:eastAsia="zh-CN"/>
        </w:rPr>
        <w:t>规则，</w:t>
      </w:r>
      <w:r w:rsidR="000E14A1" w:rsidRPr="001F00DC">
        <w:rPr>
          <w:rFonts w:ascii="SimSun" w:eastAsia="SimSun" w:hAnsi="SimSun" w:cs="Calibri" w:hint="eastAsia"/>
          <w:szCs w:val="23"/>
          <w:lang w:eastAsia="zh-CN"/>
        </w:rPr>
        <w:t>使试验制度化。</w:t>
      </w:r>
      <w:r w:rsidR="00A8080D" w:rsidRPr="001F00DC">
        <w:rPr>
          <w:rFonts w:ascii="SimSun" w:eastAsia="SimSun" w:hAnsi="SimSun" w:cs="Calibri" w:hint="eastAsia"/>
          <w:szCs w:val="23"/>
          <w:lang w:eastAsia="zh-CN"/>
        </w:rPr>
        <w:t>为从失败中学习留出空间，认识到并非每次创新都能成功，但每一次尝试都能带来宝贵的见解，从而完善未来的监管方法。</w:t>
      </w:r>
    </w:p>
    <w:p w14:paraId="64A2639F" w14:textId="59E49853" w:rsidR="00384493" w:rsidRPr="00554BFD" w:rsidRDefault="000B05CF" w:rsidP="00554BFD">
      <w:pPr>
        <w:pStyle w:val="Heading2"/>
        <w:rPr>
          <w:rFonts w:ascii="SimSun" w:eastAsia="SimSun" w:hAnsi="SimSun"/>
          <w:lang w:eastAsia="zh-CN"/>
        </w:rPr>
      </w:pPr>
      <w:bookmarkStart w:id="2" w:name="_Toc204780021"/>
      <w:r w:rsidRPr="00554BFD">
        <w:rPr>
          <w:rFonts w:ascii="SimSun" w:eastAsia="SimSun" w:hAnsi="SimSun" w:hint="eastAsia"/>
          <w:lang w:eastAsia="zh-CN"/>
        </w:rPr>
        <w:t>培养面向未来的技能和思维方式</w:t>
      </w:r>
      <w:bookmarkEnd w:id="2"/>
    </w:p>
    <w:p w14:paraId="185717D6" w14:textId="0D1987F1" w:rsidR="000B05CF" w:rsidRPr="001F00DC" w:rsidRDefault="000B05CF" w:rsidP="007A6C15">
      <w:pPr>
        <w:ind w:firstLineChars="200" w:firstLine="460"/>
        <w:jc w:val="both"/>
        <w:rPr>
          <w:rFonts w:ascii="SimSun" w:eastAsia="SimSun" w:hAnsi="SimSun" w:cs="Calibri"/>
          <w:szCs w:val="23"/>
          <w:lang w:eastAsia="zh-CN"/>
        </w:rPr>
      </w:pPr>
      <w:r w:rsidRPr="001F00DC">
        <w:rPr>
          <w:rFonts w:ascii="SimSun" w:eastAsia="SimSun" w:hAnsi="SimSun" w:cs="Calibri" w:hint="eastAsia"/>
          <w:szCs w:val="23"/>
          <w:lang w:eastAsia="zh-CN"/>
        </w:rPr>
        <w:t>除了</w:t>
      </w:r>
      <w:r w:rsidR="00D3648F" w:rsidRPr="001F00DC">
        <w:rPr>
          <w:rFonts w:ascii="SimSun" w:eastAsia="SimSun" w:hAnsi="SimSun" w:cs="Calibri" w:hint="eastAsia"/>
          <w:szCs w:val="23"/>
          <w:lang w:eastAsia="zh-CN"/>
        </w:rPr>
        <w:t>在人工智能</w:t>
      </w:r>
      <w:r w:rsidR="009231BE" w:rsidRPr="001F00DC">
        <w:rPr>
          <w:rFonts w:ascii="SimSun" w:eastAsia="SimSun" w:hAnsi="SimSun" w:cs="Calibri" w:hint="eastAsia"/>
          <w:szCs w:val="23"/>
          <w:lang w:eastAsia="zh-CN"/>
        </w:rPr>
        <w:t>（</w:t>
      </w:r>
      <w:r w:rsidR="009231BE" w:rsidRPr="001F00DC">
        <w:rPr>
          <w:rFonts w:eastAsia="SimSun" w:cs="Calibri"/>
          <w:szCs w:val="23"/>
          <w:lang w:eastAsia="zh-CN"/>
        </w:rPr>
        <w:t>AI</w:t>
      </w:r>
      <w:r w:rsidR="009231BE" w:rsidRPr="001F00DC">
        <w:rPr>
          <w:rFonts w:ascii="SimSun" w:eastAsia="SimSun" w:hAnsi="SimSun" w:cs="Calibri" w:hint="eastAsia"/>
          <w:szCs w:val="23"/>
          <w:lang w:eastAsia="zh-CN"/>
        </w:rPr>
        <w:t>）</w:t>
      </w:r>
      <w:r w:rsidR="00D3648F" w:rsidRPr="001F00DC">
        <w:rPr>
          <w:rFonts w:ascii="SimSun" w:eastAsia="SimSun" w:hAnsi="SimSun" w:cs="Calibri" w:hint="eastAsia"/>
          <w:szCs w:val="23"/>
          <w:lang w:eastAsia="zh-CN"/>
        </w:rPr>
        <w:t>、物联网、新空间技术、区块链等</w:t>
      </w:r>
      <w:r w:rsidRPr="001F00DC">
        <w:rPr>
          <w:rFonts w:ascii="SimSun" w:eastAsia="SimSun" w:hAnsi="SimSun" w:cs="Calibri" w:hint="eastAsia"/>
          <w:szCs w:val="23"/>
          <w:lang w:eastAsia="zh-CN"/>
        </w:rPr>
        <w:t>数字</w:t>
      </w:r>
      <w:r w:rsidR="00D3648F" w:rsidRPr="001F00DC">
        <w:rPr>
          <w:rFonts w:ascii="SimSun" w:eastAsia="SimSun" w:hAnsi="SimSun" w:cs="Calibri" w:hint="eastAsia"/>
          <w:szCs w:val="23"/>
          <w:lang w:eastAsia="zh-CN"/>
        </w:rPr>
        <w:t>及新的和新兴技术方面具备技术知识外，监管机构还需要</w:t>
      </w:r>
      <w:r w:rsidR="00594EB9" w:rsidRPr="001F00DC">
        <w:rPr>
          <w:rFonts w:ascii="SimSun" w:eastAsia="SimSun" w:hAnsi="SimSun" w:cs="Calibri" w:hint="eastAsia"/>
          <w:szCs w:val="23"/>
          <w:lang w:eastAsia="zh-CN"/>
        </w:rPr>
        <w:t>在</w:t>
      </w:r>
      <w:r w:rsidR="00D3648F" w:rsidRPr="001F00DC">
        <w:rPr>
          <w:rFonts w:ascii="SimSun" w:eastAsia="SimSun" w:hAnsi="SimSun" w:cs="Calibri" w:hint="eastAsia"/>
          <w:szCs w:val="23"/>
          <w:lang w:eastAsia="zh-CN"/>
        </w:rPr>
        <w:t>政策原型</w:t>
      </w:r>
      <w:r w:rsidR="00594EB9" w:rsidRPr="001F00DC">
        <w:rPr>
          <w:rFonts w:ascii="SimSun" w:eastAsia="SimSun" w:hAnsi="SimSun" w:cs="Calibri" w:hint="eastAsia"/>
          <w:szCs w:val="23"/>
          <w:lang w:eastAsia="zh-CN"/>
        </w:rPr>
        <w:t>设计</w:t>
      </w:r>
      <w:r w:rsidR="00D3648F" w:rsidRPr="001F00DC">
        <w:rPr>
          <w:rFonts w:ascii="SimSun" w:eastAsia="SimSun" w:hAnsi="SimSun" w:cs="Calibri" w:hint="eastAsia"/>
          <w:szCs w:val="23"/>
          <w:lang w:eastAsia="zh-CN"/>
        </w:rPr>
        <w:t>、行为科学和系统思维方面的技能。</w:t>
      </w:r>
      <w:r w:rsidR="00F26AE4" w:rsidRPr="001F00DC">
        <w:rPr>
          <w:rFonts w:ascii="SimSun" w:eastAsia="SimSun" w:hAnsi="SimSun" w:cs="Calibri" w:hint="eastAsia"/>
          <w:szCs w:val="23"/>
          <w:lang w:eastAsia="zh-CN"/>
        </w:rPr>
        <w:t>将持续的同行互学与跨学科协作纳入机构日常工作，培育敏捷、适应未来的监管文化。</w:t>
      </w:r>
    </w:p>
    <w:p w14:paraId="5C3E67E9" w14:textId="0C02D32E" w:rsidR="00463020" w:rsidRPr="00554BFD" w:rsidRDefault="00594EB9" w:rsidP="00554BFD">
      <w:pPr>
        <w:pStyle w:val="Heading2"/>
        <w:rPr>
          <w:rFonts w:ascii="SimSun" w:eastAsia="SimSun" w:hAnsi="SimSun"/>
          <w:lang w:eastAsia="zh-CN"/>
        </w:rPr>
      </w:pPr>
      <w:bookmarkStart w:id="3" w:name="_Toc204780022"/>
      <w:r w:rsidRPr="00554BFD">
        <w:rPr>
          <w:rFonts w:ascii="SimSun" w:eastAsia="SimSun" w:hAnsi="SimSun" w:hint="eastAsia"/>
          <w:lang w:eastAsia="zh-CN"/>
        </w:rPr>
        <w:t>实现灵活和富有远见的</w:t>
      </w:r>
      <w:r w:rsidR="00F26AE4" w:rsidRPr="00554BFD">
        <w:rPr>
          <w:rFonts w:ascii="SimSun" w:eastAsia="SimSun" w:hAnsi="SimSun" w:hint="eastAsia"/>
          <w:lang w:eastAsia="zh-CN"/>
        </w:rPr>
        <w:t>监管</w:t>
      </w:r>
      <w:bookmarkEnd w:id="3"/>
    </w:p>
    <w:p w14:paraId="16BAA963" w14:textId="69638267" w:rsidR="00F26AE4" w:rsidRPr="001F00DC" w:rsidRDefault="00F26AE4" w:rsidP="007A6C15">
      <w:pPr>
        <w:ind w:firstLineChars="200" w:firstLine="460"/>
        <w:jc w:val="both"/>
        <w:rPr>
          <w:rFonts w:ascii="SimSun" w:eastAsia="SimSun" w:hAnsi="SimSun" w:cs="Calibri"/>
          <w:szCs w:val="23"/>
          <w:lang w:eastAsia="zh-CN"/>
        </w:rPr>
      </w:pPr>
      <w:r w:rsidRPr="001F00DC">
        <w:rPr>
          <w:rFonts w:ascii="SimSun" w:eastAsia="SimSun" w:hAnsi="SimSun" w:cs="Calibri" w:hint="eastAsia"/>
          <w:szCs w:val="23"/>
          <w:lang w:eastAsia="zh-CN"/>
        </w:rPr>
        <w:t>实施灵活的框架，例如基于成果的监管、分级许可和日落条款，</w:t>
      </w:r>
      <w:r w:rsidR="00496E85" w:rsidRPr="001F00DC">
        <w:rPr>
          <w:rFonts w:ascii="SimSun" w:eastAsia="SimSun" w:hAnsi="SimSun" w:cs="Calibri" w:hint="eastAsia"/>
          <w:szCs w:val="23"/>
          <w:lang w:eastAsia="zh-CN"/>
        </w:rPr>
        <w:t>实现</w:t>
      </w:r>
      <w:r w:rsidR="00594EB9" w:rsidRPr="001F00DC">
        <w:rPr>
          <w:rFonts w:ascii="SimSun" w:eastAsia="SimSun" w:hAnsi="SimSun" w:cs="Calibri" w:hint="eastAsia"/>
          <w:szCs w:val="23"/>
          <w:lang w:eastAsia="zh-CN"/>
        </w:rPr>
        <w:t>因地制宜</w:t>
      </w:r>
      <w:r w:rsidR="00496E85" w:rsidRPr="001F00DC">
        <w:rPr>
          <w:rFonts w:ascii="SimSun" w:eastAsia="SimSun" w:hAnsi="SimSun" w:cs="Calibri" w:hint="eastAsia"/>
          <w:szCs w:val="23"/>
          <w:lang w:eastAsia="zh-CN"/>
        </w:rPr>
        <w:t>的监管响应，以适应技术和市场的发展</w:t>
      </w:r>
      <w:r w:rsidRPr="001F00DC">
        <w:rPr>
          <w:rFonts w:ascii="SimSun" w:eastAsia="SimSun" w:hAnsi="SimSun" w:cs="Calibri" w:hint="eastAsia"/>
          <w:szCs w:val="23"/>
          <w:lang w:eastAsia="zh-CN"/>
        </w:rPr>
        <w:t>。使用数据、战略远见、</w:t>
      </w:r>
      <w:r w:rsidR="00496E85" w:rsidRPr="001F00DC">
        <w:rPr>
          <w:rFonts w:ascii="SimSun" w:eastAsia="SimSun" w:hAnsi="SimSun" w:cs="Calibri" w:hint="eastAsia"/>
          <w:szCs w:val="23"/>
          <w:lang w:eastAsia="zh-CN"/>
        </w:rPr>
        <w:t>地平线</w:t>
      </w:r>
      <w:r w:rsidRPr="001F00DC">
        <w:rPr>
          <w:rFonts w:ascii="SimSun" w:eastAsia="SimSun" w:hAnsi="SimSun" w:cs="Calibri" w:hint="eastAsia"/>
          <w:szCs w:val="23"/>
          <w:lang w:eastAsia="zh-CN"/>
        </w:rPr>
        <w:t>扫描和预测框架来更好地识别</w:t>
      </w:r>
      <w:r w:rsidR="00496E85" w:rsidRPr="001F00DC">
        <w:rPr>
          <w:rFonts w:ascii="SimSun" w:eastAsia="SimSun" w:hAnsi="SimSun" w:cs="Calibri" w:hint="eastAsia"/>
          <w:szCs w:val="23"/>
          <w:lang w:eastAsia="zh-CN"/>
        </w:rPr>
        <w:t>出</w:t>
      </w:r>
      <w:r w:rsidRPr="001F00DC">
        <w:rPr>
          <w:rFonts w:ascii="SimSun" w:eastAsia="SimSun" w:hAnsi="SimSun" w:cs="Calibri" w:hint="eastAsia"/>
          <w:szCs w:val="23"/>
          <w:lang w:eastAsia="zh-CN"/>
        </w:rPr>
        <w:t>新风险和</w:t>
      </w:r>
      <w:r w:rsidR="00496E85" w:rsidRPr="001F00DC">
        <w:rPr>
          <w:rFonts w:ascii="SimSun" w:eastAsia="SimSun" w:hAnsi="SimSun" w:cs="Calibri" w:hint="eastAsia"/>
          <w:szCs w:val="23"/>
          <w:lang w:eastAsia="zh-CN"/>
        </w:rPr>
        <w:t>新</w:t>
      </w:r>
      <w:r w:rsidRPr="001F00DC">
        <w:rPr>
          <w:rFonts w:ascii="SimSun" w:eastAsia="SimSun" w:hAnsi="SimSun" w:cs="Calibri" w:hint="eastAsia"/>
          <w:szCs w:val="23"/>
          <w:lang w:eastAsia="zh-CN"/>
        </w:rPr>
        <w:t>机遇，</w:t>
      </w:r>
      <w:r w:rsidR="00496E85" w:rsidRPr="001F00DC">
        <w:rPr>
          <w:rFonts w:ascii="SimSun" w:eastAsia="SimSun" w:hAnsi="SimSun" w:cs="Calibri" w:hint="eastAsia"/>
          <w:szCs w:val="23"/>
          <w:lang w:eastAsia="zh-CN"/>
        </w:rPr>
        <w:t>从而</w:t>
      </w:r>
      <w:r w:rsidRPr="001F00DC">
        <w:rPr>
          <w:rFonts w:ascii="SimSun" w:eastAsia="SimSun" w:hAnsi="SimSun" w:cs="Calibri" w:hint="eastAsia"/>
          <w:szCs w:val="23"/>
          <w:lang w:eastAsia="zh-CN"/>
        </w:rPr>
        <w:t>引导创新</w:t>
      </w:r>
      <w:r w:rsidR="00496E85" w:rsidRPr="001F00DC">
        <w:rPr>
          <w:rFonts w:ascii="SimSun" w:eastAsia="SimSun" w:hAnsi="SimSun" w:cs="Calibri" w:hint="eastAsia"/>
          <w:szCs w:val="23"/>
          <w:lang w:eastAsia="zh-CN"/>
        </w:rPr>
        <w:t>，</w:t>
      </w:r>
      <w:r w:rsidRPr="001F00DC">
        <w:rPr>
          <w:rFonts w:ascii="SimSun" w:eastAsia="SimSun" w:hAnsi="SimSun" w:cs="Calibri" w:hint="eastAsia"/>
          <w:szCs w:val="23"/>
          <w:lang w:eastAsia="zh-CN"/>
        </w:rPr>
        <w:t>而不是简单地被动应对。</w:t>
      </w:r>
    </w:p>
    <w:p w14:paraId="4CF1FB15" w14:textId="5860CE1A" w:rsidR="00384493" w:rsidRPr="00554BFD" w:rsidRDefault="00496E85" w:rsidP="00554BFD">
      <w:pPr>
        <w:pStyle w:val="Heading2"/>
        <w:rPr>
          <w:rFonts w:ascii="SimSun" w:eastAsia="SimSun" w:hAnsi="SimSun"/>
          <w:lang w:eastAsia="zh-CN"/>
        </w:rPr>
      </w:pPr>
      <w:bookmarkStart w:id="4" w:name="_Toc204780023"/>
      <w:r w:rsidRPr="00554BFD">
        <w:rPr>
          <w:rFonts w:ascii="SimSun" w:eastAsia="SimSun" w:hAnsi="SimSun" w:hint="eastAsia"/>
          <w:lang w:eastAsia="zh-CN"/>
        </w:rPr>
        <w:t>协作创新</w:t>
      </w:r>
      <w:bookmarkEnd w:id="4"/>
    </w:p>
    <w:p w14:paraId="6D91E148" w14:textId="696246A8" w:rsidR="00E54722" w:rsidRPr="00E54722" w:rsidRDefault="00CF3A0A" w:rsidP="007A6C15">
      <w:pPr>
        <w:ind w:firstLineChars="200" w:firstLine="460"/>
        <w:jc w:val="both"/>
        <w:rPr>
          <w:rFonts w:cs="Calibri"/>
          <w:szCs w:val="23"/>
          <w:lang w:eastAsia="zh-CN"/>
        </w:rPr>
      </w:pPr>
      <w:r w:rsidRPr="001F00DC">
        <w:rPr>
          <w:rFonts w:ascii="SimSun" w:eastAsia="SimSun" w:hAnsi="SimSun" w:cs="Calibri" w:hint="eastAsia"/>
          <w:szCs w:val="23"/>
          <w:lang w:eastAsia="zh-CN"/>
        </w:rPr>
        <w:t>从一次性磋商转变为与各部委、市场参与者、学术界和各行各业的民间团体建立结构化、解决问题的伙伴关系。通过协作治理，共同创建合法、灵活的解决方案，以统一观点，汇集知识。通过嵌入跨部门一致性机制，统一政策并防止规则冲突。</w:t>
      </w:r>
    </w:p>
    <w:p w14:paraId="46263504" w14:textId="3FCEEFE8" w:rsidR="00463020" w:rsidRPr="00A855E7" w:rsidRDefault="00594EB9" w:rsidP="00554BFD">
      <w:pPr>
        <w:pStyle w:val="Heading2"/>
        <w:jc w:val="both"/>
        <w:rPr>
          <w:rFonts w:ascii="SimSun" w:eastAsia="SimSun" w:hAnsi="SimSun"/>
          <w:sz w:val="24"/>
          <w:szCs w:val="24"/>
          <w:lang w:eastAsia="zh-CN"/>
        </w:rPr>
      </w:pPr>
      <w:bookmarkStart w:id="5" w:name="_Toc204780024"/>
      <w:r w:rsidRPr="00A855E7">
        <w:rPr>
          <w:rStyle w:val="Heading1Char"/>
          <w:rFonts w:ascii="SimSun" w:eastAsia="SimSun" w:hAnsi="SimSun" w:hint="eastAsia"/>
          <w:color w:val="000000" w:themeColor="text1"/>
          <w:sz w:val="24"/>
          <w:szCs w:val="24"/>
          <w:lang w:eastAsia="zh-CN"/>
        </w:rPr>
        <w:lastRenderedPageBreak/>
        <w:t>二</w:t>
      </w:r>
      <w:r w:rsidR="00463020" w:rsidRPr="00A855E7">
        <w:rPr>
          <w:rStyle w:val="Heading1Char"/>
          <w:rFonts w:ascii="SimSun" w:eastAsia="SimSun" w:hAnsi="SimSun"/>
          <w:color w:val="000000" w:themeColor="text1"/>
          <w:sz w:val="24"/>
          <w:szCs w:val="24"/>
          <w:lang w:eastAsia="zh-CN"/>
        </w:rPr>
        <w:tab/>
      </w:r>
      <w:r w:rsidR="00E54722" w:rsidRPr="00A855E7">
        <w:rPr>
          <w:rStyle w:val="Heading1Char"/>
          <w:rFonts w:ascii="SimSun" w:eastAsia="SimSun" w:hAnsi="SimSun" w:hint="eastAsia"/>
          <w:color w:val="000000" w:themeColor="text1"/>
          <w:sz w:val="24"/>
          <w:szCs w:val="24"/>
          <w:lang w:eastAsia="zh-CN"/>
        </w:rPr>
        <w:t>调整并加强</w:t>
      </w:r>
      <w:r w:rsidR="00554BFD" w:rsidRPr="00A855E7">
        <w:rPr>
          <w:rStyle w:val="Heading1Char"/>
          <w:rFonts w:ascii="SimSun" w:eastAsia="SimSun" w:hAnsi="SimSun" w:hint="eastAsia"/>
          <w:color w:val="000000" w:themeColor="text1"/>
          <w:sz w:val="24"/>
          <w:szCs w:val="24"/>
          <w:lang w:eastAsia="zh-CN"/>
        </w:rPr>
        <w:t>监管能力</w:t>
      </w:r>
      <w:bookmarkEnd w:id="5"/>
    </w:p>
    <w:p w14:paraId="702A2380" w14:textId="43C9B276" w:rsidR="00384493" w:rsidRPr="00554BFD" w:rsidRDefault="00E54722" w:rsidP="00554BFD">
      <w:pPr>
        <w:pStyle w:val="Heading2"/>
        <w:rPr>
          <w:rFonts w:ascii="SimSun" w:eastAsia="SimSun" w:hAnsi="SimSun"/>
          <w:lang w:eastAsia="zh-CN"/>
        </w:rPr>
      </w:pPr>
      <w:bookmarkStart w:id="6" w:name="_Toc204780025"/>
      <w:r w:rsidRPr="00554BFD">
        <w:rPr>
          <w:rFonts w:ascii="SimSun" w:eastAsia="SimSun" w:hAnsi="SimSun" w:hint="eastAsia"/>
          <w:lang w:eastAsia="zh-CN"/>
        </w:rPr>
        <w:t>更新监管职权以适应数字现实</w:t>
      </w:r>
      <w:bookmarkEnd w:id="6"/>
    </w:p>
    <w:p w14:paraId="6DABF61F" w14:textId="021E2F5A" w:rsidR="00E54722" w:rsidRPr="00463020" w:rsidRDefault="00E54722" w:rsidP="007A6C15">
      <w:pPr>
        <w:ind w:firstLineChars="200" w:firstLine="460"/>
        <w:jc w:val="both"/>
        <w:rPr>
          <w:rFonts w:cs="Calibri"/>
          <w:szCs w:val="23"/>
          <w:lang w:eastAsia="zh-CN"/>
        </w:rPr>
      </w:pPr>
      <w:r w:rsidRPr="001F00DC">
        <w:rPr>
          <w:rFonts w:ascii="SimSun" w:eastAsia="SimSun" w:hAnsi="SimSun" w:cs="Calibri" w:hint="eastAsia"/>
          <w:szCs w:val="23"/>
          <w:lang w:eastAsia="zh-CN"/>
        </w:rPr>
        <w:t>确保监管机构的职责范围能够反映基础设施、内容与服务的融合。这可能需要对数字平台、数据治理或</w:t>
      </w:r>
      <w:r w:rsidR="009231BE" w:rsidRPr="001F00DC">
        <w:rPr>
          <w:rFonts w:eastAsia="SimSun" w:cs="Calibri"/>
          <w:szCs w:val="23"/>
          <w:lang w:eastAsia="zh-CN"/>
        </w:rPr>
        <w:t>AI</w:t>
      </w:r>
      <w:r w:rsidR="00A05778" w:rsidRPr="001F00DC">
        <w:rPr>
          <w:rFonts w:ascii="SimSun" w:eastAsia="SimSun" w:hAnsi="SimSun" w:cs="Calibri" w:hint="eastAsia"/>
          <w:szCs w:val="23"/>
          <w:lang w:val="en-US" w:eastAsia="zh-CN"/>
        </w:rPr>
        <w:t>予以监督</w:t>
      </w:r>
      <w:r w:rsidRPr="001F00DC">
        <w:rPr>
          <w:rFonts w:ascii="SimSun" w:eastAsia="SimSun" w:hAnsi="SimSun" w:cs="Calibri" w:hint="eastAsia"/>
          <w:szCs w:val="23"/>
          <w:lang w:eastAsia="zh-CN"/>
        </w:rPr>
        <w:t>，同时加强跨部门协调，以减少</w:t>
      </w:r>
      <w:r w:rsidR="00A05778" w:rsidRPr="001F00DC">
        <w:rPr>
          <w:rFonts w:ascii="SimSun" w:eastAsia="SimSun" w:hAnsi="SimSun" w:cs="Calibri" w:hint="eastAsia"/>
          <w:szCs w:val="23"/>
          <w:lang w:eastAsia="zh-CN"/>
        </w:rPr>
        <w:t>各自为政的情况</w:t>
      </w:r>
      <w:r w:rsidRPr="001F00DC">
        <w:rPr>
          <w:rFonts w:ascii="SimSun" w:eastAsia="SimSun" w:hAnsi="SimSun" w:cs="Calibri" w:hint="eastAsia"/>
          <w:szCs w:val="23"/>
          <w:lang w:eastAsia="zh-CN"/>
        </w:rPr>
        <w:t>并强化公共利益成果</w:t>
      </w:r>
      <w:r>
        <w:rPr>
          <w:rFonts w:cs="Calibri" w:hint="eastAsia"/>
          <w:szCs w:val="23"/>
          <w:lang w:eastAsia="zh-CN"/>
        </w:rPr>
        <w:t>。</w:t>
      </w:r>
      <w:r w:rsidRPr="001F00DC">
        <w:rPr>
          <w:rFonts w:ascii="SimSun" w:eastAsia="SimSun" w:hAnsi="SimSun" w:cs="Calibri" w:hint="eastAsia"/>
          <w:szCs w:val="23"/>
          <w:lang w:eastAsia="zh-CN"/>
        </w:rPr>
        <w:t>这也要求政治、运营和</w:t>
      </w:r>
      <w:r w:rsidR="00A05778" w:rsidRPr="001F00DC">
        <w:rPr>
          <w:rFonts w:ascii="SimSun" w:eastAsia="SimSun" w:hAnsi="SimSun" w:cs="Calibri" w:hint="eastAsia"/>
          <w:szCs w:val="23"/>
          <w:lang w:eastAsia="zh-CN"/>
        </w:rPr>
        <w:t>财务</w:t>
      </w:r>
      <w:r w:rsidRPr="001F00DC">
        <w:rPr>
          <w:rFonts w:ascii="SimSun" w:eastAsia="SimSun" w:hAnsi="SimSun" w:cs="Calibri" w:hint="eastAsia"/>
          <w:szCs w:val="23"/>
          <w:lang w:eastAsia="zh-CN"/>
        </w:rPr>
        <w:t>独立，以</w:t>
      </w:r>
      <w:r w:rsidR="00F5565D" w:rsidRPr="001F00DC">
        <w:rPr>
          <w:rFonts w:ascii="SimSun" w:eastAsia="SimSun" w:hAnsi="SimSun" w:cs="Calibri" w:hint="eastAsia"/>
          <w:szCs w:val="23"/>
          <w:lang w:eastAsia="zh-CN"/>
        </w:rPr>
        <w:t>在政治或市场周期之外实现长期规划、公正决策和执法一致</w:t>
      </w:r>
      <w:r w:rsidRPr="001F00DC">
        <w:rPr>
          <w:rFonts w:ascii="SimSun" w:eastAsia="SimSun" w:hAnsi="SimSun" w:cs="Calibri" w:hint="eastAsia"/>
          <w:szCs w:val="23"/>
          <w:lang w:eastAsia="zh-CN"/>
        </w:rPr>
        <w:t>。</w:t>
      </w:r>
    </w:p>
    <w:p w14:paraId="402E90CC" w14:textId="7B12E265" w:rsidR="00384493" w:rsidRPr="00554BFD" w:rsidRDefault="00D6759D" w:rsidP="00554BFD">
      <w:pPr>
        <w:pStyle w:val="Heading2"/>
        <w:rPr>
          <w:rFonts w:ascii="SimSun" w:eastAsia="SimSun" w:hAnsi="SimSun"/>
          <w:lang w:eastAsia="zh-CN"/>
        </w:rPr>
      </w:pPr>
      <w:bookmarkStart w:id="7" w:name="_Toc204780026"/>
      <w:r w:rsidRPr="00554BFD">
        <w:rPr>
          <w:rFonts w:ascii="SimSun" w:eastAsia="SimSun" w:hAnsi="SimSun" w:hint="eastAsia"/>
          <w:lang w:eastAsia="zh-CN"/>
        </w:rPr>
        <w:t>投资于战略能力</w:t>
      </w:r>
      <w:bookmarkEnd w:id="7"/>
    </w:p>
    <w:p w14:paraId="70610F0B" w14:textId="22D1E302" w:rsidR="002316B8" w:rsidRPr="001F00DC" w:rsidRDefault="002316B8" w:rsidP="007A6C15">
      <w:pPr>
        <w:ind w:firstLineChars="200" w:firstLine="460"/>
        <w:jc w:val="both"/>
        <w:rPr>
          <w:rFonts w:ascii="SimSun" w:eastAsia="SimSun" w:hAnsi="SimSun" w:cs="Calibri"/>
          <w:szCs w:val="23"/>
          <w:lang w:eastAsia="zh-CN"/>
        </w:rPr>
      </w:pPr>
      <w:r w:rsidRPr="001F00DC">
        <w:rPr>
          <w:rFonts w:ascii="SimSun" w:eastAsia="SimSun" w:hAnsi="SimSun" w:cs="Calibri" w:hint="eastAsia"/>
          <w:szCs w:val="23"/>
          <w:lang w:eastAsia="zh-CN"/>
        </w:rPr>
        <w:t>不仅关注技术升级，还要确保对维持和扩大这些工具所需的人力和财务资源进行持续投</w:t>
      </w:r>
      <w:r w:rsidR="009A2901" w:rsidRPr="001F00DC">
        <w:rPr>
          <w:rFonts w:ascii="SimSun" w:eastAsia="SimSun" w:hAnsi="SimSun" w:cs="Calibri" w:hint="eastAsia"/>
          <w:szCs w:val="23"/>
          <w:lang w:eastAsia="zh-CN"/>
        </w:rPr>
        <w:t>入</w:t>
      </w:r>
      <w:r w:rsidRPr="001F00DC">
        <w:rPr>
          <w:rFonts w:ascii="SimSun" w:eastAsia="SimSun" w:hAnsi="SimSun" w:cs="Calibri" w:hint="eastAsia"/>
          <w:szCs w:val="23"/>
          <w:lang w:eastAsia="zh-CN"/>
        </w:rPr>
        <w:t>，使其</w:t>
      </w:r>
      <w:r w:rsidR="009A2901" w:rsidRPr="001F00DC">
        <w:rPr>
          <w:rFonts w:ascii="SimSun" w:eastAsia="SimSun" w:hAnsi="SimSun" w:cs="Calibri" w:hint="eastAsia"/>
          <w:szCs w:val="23"/>
          <w:lang w:eastAsia="zh-CN"/>
        </w:rPr>
        <w:t>成为</w:t>
      </w:r>
      <w:r w:rsidRPr="001F00DC">
        <w:rPr>
          <w:rFonts w:ascii="SimSun" w:eastAsia="SimSun" w:hAnsi="SimSun" w:cs="Calibri" w:hint="eastAsia"/>
          <w:szCs w:val="23"/>
          <w:lang w:eastAsia="zh-CN"/>
        </w:rPr>
        <w:t>核心监管工作的一部分。</w:t>
      </w:r>
      <w:r w:rsidR="009A2901" w:rsidRPr="001F00DC">
        <w:rPr>
          <w:rFonts w:ascii="SimSun" w:eastAsia="SimSun" w:hAnsi="SimSun" w:cs="Calibri" w:hint="eastAsia"/>
          <w:szCs w:val="23"/>
          <w:lang w:eastAsia="zh-CN"/>
        </w:rPr>
        <w:t>建立多学科团队，建立内部前瞻和数据分析部门，并简化跨部门的协调。与学术界和智库开展合作，支持持续学习和监管情报。</w:t>
      </w:r>
    </w:p>
    <w:p w14:paraId="79AE95F2" w14:textId="5B0B4D10" w:rsidR="00384493" w:rsidRPr="00554BFD" w:rsidRDefault="009A2901" w:rsidP="00554BFD">
      <w:pPr>
        <w:pStyle w:val="Heading2"/>
        <w:rPr>
          <w:rFonts w:ascii="SimSun" w:eastAsia="SimSun" w:hAnsi="SimSun"/>
          <w:lang w:eastAsia="zh-CN"/>
        </w:rPr>
      </w:pPr>
      <w:bookmarkStart w:id="8" w:name="_Toc204780027"/>
      <w:r w:rsidRPr="00554BFD">
        <w:rPr>
          <w:rFonts w:ascii="SimSun" w:eastAsia="SimSun" w:hAnsi="SimSun" w:hint="eastAsia"/>
          <w:lang w:eastAsia="zh-CN"/>
        </w:rPr>
        <w:t>确保决策具有包容性且</w:t>
      </w:r>
      <w:r w:rsidR="00A05778" w:rsidRPr="00554BFD">
        <w:rPr>
          <w:rFonts w:ascii="SimSun" w:eastAsia="SimSun" w:hAnsi="SimSun" w:hint="eastAsia"/>
          <w:lang w:eastAsia="zh-CN"/>
        </w:rPr>
        <w:t>有据可依</w:t>
      </w:r>
      <w:bookmarkEnd w:id="8"/>
    </w:p>
    <w:p w14:paraId="385E9E2B" w14:textId="604ADA7D" w:rsidR="00BA4096" w:rsidRPr="001F00DC" w:rsidRDefault="00BA4096" w:rsidP="007A6C15">
      <w:pPr>
        <w:ind w:firstLineChars="200" w:firstLine="460"/>
        <w:jc w:val="both"/>
        <w:rPr>
          <w:rFonts w:ascii="SimSun" w:eastAsia="SimSun" w:hAnsi="SimSun" w:cs="Calibri"/>
          <w:szCs w:val="23"/>
          <w:lang w:eastAsia="zh-CN"/>
        </w:rPr>
      </w:pPr>
      <w:r w:rsidRPr="001F00DC">
        <w:rPr>
          <w:rFonts w:ascii="SimSun" w:eastAsia="SimSun" w:hAnsi="SimSun" w:cs="Calibri" w:hint="eastAsia"/>
          <w:szCs w:val="23"/>
          <w:lang w:eastAsia="zh-CN"/>
        </w:rPr>
        <w:t>加强数据和风险知情决策的监管能力。利用数据平台、</w:t>
      </w:r>
      <w:r w:rsidR="009231BE" w:rsidRPr="001F00DC">
        <w:rPr>
          <w:rFonts w:eastAsia="SimSun" w:cs="Calibri"/>
          <w:szCs w:val="23"/>
          <w:lang w:eastAsia="zh-CN"/>
        </w:rPr>
        <w:t>AI</w:t>
      </w:r>
      <w:r w:rsidRPr="001F00DC">
        <w:rPr>
          <w:rFonts w:ascii="SimSun" w:eastAsia="SimSun" w:hAnsi="SimSun" w:cs="Calibri" w:hint="eastAsia"/>
          <w:szCs w:val="23"/>
          <w:lang w:eastAsia="zh-CN"/>
        </w:rPr>
        <w:t>分析和利益攸关方的输入意见，特别是来自服务不足群体和当地创新者的输入意见，为决策提供支持。通过监管影响评估和分阶段实施，使规则与现实情况相一致。</w:t>
      </w:r>
    </w:p>
    <w:p w14:paraId="01260B89" w14:textId="716C2F9E" w:rsidR="00384493" w:rsidRPr="00554BFD" w:rsidRDefault="00BA4096" w:rsidP="00554BFD">
      <w:pPr>
        <w:pStyle w:val="Heading2"/>
        <w:rPr>
          <w:rFonts w:ascii="SimSun" w:eastAsia="SimSun" w:hAnsi="SimSun"/>
          <w:lang w:eastAsia="zh-CN"/>
        </w:rPr>
      </w:pPr>
      <w:bookmarkStart w:id="9" w:name="_Toc204780028"/>
      <w:r w:rsidRPr="00554BFD">
        <w:rPr>
          <w:rFonts w:ascii="SimSun" w:eastAsia="SimSun" w:hAnsi="SimSun" w:hint="eastAsia"/>
          <w:lang w:eastAsia="zh-CN"/>
        </w:rPr>
        <w:t>使协作制度化</w:t>
      </w:r>
      <w:bookmarkEnd w:id="9"/>
    </w:p>
    <w:p w14:paraId="509EEBAA" w14:textId="4133A43A" w:rsidR="00463020" w:rsidRDefault="00E267ED" w:rsidP="007A6C15">
      <w:pPr>
        <w:ind w:firstLineChars="200" w:firstLine="460"/>
        <w:jc w:val="both"/>
        <w:rPr>
          <w:rFonts w:ascii="SimSun" w:eastAsia="SimSun" w:hAnsi="SimSun" w:cs="Calibri"/>
          <w:szCs w:val="23"/>
          <w:lang w:val="fr-FR" w:eastAsia="zh-CN"/>
        </w:rPr>
      </w:pPr>
      <w:r w:rsidRPr="001F00DC">
        <w:rPr>
          <w:rFonts w:ascii="SimSun" w:eastAsia="SimSun" w:hAnsi="SimSun" w:cs="Calibri" w:hint="eastAsia"/>
          <w:szCs w:val="23"/>
          <w:lang w:eastAsia="zh-CN"/>
        </w:rPr>
        <w:t>利用联合任务组、共享的监管实验室和机构间工作组，进行跨部门和跨辖区的协调。采用国际电联的协作治理方式，设计协调一致且具有适应性的措施，应对复杂生态系统的挑战。“全政府”方法不再是可选项，而是确保国家数字政策的连贯性和有效治理复杂数字生态系统的必要条件。</w:t>
      </w:r>
    </w:p>
    <w:p w14:paraId="674608B9" w14:textId="7B080E8D" w:rsidR="00B37EFD" w:rsidRPr="00B37EFD" w:rsidRDefault="00B37EFD" w:rsidP="00B37EFD">
      <w:pPr>
        <w:ind w:firstLineChars="200" w:firstLine="460"/>
        <w:jc w:val="both"/>
        <w:rPr>
          <w:rFonts w:ascii="SimSun" w:eastAsia="SimSun" w:hAnsi="SimSun" w:cs="Calibri"/>
          <w:szCs w:val="23"/>
          <w:lang w:eastAsia="zh-CN"/>
        </w:rPr>
      </w:pPr>
      <w:r w:rsidRPr="001F00DC">
        <w:rPr>
          <w:rFonts w:ascii="SimSun" w:eastAsia="SimSun" w:hAnsi="SimSun" w:cs="Calibri" w:hint="eastAsia"/>
          <w:szCs w:val="23"/>
          <w:lang w:eastAsia="zh-CN"/>
        </w:rPr>
        <w:t>认识到需要创新的投资模式来支持电信</w:t>
      </w:r>
      <w:r w:rsidRPr="00B37EFD">
        <w:rPr>
          <w:rFonts w:ascii="SimSun" w:eastAsia="SimSun" w:hAnsi="SimSun" w:cs="Calibri" w:hint="eastAsia"/>
          <w:szCs w:val="23"/>
          <w:lang w:val="fr-FR" w:eastAsia="zh-CN"/>
        </w:rPr>
        <w:t>/</w:t>
      </w:r>
      <w:r w:rsidRPr="00B37EFD">
        <w:rPr>
          <w:rFonts w:eastAsia="SimSun" w:cs="Calibri"/>
          <w:szCs w:val="23"/>
          <w:lang w:val="fr-FR" w:eastAsia="zh-CN"/>
        </w:rPr>
        <w:t>ICT</w:t>
      </w:r>
      <w:r w:rsidRPr="001F00DC">
        <w:rPr>
          <w:rFonts w:ascii="SimSun" w:eastAsia="SimSun" w:hAnsi="SimSun" w:cs="Calibri" w:hint="eastAsia"/>
          <w:szCs w:val="23"/>
          <w:lang w:eastAsia="zh-CN"/>
        </w:rPr>
        <w:t>以及数字基础设施的可持续部署。鉴于农村和偏远地区持续面临的财务挑战，我们鼓励制定包容性政策和监管方法，促成公</w:t>
      </w:r>
      <w:r w:rsidRPr="00890159">
        <w:rPr>
          <w:rFonts w:eastAsia="SimSun" w:cs="Calibri"/>
          <w:szCs w:val="23"/>
          <w:lang w:eastAsia="zh-CN"/>
        </w:rPr>
        <w:t xml:space="preserve"> – </w:t>
      </w:r>
      <w:r w:rsidRPr="00890159">
        <w:rPr>
          <w:rFonts w:eastAsia="SimSun" w:cs="Calibri"/>
          <w:szCs w:val="23"/>
          <w:lang w:eastAsia="zh-CN"/>
        </w:rPr>
        <w:t>公</w:t>
      </w:r>
      <w:r w:rsidRPr="001F00DC">
        <w:rPr>
          <w:rFonts w:ascii="SimSun" w:eastAsia="SimSun" w:hAnsi="SimSun" w:cs="Calibri" w:hint="eastAsia"/>
          <w:szCs w:val="23"/>
          <w:lang w:eastAsia="zh-CN"/>
        </w:rPr>
        <w:t>和公</w:t>
      </w:r>
      <w:r w:rsidRPr="001E36E4">
        <w:rPr>
          <w:rFonts w:eastAsia="SimSun" w:cs="Calibri"/>
          <w:szCs w:val="23"/>
          <w:lang w:eastAsia="zh-CN"/>
        </w:rPr>
        <w:t xml:space="preserve"> –</w:t>
      </w:r>
      <w:r>
        <w:rPr>
          <w:rFonts w:eastAsia="SimSun" w:cs="Calibri" w:hint="eastAsia"/>
          <w:szCs w:val="23"/>
          <w:lang w:eastAsia="zh-CN"/>
        </w:rPr>
        <w:t xml:space="preserve"> </w:t>
      </w:r>
      <w:r w:rsidRPr="001F00DC">
        <w:rPr>
          <w:rFonts w:ascii="SimSun" w:eastAsia="SimSun" w:hAnsi="SimSun" w:cs="Calibri" w:hint="eastAsia"/>
          <w:szCs w:val="23"/>
          <w:lang w:eastAsia="zh-CN"/>
        </w:rPr>
        <w:t>私伙伴关系、政府范围内的协作和长期的数字化增长。</w:t>
      </w:r>
    </w:p>
    <w:p w14:paraId="11BE3F9E" w14:textId="229B56C0" w:rsidR="00384493" w:rsidRPr="00554BFD" w:rsidRDefault="001F2A44" w:rsidP="00554BFD">
      <w:pPr>
        <w:pStyle w:val="Heading2"/>
        <w:rPr>
          <w:rFonts w:ascii="SimSun" w:eastAsia="SimSun" w:hAnsi="SimSun"/>
          <w:lang w:eastAsia="zh-CN"/>
        </w:rPr>
      </w:pPr>
      <w:bookmarkStart w:id="10" w:name="_Toc204780029"/>
      <w:r w:rsidRPr="00554BFD">
        <w:rPr>
          <w:rFonts w:ascii="SimSun" w:eastAsia="SimSun" w:hAnsi="SimSun" w:hint="eastAsia"/>
          <w:lang w:eastAsia="zh-CN"/>
        </w:rPr>
        <w:t>利用共同与自我监管</w:t>
      </w:r>
      <w:bookmarkEnd w:id="10"/>
    </w:p>
    <w:p w14:paraId="7BC3B07F" w14:textId="18E0CADF" w:rsidR="00463020" w:rsidRPr="00890159" w:rsidRDefault="001F2A44" w:rsidP="007A6C15">
      <w:pPr>
        <w:ind w:firstLineChars="200" w:firstLine="460"/>
        <w:jc w:val="both"/>
        <w:rPr>
          <w:rFonts w:eastAsia="SimSun" w:cs="Calibri"/>
          <w:szCs w:val="23"/>
          <w:lang w:eastAsia="zh-CN"/>
        </w:rPr>
      </w:pPr>
      <w:r w:rsidRPr="00890159">
        <w:rPr>
          <w:rFonts w:eastAsia="SimSun" w:cs="Calibri"/>
          <w:szCs w:val="23"/>
          <w:lang w:eastAsia="zh-CN"/>
        </w:rPr>
        <w:t>酌情将</w:t>
      </w:r>
      <w:r w:rsidR="000225B0" w:rsidRPr="00890159">
        <w:rPr>
          <w:rFonts w:eastAsia="SimSun" w:cs="Calibri"/>
          <w:szCs w:val="23"/>
          <w:lang w:eastAsia="zh-CN"/>
        </w:rPr>
        <w:t>职责</w:t>
      </w:r>
      <w:r w:rsidRPr="00890159">
        <w:rPr>
          <w:rFonts w:eastAsia="SimSun" w:cs="Calibri"/>
          <w:szCs w:val="23"/>
          <w:lang w:eastAsia="zh-CN"/>
        </w:rPr>
        <w:t>委托给具有明确问责机制的</w:t>
      </w:r>
      <w:r w:rsidR="000225B0" w:rsidRPr="00890159">
        <w:rPr>
          <w:rFonts w:eastAsia="SimSun" w:cs="Calibri"/>
          <w:szCs w:val="23"/>
          <w:lang w:eastAsia="zh-CN"/>
        </w:rPr>
        <w:t>值得信赖的</w:t>
      </w:r>
      <w:r w:rsidRPr="00890159">
        <w:rPr>
          <w:rFonts w:eastAsia="SimSun" w:cs="Calibri"/>
          <w:szCs w:val="23"/>
          <w:lang w:eastAsia="zh-CN"/>
        </w:rPr>
        <w:t>伙伴。支持与专业机构、民间团体或行业参与</w:t>
      </w:r>
      <w:r w:rsidR="000225B0" w:rsidRPr="00890159">
        <w:rPr>
          <w:rFonts w:eastAsia="SimSun" w:cs="Calibri"/>
          <w:szCs w:val="23"/>
          <w:lang w:eastAsia="zh-CN"/>
        </w:rPr>
        <w:t>者</w:t>
      </w:r>
      <w:r w:rsidRPr="00890159">
        <w:rPr>
          <w:rFonts w:eastAsia="SimSun" w:cs="Calibri"/>
          <w:szCs w:val="23"/>
          <w:lang w:eastAsia="zh-CN"/>
        </w:rPr>
        <w:t>的共同监管</w:t>
      </w:r>
      <w:r w:rsidRPr="00890159">
        <w:rPr>
          <w:rFonts w:eastAsia="SimSun" w:cs="Calibri"/>
          <w:szCs w:val="23"/>
          <w:lang w:eastAsia="zh-CN"/>
        </w:rPr>
        <w:t xml:space="preserve"> – </w:t>
      </w:r>
      <w:r w:rsidR="000225B0" w:rsidRPr="00890159">
        <w:rPr>
          <w:rFonts w:eastAsia="SimSun" w:cs="Calibri"/>
          <w:szCs w:val="23"/>
          <w:lang w:eastAsia="zh-CN"/>
        </w:rPr>
        <w:t>尤其</w:t>
      </w:r>
      <w:r w:rsidRPr="00890159">
        <w:rPr>
          <w:rFonts w:eastAsia="SimSun" w:cs="Calibri"/>
          <w:szCs w:val="23"/>
          <w:lang w:eastAsia="zh-CN"/>
        </w:rPr>
        <w:t>是在网络安全、</w:t>
      </w:r>
      <w:r w:rsidR="009231BE" w:rsidRPr="00890159">
        <w:rPr>
          <w:rFonts w:eastAsia="SimSun" w:cs="Calibri"/>
          <w:szCs w:val="23"/>
          <w:lang w:eastAsia="zh-CN"/>
        </w:rPr>
        <w:t>AI</w:t>
      </w:r>
      <w:r w:rsidRPr="00890159">
        <w:rPr>
          <w:rFonts w:eastAsia="SimSun" w:cs="Calibri"/>
          <w:szCs w:val="23"/>
          <w:lang w:eastAsia="zh-CN"/>
        </w:rPr>
        <w:t>和数据治理等快速发展的领域。</w:t>
      </w:r>
    </w:p>
    <w:p w14:paraId="1D56ECE1" w14:textId="7748AFA6" w:rsidR="00463020" w:rsidRPr="00554BFD" w:rsidRDefault="00CB650B" w:rsidP="00554BFD">
      <w:pPr>
        <w:pStyle w:val="Heading2"/>
        <w:rPr>
          <w:rFonts w:ascii="SimSun" w:eastAsia="SimSun" w:hAnsi="SimSun"/>
          <w:lang w:eastAsia="zh-CN"/>
        </w:rPr>
      </w:pPr>
      <w:bookmarkStart w:id="11" w:name="_Toc204780030"/>
      <w:r w:rsidRPr="00554BFD">
        <w:rPr>
          <w:rFonts w:ascii="SimSun" w:eastAsia="SimSun" w:hAnsi="SimSun" w:hint="eastAsia"/>
          <w:lang w:eastAsia="zh-CN"/>
        </w:rPr>
        <w:t>塑造数字创新，实现公共价值</w:t>
      </w:r>
      <w:bookmarkEnd w:id="11"/>
    </w:p>
    <w:p w14:paraId="031CBCC6" w14:textId="05CCE3BC" w:rsidR="00CB650B" w:rsidRPr="00463020" w:rsidRDefault="00CE0260" w:rsidP="007A6C15">
      <w:pPr>
        <w:ind w:firstLineChars="200" w:firstLine="460"/>
        <w:jc w:val="both"/>
        <w:rPr>
          <w:rFonts w:cs="Calibri"/>
          <w:lang w:eastAsia="zh-CN"/>
        </w:rPr>
      </w:pPr>
      <w:r w:rsidRPr="001F00DC">
        <w:rPr>
          <w:rFonts w:ascii="SimSun" w:eastAsia="SimSun" w:hAnsi="SimSun" w:cs="Calibri" w:hint="eastAsia"/>
          <w:lang w:eastAsia="zh-CN"/>
        </w:rPr>
        <w:t>监管不仅应促进创新，更应引导创新实现社会包容、权利保护和可持续性。应将激励措施与对服务欠缺地区、</w:t>
      </w:r>
      <w:r w:rsidR="009F4A9C" w:rsidRPr="001F00DC">
        <w:rPr>
          <w:rFonts w:ascii="SimSun" w:eastAsia="SimSun" w:hAnsi="SimSun" w:cs="Calibri" w:hint="eastAsia"/>
          <w:lang w:eastAsia="zh-CN"/>
        </w:rPr>
        <w:t>有意义的连接</w:t>
      </w:r>
      <w:r w:rsidRPr="001F00DC">
        <w:rPr>
          <w:rFonts w:ascii="SimSun" w:eastAsia="SimSun" w:hAnsi="SimSun" w:cs="Calibri" w:hint="eastAsia"/>
          <w:lang w:eastAsia="zh-CN"/>
        </w:rPr>
        <w:t>、数字公共基础设施的投资相结合，确保技术为民众和社区带来切实利益。</w:t>
      </w:r>
    </w:p>
    <w:p w14:paraId="284F3AA7" w14:textId="7869C1CF" w:rsidR="00463020" w:rsidRPr="00A855E7" w:rsidRDefault="00D34738" w:rsidP="00494183">
      <w:pPr>
        <w:pStyle w:val="Heading2"/>
        <w:jc w:val="both"/>
        <w:rPr>
          <w:rFonts w:eastAsia="SimSun" w:cs="Calibri"/>
          <w:sz w:val="24"/>
          <w:szCs w:val="24"/>
          <w:lang w:eastAsia="zh-CN"/>
        </w:rPr>
      </w:pPr>
      <w:bookmarkStart w:id="12" w:name="_Toc204780031"/>
      <w:r w:rsidRPr="00A855E7">
        <w:rPr>
          <w:rStyle w:val="Heading1Char"/>
          <w:rFonts w:ascii="SimSun" w:eastAsia="SimSun" w:hAnsi="SimSun" w:hint="eastAsia"/>
          <w:color w:val="000000" w:themeColor="text1"/>
          <w:sz w:val="24"/>
          <w:szCs w:val="24"/>
          <w:lang w:eastAsia="zh-CN"/>
        </w:rPr>
        <w:lastRenderedPageBreak/>
        <w:t>三</w:t>
      </w:r>
      <w:r w:rsidR="009F4A9C" w:rsidRPr="00A855E7">
        <w:rPr>
          <w:rStyle w:val="Heading1Char"/>
          <w:rFonts w:ascii="SimSun" w:eastAsia="SimSun" w:hAnsi="SimSun"/>
          <w:color w:val="000000" w:themeColor="text1"/>
          <w:sz w:val="24"/>
          <w:szCs w:val="24"/>
          <w:lang w:eastAsia="zh-CN"/>
        </w:rPr>
        <w:tab/>
      </w:r>
      <w:r w:rsidR="00017A4C" w:rsidRPr="00A855E7">
        <w:rPr>
          <w:rStyle w:val="Heading1Char"/>
          <w:rFonts w:ascii="SimSun" w:eastAsia="SimSun" w:hAnsi="SimSun" w:hint="eastAsia"/>
          <w:color w:val="000000" w:themeColor="text1"/>
          <w:sz w:val="24"/>
          <w:szCs w:val="24"/>
          <w:lang w:eastAsia="zh-CN"/>
        </w:rPr>
        <w:t>利用新兴技术实现</w:t>
      </w:r>
      <w:r w:rsidR="00554BFD" w:rsidRPr="00A855E7">
        <w:rPr>
          <w:rStyle w:val="Heading1Char"/>
          <w:rFonts w:ascii="SimSun" w:eastAsia="SimSun" w:hAnsi="SimSun" w:hint="eastAsia"/>
          <w:color w:val="000000" w:themeColor="text1"/>
          <w:sz w:val="24"/>
          <w:szCs w:val="24"/>
          <w:lang w:eastAsia="zh-CN"/>
        </w:rPr>
        <w:t>卓越监管</w:t>
      </w:r>
      <w:bookmarkEnd w:id="12"/>
    </w:p>
    <w:p w14:paraId="1A956045" w14:textId="6288A55F" w:rsidR="00384493" w:rsidRPr="00554BFD" w:rsidRDefault="00017A4C" w:rsidP="00554BFD">
      <w:pPr>
        <w:pStyle w:val="Heading2"/>
        <w:rPr>
          <w:rFonts w:ascii="SimSun" w:eastAsia="SimSun" w:hAnsi="SimSun"/>
          <w:lang w:eastAsia="zh-CN"/>
        </w:rPr>
      </w:pPr>
      <w:bookmarkStart w:id="13" w:name="_Toc204780032"/>
      <w:r w:rsidRPr="00554BFD">
        <w:rPr>
          <w:rFonts w:ascii="SimSun" w:eastAsia="SimSun" w:hAnsi="SimSun"/>
          <w:lang w:eastAsia="zh-CN"/>
        </w:rPr>
        <w:t>在整个监管周期中使用数字工具</w:t>
      </w:r>
      <w:bookmarkEnd w:id="13"/>
    </w:p>
    <w:p w14:paraId="0289F210" w14:textId="138425F2" w:rsidR="00463020" w:rsidRPr="001F00DC" w:rsidRDefault="0058781C" w:rsidP="007A6C15">
      <w:pPr>
        <w:ind w:firstLineChars="200" w:firstLine="460"/>
        <w:jc w:val="both"/>
        <w:rPr>
          <w:rFonts w:eastAsia="SimSun" w:cs="Calibri"/>
          <w:szCs w:val="23"/>
          <w:lang w:eastAsia="zh-CN"/>
        </w:rPr>
      </w:pPr>
      <w:r w:rsidRPr="001F00DC">
        <w:rPr>
          <w:rFonts w:eastAsia="SimSun" w:cs="Calibri"/>
          <w:szCs w:val="23"/>
          <w:lang w:eastAsia="zh-CN"/>
        </w:rPr>
        <w:t>将</w:t>
      </w:r>
      <w:r w:rsidR="009231BE" w:rsidRPr="001F00DC">
        <w:rPr>
          <w:rFonts w:eastAsia="SimSun" w:cs="Calibri"/>
          <w:szCs w:val="23"/>
          <w:lang w:eastAsia="zh-CN"/>
        </w:rPr>
        <w:t>AI</w:t>
      </w:r>
      <w:r w:rsidRPr="001F00DC">
        <w:rPr>
          <w:rFonts w:eastAsia="SimSun" w:cs="Calibri"/>
          <w:szCs w:val="23"/>
          <w:lang w:eastAsia="zh-CN"/>
        </w:rPr>
        <w:t>、大数据、区块链和物联网</w:t>
      </w:r>
      <w:r w:rsidR="00674374" w:rsidRPr="001F00DC">
        <w:rPr>
          <w:rFonts w:eastAsia="SimSun" w:cs="Calibri"/>
          <w:szCs w:val="23"/>
          <w:lang w:eastAsia="zh-CN"/>
        </w:rPr>
        <w:t>（</w:t>
      </w:r>
      <w:r w:rsidR="00674374" w:rsidRPr="001F00DC">
        <w:rPr>
          <w:rFonts w:eastAsia="SimSun" w:cs="Calibri"/>
          <w:szCs w:val="23"/>
          <w:lang w:eastAsia="zh-CN"/>
        </w:rPr>
        <w:t>LoT</w:t>
      </w:r>
      <w:r w:rsidR="00674374" w:rsidRPr="001F00DC">
        <w:rPr>
          <w:rFonts w:eastAsia="SimSun" w:cs="Calibri"/>
          <w:szCs w:val="23"/>
          <w:lang w:eastAsia="zh-CN"/>
        </w:rPr>
        <w:t>）</w:t>
      </w:r>
      <w:r w:rsidRPr="001F00DC">
        <w:rPr>
          <w:rFonts w:eastAsia="SimSun" w:cs="Calibri"/>
          <w:szCs w:val="23"/>
          <w:lang w:eastAsia="zh-CN"/>
        </w:rPr>
        <w:t>等新兴技术融入监管、合规和决策中</w:t>
      </w:r>
      <w:r w:rsidRPr="001F00DC">
        <w:rPr>
          <w:rFonts w:eastAsia="SimSun" w:cs="Calibri"/>
          <w:szCs w:val="23"/>
          <w:lang w:eastAsia="zh-CN"/>
        </w:rPr>
        <w:t xml:space="preserve"> – </w:t>
      </w:r>
      <w:r w:rsidRPr="001F00DC">
        <w:rPr>
          <w:rFonts w:eastAsia="SimSun" w:cs="Calibri"/>
          <w:szCs w:val="23"/>
          <w:lang w:eastAsia="zh-CN"/>
        </w:rPr>
        <w:t>不是作为附加，而是作为内嵌功能。例如：通过数据实施</w:t>
      </w:r>
      <w:r w:rsidR="00B05674" w:rsidRPr="001F00DC">
        <w:rPr>
          <w:rFonts w:eastAsia="SimSun" w:cs="Calibri"/>
          <w:szCs w:val="23"/>
          <w:lang w:eastAsia="zh-CN"/>
        </w:rPr>
        <w:t>的</w:t>
      </w:r>
      <w:r w:rsidRPr="001F00DC">
        <w:rPr>
          <w:rFonts w:eastAsia="SimSun" w:cs="Calibri"/>
          <w:szCs w:val="23"/>
          <w:lang w:eastAsia="zh-CN"/>
        </w:rPr>
        <w:t>监管、实时频谱</w:t>
      </w:r>
      <w:r w:rsidR="00B05674" w:rsidRPr="001F00DC">
        <w:rPr>
          <w:rFonts w:eastAsia="SimSun" w:cs="Calibri"/>
          <w:szCs w:val="23"/>
          <w:lang w:eastAsia="zh-CN"/>
        </w:rPr>
        <w:t>检测</w:t>
      </w:r>
      <w:r w:rsidRPr="001F00DC">
        <w:rPr>
          <w:rFonts w:eastAsia="SimSun" w:cs="Calibri"/>
          <w:szCs w:val="23"/>
          <w:lang w:eastAsia="zh-CN"/>
        </w:rPr>
        <w:t>、自动合规</w:t>
      </w:r>
      <w:r w:rsidR="00B05674" w:rsidRPr="001F00DC">
        <w:rPr>
          <w:rFonts w:eastAsia="SimSun" w:cs="Calibri"/>
          <w:szCs w:val="23"/>
          <w:lang w:eastAsia="zh-CN"/>
        </w:rPr>
        <w:t>告警</w:t>
      </w:r>
      <w:r w:rsidRPr="001F00DC">
        <w:rPr>
          <w:rFonts w:eastAsia="SimSun" w:cs="Calibri"/>
          <w:szCs w:val="23"/>
          <w:lang w:eastAsia="zh-CN"/>
        </w:rPr>
        <w:t>和智能许可系统，以及其他</w:t>
      </w:r>
      <w:r w:rsidR="00B05674" w:rsidRPr="001F00DC">
        <w:rPr>
          <w:rFonts w:eastAsia="SimSun" w:cs="Calibri"/>
          <w:szCs w:val="23"/>
          <w:lang w:eastAsia="zh-CN"/>
        </w:rPr>
        <w:t>RegTech</w:t>
      </w:r>
      <w:r w:rsidR="00B05674" w:rsidRPr="001F00DC">
        <w:rPr>
          <w:rFonts w:eastAsia="SimSun" w:cs="Calibri"/>
          <w:szCs w:val="23"/>
          <w:lang w:eastAsia="zh-CN"/>
        </w:rPr>
        <w:t>和</w:t>
      </w:r>
      <w:r w:rsidR="00B05674" w:rsidRPr="001F00DC">
        <w:rPr>
          <w:rFonts w:eastAsia="SimSun" w:cs="Calibri"/>
          <w:szCs w:val="23"/>
          <w:lang w:eastAsia="zh-CN"/>
        </w:rPr>
        <w:t>SupReg</w:t>
      </w:r>
      <w:r w:rsidR="00B05674" w:rsidRPr="001F00DC">
        <w:rPr>
          <w:rFonts w:eastAsia="SimSun" w:cs="Calibri"/>
          <w:szCs w:val="23"/>
          <w:lang w:eastAsia="zh-CN"/>
        </w:rPr>
        <w:t>应用。</w:t>
      </w:r>
    </w:p>
    <w:p w14:paraId="36EC9C4E" w14:textId="4286D9C0" w:rsidR="00384493" w:rsidRPr="00554BFD" w:rsidRDefault="00B05674" w:rsidP="00554BFD">
      <w:pPr>
        <w:pStyle w:val="Heading2"/>
        <w:rPr>
          <w:rFonts w:ascii="SimSun" w:eastAsia="SimSun" w:hAnsi="SimSun"/>
          <w:lang w:eastAsia="zh-CN"/>
        </w:rPr>
      </w:pPr>
      <w:bookmarkStart w:id="14" w:name="_Toc204780033"/>
      <w:r w:rsidRPr="00554BFD">
        <w:rPr>
          <w:rFonts w:ascii="SimSun" w:eastAsia="SimSun" w:hAnsi="SimSun"/>
          <w:lang w:eastAsia="zh-CN"/>
        </w:rPr>
        <w:t>利用数据进行响应式监督</w:t>
      </w:r>
      <w:bookmarkEnd w:id="14"/>
    </w:p>
    <w:p w14:paraId="0117F7AE" w14:textId="5B0722B6" w:rsidR="00463020" w:rsidRPr="00463020" w:rsidRDefault="00C72BBC" w:rsidP="007A6C15">
      <w:pPr>
        <w:ind w:firstLineChars="200" w:firstLine="460"/>
        <w:jc w:val="both"/>
        <w:rPr>
          <w:rFonts w:cs="Calibri"/>
          <w:szCs w:val="23"/>
          <w:lang w:eastAsia="zh-CN"/>
        </w:rPr>
      </w:pPr>
      <w:r w:rsidRPr="001F00DC">
        <w:rPr>
          <w:rFonts w:eastAsia="SimSun" w:cs="Calibri"/>
          <w:szCs w:val="23"/>
          <w:lang w:eastAsia="zh-CN"/>
        </w:rPr>
        <w:t>建立集成数据系统，将市场参与者提交的数据、传感器数据和众包反馈结合起来。通过</w:t>
      </w:r>
      <w:r w:rsidR="00674374" w:rsidRPr="001F00DC">
        <w:rPr>
          <w:rFonts w:eastAsia="SimSun" w:cs="Calibri"/>
          <w:szCs w:val="23"/>
          <w:lang w:eastAsia="zh-CN"/>
        </w:rPr>
        <w:t>信息概览</w:t>
      </w:r>
      <w:r w:rsidRPr="001F00DC">
        <w:rPr>
          <w:rFonts w:eastAsia="SimSun" w:cs="Calibri"/>
          <w:szCs w:val="23"/>
          <w:lang w:eastAsia="zh-CN"/>
        </w:rPr>
        <w:t>和分析，发现服务缺口、及早识别风险，并在最关键的领域指导干预措施。</w:t>
      </w:r>
    </w:p>
    <w:p w14:paraId="29CAF7FF" w14:textId="01DDE116" w:rsidR="00384493" w:rsidRPr="00554BFD" w:rsidRDefault="005437A1" w:rsidP="00554BFD">
      <w:pPr>
        <w:pStyle w:val="Heading2"/>
        <w:rPr>
          <w:rFonts w:ascii="SimSun" w:eastAsia="SimSun" w:hAnsi="SimSun"/>
          <w:lang w:eastAsia="zh-CN"/>
        </w:rPr>
      </w:pPr>
      <w:bookmarkStart w:id="15" w:name="_Toc204780034"/>
      <w:r w:rsidRPr="00554BFD">
        <w:rPr>
          <w:rFonts w:ascii="SimSun" w:eastAsia="SimSun" w:hAnsi="SimSun"/>
          <w:lang w:eastAsia="zh-CN"/>
        </w:rPr>
        <w:t>通过技术实现互动现代化</w:t>
      </w:r>
      <w:bookmarkEnd w:id="15"/>
    </w:p>
    <w:p w14:paraId="0F85739B" w14:textId="3BCB98E7" w:rsidR="00463020" w:rsidRPr="001F00DC" w:rsidRDefault="005437A1" w:rsidP="007A6C15">
      <w:pPr>
        <w:ind w:firstLineChars="200" w:firstLine="460"/>
        <w:jc w:val="both"/>
        <w:rPr>
          <w:rFonts w:eastAsia="SimSun" w:cs="Calibri"/>
          <w:szCs w:val="23"/>
          <w:lang w:eastAsia="zh-CN"/>
        </w:rPr>
      </w:pPr>
      <w:r w:rsidRPr="001F00DC">
        <w:rPr>
          <w:rFonts w:eastAsia="SimSun" w:cs="Calibri"/>
          <w:szCs w:val="23"/>
          <w:lang w:eastAsia="zh-CN"/>
        </w:rPr>
        <w:t>启动数字门户、开放数据平台和移动工具，提高决策透明度，使得参与更加容易，尤其是服务不足或偏远社区的用户。使用</w:t>
      </w:r>
      <w:r w:rsidR="009231BE" w:rsidRPr="001F00DC">
        <w:rPr>
          <w:rFonts w:eastAsia="SimSun" w:cs="Calibri"/>
          <w:szCs w:val="23"/>
          <w:lang w:eastAsia="zh-CN"/>
        </w:rPr>
        <w:t>AI</w:t>
      </w:r>
      <w:r w:rsidRPr="001F00DC">
        <w:rPr>
          <w:rFonts w:eastAsia="SimSun" w:cs="Calibri"/>
          <w:szCs w:val="23"/>
          <w:lang w:eastAsia="zh-CN"/>
        </w:rPr>
        <w:t>聊天机器人或基于地图的</w:t>
      </w:r>
      <w:r w:rsidR="007B5393" w:rsidRPr="001F00DC">
        <w:rPr>
          <w:rFonts w:eastAsia="SimSun" w:cs="Calibri"/>
          <w:szCs w:val="23"/>
          <w:lang w:eastAsia="zh-CN"/>
        </w:rPr>
        <w:t>信息概览</w:t>
      </w:r>
      <w:r w:rsidRPr="001F00DC">
        <w:rPr>
          <w:rFonts w:eastAsia="SimSun" w:cs="Calibri"/>
          <w:szCs w:val="23"/>
          <w:lang w:eastAsia="zh-CN"/>
        </w:rPr>
        <w:t>等工具来改善访问和反馈机制。简化行业监管流程，在确保监管力度的同时，降低合规成本，提高营商便利度。</w:t>
      </w:r>
    </w:p>
    <w:p w14:paraId="2E202097" w14:textId="4D48F69A" w:rsidR="00384493" w:rsidRPr="00554BFD" w:rsidRDefault="005437A1" w:rsidP="00554BFD">
      <w:pPr>
        <w:pStyle w:val="Heading2"/>
        <w:rPr>
          <w:rFonts w:ascii="SimSun" w:eastAsia="SimSun" w:hAnsi="SimSun"/>
          <w:lang w:eastAsia="zh-CN"/>
        </w:rPr>
      </w:pPr>
      <w:bookmarkStart w:id="16" w:name="_Toc204780035"/>
      <w:r w:rsidRPr="00554BFD">
        <w:rPr>
          <w:rFonts w:ascii="SimSun" w:eastAsia="SimSun" w:hAnsi="SimSun"/>
          <w:lang w:eastAsia="zh-CN"/>
        </w:rPr>
        <w:t>使实验制度化</w:t>
      </w:r>
      <w:bookmarkEnd w:id="16"/>
    </w:p>
    <w:p w14:paraId="0DB0BDEC" w14:textId="0CB5A845" w:rsidR="00463020" w:rsidRPr="001F00DC" w:rsidRDefault="005437A1" w:rsidP="007A6C15">
      <w:pPr>
        <w:ind w:firstLineChars="200" w:firstLine="460"/>
        <w:jc w:val="both"/>
        <w:rPr>
          <w:rFonts w:eastAsia="SimSun" w:cs="Calibri"/>
          <w:szCs w:val="23"/>
          <w:lang w:eastAsia="zh-CN"/>
        </w:rPr>
      </w:pPr>
      <w:r w:rsidRPr="001F00DC">
        <w:rPr>
          <w:rFonts w:eastAsia="SimSun" w:cs="Calibri"/>
          <w:szCs w:val="23"/>
          <w:lang w:eastAsia="zh-CN"/>
        </w:rPr>
        <w:t>在制定新规则之前，使用沙盒、生活实验室、</w:t>
      </w:r>
      <w:r w:rsidR="00FF42E6" w:rsidRPr="001F00DC">
        <w:rPr>
          <w:rFonts w:eastAsia="SimSun" w:cs="Calibri"/>
          <w:szCs w:val="23"/>
          <w:lang w:eastAsia="zh-CN"/>
        </w:rPr>
        <w:t>模拟和</w:t>
      </w:r>
      <w:r w:rsidR="007B5393" w:rsidRPr="001F00DC">
        <w:rPr>
          <w:rFonts w:eastAsia="SimSun" w:cs="Calibri"/>
          <w:szCs w:val="23"/>
          <w:lang w:eastAsia="zh-CN"/>
        </w:rPr>
        <w:t>场景</w:t>
      </w:r>
      <w:r w:rsidR="00FF42E6" w:rsidRPr="001F00DC">
        <w:rPr>
          <w:rFonts w:eastAsia="SimSun" w:cs="Calibri"/>
          <w:szCs w:val="23"/>
          <w:lang w:eastAsia="zh-CN"/>
        </w:rPr>
        <w:t>工具测试监管响应。利用</w:t>
      </w:r>
      <w:r w:rsidR="009231BE" w:rsidRPr="001F00DC">
        <w:rPr>
          <w:rFonts w:eastAsia="SimSun" w:cs="Calibri"/>
          <w:szCs w:val="23"/>
          <w:lang w:eastAsia="zh-CN"/>
        </w:rPr>
        <w:t>AI</w:t>
      </w:r>
      <w:r w:rsidR="00FF42E6" w:rsidRPr="001F00DC">
        <w:rPr>
          <w:rFonts w:eastAsia="SimSun" w:cs="Calibri"/>
          <w:szCs w:val="23"/>
          <w:lang w:eastAsia="zh-CN"/>
        </w:rPr>
        <w:t>辅助工具加速协商分析并提高响应能力。通过与业界和其他利益攸关方共同设计这些实验框架，确保有效</w:t>
      </w:r>
      <w:r w:rsidR="00A62260" w:rsidRPr="001F00DC">
        <w:rPr>
          <w:rFonts w:eastAsia="SimSun" w:cs="Calibri"/>
          <w:szCs w:val="23"/>
          <w:lang w:eastAsia="zh-CN"/>
        </w:rPr>
        <w:t>性</w:t>
      </w:r>
      <w:r w:rsidR="00FF42E6" w:rsidRPr="001F00DC">
        <w:rPr>
          <w:rFonts w:eastAsia="SimSun" w:cs="Calibri"/>
          <w:szCs w:val="23"/>
          <w:lang w:eastAsia="zh-CN"/>
        </w:rPr>
        <w:t>和</w:t>
      </w:r>
      <w:r w:rsidR="00A62260" w:rsidRPr="001F00DC">
        <w:rPr>
          <w:rFonts w:eastAsia="SimSun" w:cs="Calibri"/>
          <w:szCs w:val="23"/>
          <w:lang w:eastAsia="zh-CN"/>
        </w:rPr>
        <w:t>负责任的创新</w:t>
      </w:r>
      <w:r w:rsidR="00FF42E6" w:rsidRPr="001F00DC">
        <w:rPr>
          <w:rFonts w:eastAsia="SimSun" w:cs="Calibri"/>
          <w:szCs w:val="23"/>
          <w:lang w:eastAsia="zh-CN"/>
        </w:rPr>
        <w:t>。</w:t>
      </w:r>
    </w:p>
    <w:p w14:paraId="493B4C26" w14:textId="1BB7F6E4" w:rsidR="00384493" w:rsidRPr="00554BFD" w:rsidRDefault="00C47333" w:rsidP="00554BFD">
      <w:pPr>
        <w:pStyle w:val="Heading2"/>
        <w:rPr>
          <w:rFonts w:ascii="SimSun" w:eastAsia="SimSun" w:hAnsi="SimSun"/>
          <w:lang w:eastAsia="zh-CN"/>
        </w:rPr>
      </w:pPr>
      <w:bookmarkStart w:id="17" w:name="_Toc204780036"/>
      <w:r w:rsidRPr="00554BFD">
        <w:rPr>
          <w:rFonts w:ascii="SimSun" w:eastAsia="SimSun" w:hAnsi="SimSun"/>
          <w:lang w:eastAsia="zh-CN"/>
        </w:rPr>
        <w:t>为</w:t>
      </w:r>
      <w:r w:rsidR="00A62260" w:rsidRPr="00554BFD">
        <w:rPr>
          <w:rFonts w:ascii="SimSun" w:eastAsia="SimSun" w:hAnsi="SimSun"/>
          <w:lang w:eastAsia="zh-CN"/>
        </w:rPr>
        <w:t>信任和道德规范</w:t>
      </w:r>
      <w:r w:rsidRPr="00554BFD">
        <w:rPr>
          <w:rFonts w:ascii="SimSun" w:eastAsia="SimSun" w:hAnsi="SimSun"/>
          <w:lang w:eastAsia="zh-CN"/>
        </w:rPr>
        <w:t>而设计</w:t>
      </w:r>
      <w:bookmarkEnd w:id="17"/>
    </w:p>
    <w:p w14:paraId="5072CB6D" w14:textId="72EC94D7" w:rsidR="00463020" w:rsidRPr="001F00DC" w:rsidRDefault="00C47333" w:rsidP="007A6C15">
      <w:pPr>
        <w:ind w:firstLineChars="200" w:firstLine="460"/>
        <w:jc w:val="both"/>
        <w:rPr>
          <w:rFonts w:eastAsia="SimSun" w:cs="Calibri"/>
          <w:szCs w:val="23"/>
          <w:lang w:eastAsia="zh-CN"/>
        </w:rPr>
      </w:pPr>
      <w:r w:rsidRPr="001F00DC">
        <w:rPr>
          <w:rFonts w:eastAsia="SimSun" w:cs="Calibri"/>
          <w:szCs w:val="23"/>
          <w:lang w:eastAsia="zh-CN"/>
        </w:rPr>
        <w:t>在内部技术使用方面以身作则。使用隐私保护工具，建立对自动化决策的明确问责机制，并遵循可信赖的</w:t>
      </w:r>
      <w:r w:rsidR="009231BE" w:rsidRPr="001F00DC">
        <w:rPr>
          <w:rFonts w:eastAsia="SimSun" w:cs="Calibri"/>
          <w:szCs w:val="23"/>
          <w:lang w:eastAsia="zh-CN"/>
        </w:rPr>
        <w:t>AI</w:t>
      </w:r>
      <w:r w:rsidRPr="001F00DC">
        <w:rPr>
          <w:rFonts w:eastAsia="SimSun" w:cs="Calibri"/>
          <w:szCs w:val="23"/>
          <w:lang w:eastAsia="zh-CN"/>
        </w:rPr>
        <w:t>和数据保护全球原则。向公众清晰地说明技术的使用方式和所采取的保障措施。</w:t>
      </w:r>
    </w:p>
    <w:p w14:paraId="4E725F08" w14:textId="035686CE" w:rsidR="00384493" w:rsidRPr="00554BFD" w:rsidRDefault="00C04E72" w:rsidP="00554BFD">
      <w:pPr>
        <w:pStyle w:val="Heading2"/>
        <w:rPr>
          <w:rFonts w:ascii="SimSun" w:eastAsia="SimSun" w:hAnsi="SimSun"/>
          <w:lang w:eastAsia="zh-CN"/>
        </w:rPr>
      </w:pPr>
      <w:bookmarkStart w:id="18" w:name="_Toc204780038"/>
      <w:r w:rsidRPr="00554BFD">
        <w:rPr>
          <w:rFonts w:ascii="SimSun" w:eastAsia="SimSun" w:hAnsi="SimSun"/>
          <w:lang w:eastAsia="zh-CN"/>
        </w:rPr>
        <w:t>提升交付能力</w:t>
      </w:r>
      <w:bookmarkEnd w:id="18"/>
    </w:p>
    <w:p w14:paraId="5EF2E593" w14:textId="6031446E" w:rsidR="00463020" w:rsidRPr="001F00DC" w:rsidRDefault="0034536F" w:rsidP="007A6C15">
      <w:pPr>
        <w:ind w:firstLineChars="200" w:firstLine="460"/>
        <w:jc w:val="both"/>
        <w:rPr>
          <w:rFonts w:eastAsia="SimSun" w:cs="Calibri"/>
          <w:szCs w:val="23"/>
          <w:lang w:eastAsia="zh-CN"/>
        </w:rPr>
      </w:pPr>
      <w:r w:rsidRPr="001F00DC">
        <w:rPr>
          <w:rFonts w:eastAsia="SimSun" w:cs="Calibri"/>
          <w:szCs w:val="23"/>
          <w:lang w:eastAsia="zh-CN"/>
        </w:rPr>
        <w:t>应</w:t>
      </w:r>
      <w:r w:rsidR="00C04E72" w:rsidRPr="001F00DC">
        <w:rPr>
          <w:rFonts w:eastAsia="SimSun" w:cs="Calibri"/>
          <w:szCs w:val="23"/>
          <w:lang w:eastAsia="zh-CN"/>
        </w:rPr>
        <w:t>认识到数字化转型需要战略，而不仅仅是软件。投资于跨学科人才，推广开放标准，并在政府</w:t>
      </w:r>
      <w:r w:rsidR="007B5393" w:rsidRPr="001F00DC">
        <w:rPr>
          <w:rFonts w:eastAsia="SimSun" w:cs="Calibri"/>
          <w:szCs w:val="23"/>
          <w:lang w:eastAsia="zh-CN"/>
        </w:rPr>
        <w:t>机构</w:t>
      </w:r>
      <w:r w:rsidR="00C04E72" w:rsidRPr="001F00DC">
        <w:rPr>
          <w:rFonts w:eastAsia="SimSun" w:cs="Calibri"/>
          <w:szCs w:val="23"/>
          <w:lang w:eastAsia="zh-CN"/>
        </w:rPr>
        <w:t>间开发共享的基础设施，以避免重复和对专有系统的过度依赖。</w:t>
      </w:r>
    </w:p>
    <w:p w14:paraId="6224C135" w14:textId="778E9487" w:rsidR="00463020" w:rsidRPr="00A855E7" w:rsidRDefault="007B5393" w:rsidP="00C954A5">
      <w:pPr>
        <w:pStyle w:val="Heading2"/>
        <w:jc w:val="both"/>
        <w:rPr>
          <w:rFonts w:eastAsia="SimSun" w:cs="Calibri"/>
          <w:bCs/>
          <w:sz w:val="24"/>
          <w:szCs w:val="24"/>
          <w:lang w:eastAsia="zh-CN"/>
        </w:rPr>
      </w:pPr>
      <w:bookmarkStart w:id="19" w:name="_Toc204780039"/>
      <w:r w:rsidRPr="00A855E7">
        <w:rPr>
          <w:rStyle w:val="Heading1Char"/>
          <w:rFonts w:ascii="SimSun" w:eastAsia="SimSun" w:hAnsi="SimSun" w:hint="eastAsia"/>
          <w:color w:val="000000" w:themeColor="text1"/>
          <w:sz w:val="24"/>
          <w:szCs w:val="24"/>
          <w:lang w:eastAsia="zh-CN"/>
        </w:rPr>
        <w:t>四</w:t>
      </w:r>
      <w:r w:rsidR="00554BFD" w:rsidRPr="00A855E7">
        <w:rPr>
          <w:rStyle w:val="Heading1Char"/>
          <w:rFonts w:ascii="SimSun" w:eastAsia="SimSun" w:hAnsi="SimSun"/>
          <w:color w:val="000000" w:themeColor="text1"/>
          <w:sz w:val="24"/>
          <w:szCs w:val="24"/>
          <w:lang w:eastAsia="zh-CN"/>
        </w:rPr>
        <w:tab/>
      </w:r>
      <w:r w:rsidR="00C04E72" w:rsidRPr="00A855E7">
        <w:rPr>
          <w:rStyle w:val="Heading1Char"/>
          <w:rFonts w:ascii="SimSun" w:eastAsia="SimSun" w:hAnsi="SimSun" w:hint="eastAsia"/>
          <w:color w:val="000000" w:themeColor="text1"/>
          <w:sz w:val="24"/>
          <w:szCs w:val="24"/>
          <w:lang w:eastAsia="zh-CN"/>
        </w:rPr>
        <w:t>加强跨境合作，迈向互联未来</w:t>
      </w:r>
      <w:bookmarkEnd w:id="19"/>
    </w:p>
    <w:p w14:paraId="676CA406" w14:textId="16F4EA16" w:rsidR="00384493" w:rsidRPr="00554BFD" w:rsidRDefault="003578D4" w:rsidP="00554BFD">
      <w:pPr>
        <w:pStyle w:val="Heading2"/>
        <w:rPr>
          <w:rFonts w:ascii="SimSun" w:eastAsia="SimSun" w:hAnsi="SimSun"/>
          <w:lang w:eastAsia="zh-CN"/>
        </w:rPr>
      </w:pPr>
      <w:bookmarkStart w:id="20" w:name="_Toc204780040"/>
      <w:r w:rsidRPr="00554BFD">
        <w:rPr>
          <w:rFonts w:ascii="SimSun" w:eastAsia="SimSun" w:hAnsi="SimSun"/>
          <w:lang w:eastAsia="zh-CN"/>
        </w:rPr>
        <w:t>开展务实</w:t>
      </w:r>
      <w:r w:rsidR="00C04E72" w:rsidRPr="00554BFD">
        <w:rPr>
          <w:rFonts w:ascii="SimSun" w:eastAsia="SimSun" w:hAnsi="SimSun"/>
          <w:lang w:eastAsia="zh-CN"/>
        </w:rPr>
        <w:t>协作</w:t>
      </w:r>
      <w:bookmarkEnd w:id="20"/>
    </w:p>
    <w:p w14:paraId="3714F249" w14:textId="3D70017E" w:rsidR="00463020" w:rsidRPr="001F00DC" w:rsidRDefault="00C04E72" w:rsidP="007A6C15">
      <w:pPr>
        <w:ind w:firstLineChars="200" w:firstLine="460"/>
        <w:jc w:val="both"/>
        <w:rPr>
          <w:rFonts w:eastAsia="SimSun" w:cs="Calibri"/>
          <w:szCs w:val="23"/>
          <w:lang w:eastAsia="zh-CN"/>
        </w:rPr>
      </w:pPr>
      <w:r w:rsidRPr="001F00DC">
        <w:rPr>
          <w:rFonts w:eastAsia="SimSun" w:cs="Calibri"/>
          <w:szCs w:val="23"/>
          <w:lang w:eastAsia="zh-CN"/>
        </w:rPr>
        <w:t>利用区域</w:t>
      </w:r>
      <w:r w:rsidR="0034536F" w:rsidRPr="001F00DC">
        <w:rPr>
          <w:rFonts w:eastAsia="SimSun" w:cs="Calibri"/>
          <w:szCs w:val="23"/>
          <w:lang w:eastAsia="zh-CN"/>
        </w:rPr>
        <w:t>性</w:t>
      </w:r>
      <w:r w:rsidRPr="001F00DC">
        <w:rPr>
          <w:rFonts w:eastAsia="SimSun" w:cs="Calibri"/>
          <w:szCs w:val="23"/>
          <w:lang w:eastAsia="zh-CN"/>
        </w:rPr>
        <w:t>和国际</w:t>
      </w:r>
      <w:r w:rsidR="0034536F" w:rsidRPr="001F00DC">
        <w:rPr>
          <w:rFonts w:eastAsia="SimSun" w:cs="Calibri"/>
          <w:szCs w:val="23"/>
          <w:lang w:eastAsia="zh-CN"/>
        </w:rPr>
        <w:t>性</w:t>
      </w:r>
      <w:r w:rsidRPr="001F00DC">
        <w:rPr>
          <w:rFonts w:eastAsia="SimSun" w:cs="Calibri"/>
          <w:szCs w:val="23"/>
          <w:lang w:eastAsia="zh-CN"/>
        </w:rPr>
        <w:t>伙伴关系</w:t>
      </w:r>
      <w:r w:rsidR="0034536F" w:rsidRPr="001F00DC">
        <w:rPr>
          <w:rFonts w:eastAsia="SimSun" w:cs="Calibri"/>
          <w:szCs w:val="23"/>
          <w:lang w:eastAsia="zh-CN"/>
        </w:rPr>
        <w:t>，</w:t>
      </w:r>
      <w:r w:rsidRPr="001F00DC">
        <w:rPr>
          <w:rFonts w:eastAsia="SimSun" w:cs="Calibri"/>
          <w:szCs w:val="23"/>
          <w:lang w:eastAsia="zh-CN"/>
        </w:rPr>
        <w:t>解决从频谱协调到</w:t>
      </w:r>
      <w:r w:rsidR="009231BE" w:rsidRPr="001F00DC">
        <w:rPr>
          <w:rFonts w:eastAsia="SimSun" w:cs="Calibri"/>
          <w:szCs w:val="23"/>
          <w:lang w:eastAsia="zh-CN"/>
        </w:rPr>
        <w:t>AI</w:t>
      </w:r>
      <w:r w:rsidRPr="001F00DC">
        <w:rPr>
          <w:rFonts w:eastAsia="SimSun" w:cs="Calibri"/>
          <w:szCs w:val="23"/>
          <w:lang w:eastAsia="zh-CN"/>
        </w:rPr>
        <w:t>治理等共同挑战和优先事项。优先考虑能够带来切实影响</w:t>
      </w:r>
      <w:r w:rsidR="0034536F" w:rsidRPr="001F00DC">
        <w:rPr>
          <w:rFonts w:eastAsia="SimSun" w:cs="Calibri"/>
          <w:szCs w:val="23"/>
          <w:lang w:eastAsia="zh-CN"/>
        </w:rPr>
        <w:t>而非仅是正式协议</w:t>
      </w:r>
      <w:r w:rsidRPr="001F00DC">
        <w:rPr>
          <w:rFonts w:eastAsia="SimSun" w:cs="Calibri"/>
          <w:szCs w:val="23"/>
          <w:lang w:eastAsia="zh-CN"/>
        </w:rPr>
        <w:t>的联合活动、监管沙盒或执法工作。</w:t>
      </w:r>
    </w:p>
    <w:p w14:paraId="26B50D6A" w14:textId="749E9E8B" w:rsidR="00384493" w:rsidRPr="00554BFD" w:rsidRDefault="00BD298F" w:rsidP="00554BFD">
      <w:pPr>
        <w:pStyle w:val="Heading2"/>
        <w:rPr>
          <w:rFonts w:ascii="SimSun" w:eastAsia="SimSun" w:hAnsi="SimSun"/>
          <w:lang w:eastAsia="zh-CN"/>
        </w:rPr>
      </w:pPr>
      <w:bookmarkStart w:id="21" w:name="_Toc204780041"/>
      <w:r w:rsidRPr="00554BFD">
        <w:rPr>
          <w:rFonts w:ascii="SimSun" w:eastAsia="SimSun" w:hAnsi="SimSun"/>
          <w:lang w:eastAsia="zh-CN"/>
        </w:rPr>
        <w:lastRenderedPageBreak/>
        <w:t>统一协调</w:t>
      </w:r>
      <w:r w:rsidR="003578D4" w:rsidRPr="00554BFD">
        <w:rPr>
          <w:rFonts w:ascii="SimSun" w:eastAsia="SimSun" w:hAnsi="SimSun"/>
          <w:lang w:eastAsia="zh-CN"/>
        </w:rPr>
        <w:t>增值领域</w:t>
      </w:r>
      <w:bookmarkEnd w:id="21"/>
    </w:p>
    <w:p w14:paraId="399FA0CE" w14:textId="2B99EC1B" w:rsidR="00463020" w:rsidRPr="001F00DC" w:rsidRDefault="00457590" w:rsidP="007A6C15">
      <w:pPr>
        <w:ind w:firstLineChars="200" w:firstLine="460"/>
        <w:jc w:val="both"/>
        <w:rPr>
          <w:rFonts w:eastAsia="SimSun" w:cs="Calibri"/>
          <w:szCs w:val="23"/>
          <w:lang w:eastAsia="zh-CN"/>
        </w:rPr>
      </w:pPr>
      <w:r w:rsidRPr="001F00DC">
        <w:rPr>
          <w:rFonts w:eastAsia="SimSun" w:cs="Calibri"/>
          <w:szCs w:val="23"/>
          <w:lang w:eastAsia="zh-CN"/>
        </w:rPr>
        <w:t>在数字贸易、</w:t>
      </w:r>
      <w:r w:rsidR="009231BE" w:rsidRPr="001F00DC">
        <w:rPr>
          <w:rFonts w:eastAsia="SimSun" w:cs="Calibri"/>
          <w:szCs w:val="23"/>
          <w:lang w:eastAsia="zh-CN"/>
        </w:rPr>
        <w:t>AI</w:t>
      </w:r>
      <w:r w:rsidRPr="001F00DC">
        <w:rPr>
          <w:rFonts w:eastAsia="SimSun" w:cs="Calibri"/>
          <w:szCs w:val="23"/>
          <w:lang w:eastAsia="zh-CN"/>
        </w:rPr>
        <w:t>伦理和数据保护等领域寻求协调一致，但也要灵活应对，以反映各国的具体情况。相互认可、政策原则共享和时间安排协调有助于在互操作性与主权之间取得平衡。</w:t>
      </w:r>
    </w:p>
    <w:p w14:paraId="2A60E977" w14:textId="7CC58086" w:rsidR="00384493" w:rsidRPr="00554BFD" w:rsidRDefault="00457590" w:rsidP="00554BFD">
      <w:pPr>
        <w:pStyle w:val="Heading2"/>
        <w:rPr>
          <w:rFonts w:ascii="SimSun" w:eastAsia="SimSun" w:hAnsi="SimSun"/>
          <w:lang w:eastAsia="zh-CN"/>
        </w:rPr>
      </w:pPr>
      <w:bookmarkStart w:id="22" w:name="_Toc204780042"/>
      <w:r w:rsidRPr="00554BFD">
        <w:rPr>
          <w:rFonts w:ascii="SimSun" w:eastAsia="SimSun" w:hAnsi="SimSun"/>
          <w:lang w:eastAsia="zh-CN"/>
        </w:rPr>
        <w:t>构建共享学习基础设施</w:t>
      </w:r>
      <w:bookmarkEnd w:id="22"/>
    </w:p>
    <w:p w14:paraId="3BE8C0D9" w14:textId="54C53B25" w:rsidR="00463020" w:rsidRPr="001F00DC" w:rsidRDefault="00457590" w:rsidP="007A6C15">
      <w:pPr>
        <w:ind w:firstLineChars="200" w:firstLine="460"/>
        <w:jc w:val="both"/>
        <w:rPr>
          <w:rFonts w:eastAsia="SimSun" w:cs="Calibri"/>
          <w:szCs w:val="23"/>
          <w:lang w:eastAsia="zh-CN"/>
        </w:rPr>
      </w:pPr>
      <w:r w:rsidRPr="001F00DC">
        <w:rPr>
          <w:rFonts w:eastAsia="SimSun" w:cs="Calibri"/>
          <w:szCs w:val="23"/>
          <w:lang w:eastAsia="zh-CN"/>
        </w:rPr>
        <w:t>建立实践社区、联合培训平台和</w:t>
      </w:r>
      <w:r w:rsidR="003578D4" w:rsidRPr="001F00DC">
        <w:rPr>
          <w:rFonts w:eastAsia="SimSun" w:cs="Calibri"/>
          <w:szCs w:val="23"/>
          <w:lang w:eastAsia="zh-CN"/>
        </w:rPr>
        <w:t>同行</w:t>
      </w:r>
      <w:r w:rsidRPr="001F00DC">
        <w:rPr>
          <w:rFonts w:eastAsia="SimSun" w:cs="Calibri"/>
          <w:szCs w:val="23"/>
          <w:lang w:eastAsia="zh-CN"/>
        </w:rPr>
        <w:t>指导计划。支持开放获取的知识工具，使其能够</w:t>
      </w:r>
      <w:r w:rsidR="003578D4" w:rsidRPr="001F00DC">
        <w:rPr>
          <w:rFonts w:eastAsia="SimSun" w:cs="Calibri"/>
          <w:szCs w:val="23"/>
          <w:lang w:eastAsia="zh-CN"/>
        </w:rPr>
        <w:t>因地制宜</w:t>
      </w:r>
      <w:r w:rsidRPr="001F00DC">
        <w:rPr>
          <w:rFonts w:eastAsia="SimSun" w:cs="Calibri"/>
          <w:szCs w:val="23"/>
          <w:lang w:eastAsia="zh-CN"/>
        </w:rPr>
        <w:t>，并供其他监管机构重复使用。</w:t>
      </w:r>
    </w:p>
    <w:p w14:paraId="56034D6F" w14:textId="767031A9" w:rsidR="00384493" w:rsidRPr="00554BFD" w:rsidRDefault="001F200A" w:rsidP="00554BFD">
      <w:pPr>
        <w:pStyle w:val="Heading2"/>
        <w:rPr>
          <w:rFonts w:ascii="SimSun" w:eastAsia="SimSun" w:hAnsi="SimSun"/>
          <w:lang w:eastAsia="zh-CN"/>
        </w:rPr>
      </w:pPr>
      <w:bookmarkStart w:id="23" w:name="_Toc204780043"/>
      <w:r w:rsidRPr="00554BFD">
        <w:rPr>
          <w:rFonts w:ascii="SimSun" w:eastAsia="SimSun" w:hAnsi="SimSun"/>
          <w:lang w:eastAsia="zh-CN"/>
        </w:rPr>
        <w:t>协调数据、工具和标准</w:t>
      </w:r>
      <w:bookmarkEnd w:id="23"/>
    </w:p>
    <w:p w14:paraId="6B3B1FA5" w14:textId="26878056" w:rsidR="00463020" w:rsidRPr="001F00DC" w:rsidRDefault="001F200A" w:rsidP="007A6C15">
      <w:pPr>
        <w:ind w:firstLineChars="200" w:firstLine="460"/>
        <w:jc w:val="both"/>
        <w:rPr>
          <w:rFonts w:eastAsia="SimSun" w:cs="Calibri"/>
          <w:szCs w:val="23"/>
          <w:lang w:eastAsia="zh-CN"/>
        </w:rPr>
      </w:pPr>
      <w:r w:rsidRPr="001F00DC">
        <w:rPr>
          <w:rFonts w:eastAsia="SimSun" w:cs="Calibri"/>
          <w:szCs w:val="23"/>
          <w:lang w:eastAsia="zh-CN"/>
        </w:rPr>
        <w:t>促进监管体系的互操作性设计。使用通用</w:t>
      </w:r>
      <w:r w:rsidRPr="001F00DC">
        <w:rPr>
          <w:rFonts w:eastAsia="SimSun" w:cs="Calibri"/>
          <w:szCs w:val="23"/>
          <w:lang w:eastAsia="zh-CN"/>
        </w:rPr>
        <w:t>API</w:t>
      </w:r>
      <w:r w:rsidRPr="001F00DC">
        <w:rPr>
          <w:rFonts w:eastAsia="SimSun" w:cs="Calibri"/>
          <w:szCs w:val="23"/>
          <w:lang w:eastAsia="zh-CN"/>
        </w:rPr>
        <w:t>、共享指标和数据共享协议，监控跨境风险并协调监管行动。</w:t>
      </w:r>
    </w:p>
    <w:p w14:paraId="777C0DFE" w14:textId="03EEEF5F" w:rsidR="00384493" w:rsidRPr="00554BFD" w:rsidRDefault="001F200A" w:rsidP="00554BFD">
      <w:pPr>
        <w:pStyle w:val="Heading2"/>
        <w:rPr>
          <w:rFonts w:ascii="SimSun" w:eastAsia="SimSun" w:hAnsi="SimSun"/>
          <w:lang w:eastAsia="zh-CN"/>
        </w:rPr>
      </w:pPr>
      <w:bookmarkStart w:id="24" w:name="_Toc204780044"/>
      <w:r w:rsidRPr="00554BFD">
        <w:rPr>
          <w:rFonts w:ascii="SimSun" w:eastAsia="SimSun" w:hAnsi="SimSun"/>
          <w:lang w:eastAsia="zh-CN"/>
        </w:rPr>
        <w:t>维护区域话语权和数字主权</w:t>
      </w:r>
      <w:bookmarkEnd w:id="24"/>
    </w:p>
    <w:p w14:paraId="534030B7" w14:textId="4EDE873D" w:rsidR="00384493" w:rsidRPr="001F00DC" w:rsidRDefault="001F200A" w:rsidP="007A6C15">
      <w:pPr>
        <w:ind w:firstLineChars="200" w:firstLine="460"/>
        <w:jc w:val="both"/>
        <w:rPr>
          <w:rFonts w:eastAsia="SimSun" w:cs="Calibri"/>
          <w:szCs w:val="23"/>
          <w:lang w:eastAsia="zh-CN"/>
        </w:rPr>
      </w:pPr>
      <w:r w:rsidRPr="001F00DC">
        <w:rPr>
          <w:rFonts w:eastAsia="SimSun" w:cs="Calibri"/>
          <w:szCs w:val="23"/>
          <w:lang w:eastAsia="zh-CN"/>
        </w:rPr>
        <w:t>通过合作，塑造符合本地需求的全球规范。参与多边论坛，加强数字外交，支持区域性举措，以协调监管做法，形成区域共同应对数字挑战的立场。</w:t>
      </w:r>
    </w:p>
    <w:p w14:paraId="7DCE3F43" w14:textId="5F12866B" w:rsidR="00494183" w:rsidRPr="00554BFD" w:rsidRDefault="001F200A" w:rsidP="00554BFD">
      <w:pPr>
        <w:pStyle w:val="Heading2"/>
        <w:rPr>
          <w:rStyle w:val="Heading3Char"/>
          <w:rFonts w:ascii="SimSun" w:eastAsia="SimSun" w:hAnsi="SimSun" w:cs="Calibri"/>
          <w:b/>
          <w:lang w:eastAsia="zh-CN"/>
        </w:rPr>
      </w:pPr>
      <w:bookmarkStart w:id="25" w:name="_Toc204780045"/>
      <w:r w:rsidRPr="00554BFD">
        <w:rPr>
          <w:rStyle w:val="Heading3Char"/>
          <w:rFonts w:ascii="SimSun" w:eastAsia="SimSun" w:hAnsi="SimSun" w:cs="Calibri"/>
          <w:b/>
          <w:lang w:eastAsia="zh-CN"/>
        </w:rPr>
        <w:t>使合作成为核心功能</w:t>
      </w:r>
      <w:bookmarkEnd w:id="25"/>
    </w:p>
    <w:p w14:paraId="1D7D2FFC" w14:textId="237CAC76" w:rsidR="00463020" w:rsidRPr="001F00DC" w:rsidRDefault="001F200A" w:rsidP="007A6C15">
      <w:pPr>
        <w:ind w:firstLineChars="200" w:firstLine="460"/>
        <w:jc w:val="both"/>
        <w:rPr>
          <w:rFonts w:eastAsia="SimSun" w:cs="Calibri"/>
          <w:szCs w:val="23"/>
          <w:lang w:eastAsia="zh-CN"/>
        </w:rPr>
      </w:pPr>
      <w:r w:rsidRPr="001F00DC">
        <w:rPr>
          <w:rFonts w:eastAsia="SimSun" w:cs="Calibri"/>
          <w:szCs w:val="23"/>
          <w:lang w:eastAsia="zh-CN"/>
        </w:rPr>
        <w:t>指派专门单位，授权跨境规划，跟踪合作的</w:t>
      </w:r>
      <w:r w:rsidR="00E91AF5" w:rsidRPr="001F00DC">
        <w:rPr>
          <w:rFonts w:eastAsia="SimSun" w:cs="Calibri"/>
          <w:szCs w:val="23"/>
          <w:lang w:eastAsia="zh-CN"/>
        </w:rPr>
        <w:t>实际</w:t>
      </w:r>
      <w:r w:rsidRPr="001F00DC">
        <w:rPr>
          <w:rFonts w:eastAsia="SimSun" w:cs="Calibri"/>
          <w:szCs w:val="23"/>
          <w:lang w:eastAsia="zh-CN"/>
        </w:rPr>
        <w:t>影响。将系统性协调纳入制度设计，以支持政策、部门和利益攸关方之间的持续协调。</w:t>
      </w:r>
    </w:p>
    <w:p w14:paraId="7836938D" w14:textId="5C260037" w:rsidR="00BC27DA" w:rsidRPr="00A855E7" w:rsidRDefault="003578D4" w:rsidP="00BC27DA">
      <w:pPr>
        <w:pStyle w:val="Heading2"/>
        <w:jc w:val="both"/>
        <w:rPr>
          <w:rFonts w:eastAsia="SimSun" w:cs="Calibri"/>
          <w:sz w:val="24"/>
          <w:szCs w:val="24"/>
          <w:lang w:eastAsia="zh-CN"/>
        </w:rPr>
      </w:pPr>
      <w:bookmarkStart w:id="26" w:name="_Toc204780046"/>
      <w:r w:rsidRPr="00A855E7">
        <w:rPr>
          <w:rStyle w:val="Heading1Char"/>
          <w:rFonts w:ascii="SimSun" w:eastAsia="SimSun" w:hAnsi="SimSun" w:hint="eastAsia"/>
          <w:color w:val="000000" w:themeColor="text1"/>
          <w:sz w:val="24"/>
          <w:szCs w:val="24"/>
        </w:rPr>
        <w:t>五</w:t>
      </w:r>
      <w:r w:rsidR="00BC27DA" w:rsidRPr="00A855E7">
        <w:rPr>
          <w:rStyle w:val="Heading1Char"/>
          <w:rFonts w:ascii="SimSun" w:eastAsia="SimSun" w:hAnsi="SimSun"/>
          <w:color w:val="000000" w:themeColor="text1"/>
          <w:sz w:val="24"/>
          <w:szCs w:val="24"/>
        </w:rPr>
        <w:tab/>
      </w:r>
      <w:r w:rsidRPr="00A855E7">
        <w:rPr>
          <w:rStyle w:val="Heading1Char"/>
          <w:rFonts w:ascii="SimSun" w:eastAsia="SimSun" w:hAnsi="SimSun" w:hint="eastAsia"/>
          <w:color w:val="000000" w:themeColor="text1"/>
          <w:sz w:val="24"/>
          <w:szCs w:val="24"/>
        </w:rPr>
        <w:t>展望未来</w:t>
      </w:r>
      <w:bookmarkEnd w:id="26"/>
    </w:p>
    <w:p w14:paraId="60C790E4" w14:textId="6758544F" w:rsidR="00BC27DA" w:rsidRPr="001F00DC" w:rsidRDefault="00E91AF5" w:rsidP="007A6C15">
      <w:pPr>
        <w:ind w:firstLineChars="200" w:firstLine="460"/>
        <w:jc w:val="both"/>
        <w:rPr>
          <w:rFonts w:eastAsia="SimSun" w:cs="Calibri"/>
          <w:szCs w:val="23"/>
          <w:lang w:eastAsia="zh-CN"/>
        </w:rPr>
      </w:pPr>
      <w:r w:rsidRPr="001F00DC">
        <w:rPr>
          <w:rFonts w:eastAsia="SimSun" w:cs="Calibri"/>
          <w:szCs w:val="23"/>
          <w:lang w:eastAsia="zh-CN"/>
        </w:rPr>
        <w:t>在瞬息万变和技术动荡的环境中，监管必须成为负责任创新的杠杆</w:t>
      </w:r>
      <w:r w:rsidRPr="001F00DC">
        <w:rPr>
          <w:rFonts w:eastAsia="SimSun" w:cs="Calibri"/>
          <w:szCs w:val="23"/>
          <w:lang w:eastAsia="zh-CN"/>
        </w:rPr>
        <w:t xml:space="preserve"> – </w:t>
      </w:r>
      <w:r w:rsidR="00582111" w:rsidRPr="001F00DC">
        <w:rPr>
          <w:rFonts w:eastAsia="SimSun" w:cs="Calibri"/>
          <w:szCs w:val="23"/>
          <w:lang w:eastAsia="zh-CN"/>
        </w:rPr>
        <w:t>根植于</w:t>
      </w:r>
      <w:r w:rsidRPr="001F00DC">
        <w:rPr>
          <w:rFonts w:eastAsia="SimSun" w:cs="Calibri"/>
          <w:szCs w:val="23"/>
          <w:lang w:eastAsia="zh-CN"/>
        </w:rPr>
        <w:t>技术理解、制度适应性、跨境合作和道德诚信。承担这一角色的监管机构能够从规则制定者转变为生态系统的建设者。这些导则中的原则和方法</w:t>
      </w:r>
      <w:r w:rsidR="00064FF1" w:rsidRPr="001F00DC">
        <w:rPr>
          <w:rFonts w:eastAsia="SimSun" w:cs="Calibri"/>
          <w:szCs w:val="23"/>
          <w:lang w:eastAsia="zh-CN"/>
        </w:rPr>
        <w:t>铺垫</w:t>
      </w:r>
      <w:r w:rsidRPr="001F00DC">
        <w:rPr>
          <w:rFonts w:eastAsia="SimSun" w:cs="Calibri"/>
          <w:szCs w:val="23"/>
          <w:lang w:eastAsia="zh-CN"/>
        </w:rPr>
        <w:t>一条</w:t>
      </w:r>
      <w:r w:rsidR="00582111" w:rsidRPr="001F00DC">
        <w:rPr>
          <w:rFonts w:eastAsia="SimSun" w:cs="Calibri"/>
          <w:szCs w:val="23"/>
          <w:lang w:eastAsia="zh-CN"/>
        </w:rPr>
        <w:t>清晰</w:t>
      </w:r>
      <w:r w:rsidR="00064FF1" w:rsidRPr="001F00DC">
        <w:rPr>
          <w:rFonts w:eastAsia="SimSun" w:cs="Calibri"/>
          <w:szCs w:val="23"/>
          <w:lang w:eastAsia="zh-CN"/>
        </w:rPr>
        <w:t>之</w:t>
      </w:r>
      <w:r w:rsidRPr="001F00DC">
        <w:rPr>
          <w:rFonts w:eastAsia="SimSun" w:cs="Calibri"/>
          <w:szCs w:val="23"/>
          <w:lang w:eastAsia="zh-CN"/>
        </w:rPr>
        <w:t>路：</w:t>
      </w:r>
      <w:r w:rsidR="00582111" w:rsidRPr="001F00DC">
        <w:rPr>
          <w:rFonts w:eastAsia="SimSun" w:cs="Calibri"/>
          <w:szCs w:val="23"/>
          <w:lang w:eastAsia="zh-CN"/>
        </w:rPr>
        <w:t>这条路</w:t>
      </w:r>
      <w:r w:rsidRPr="001F00DC">
        <w:rPr>
          <w:rFonts w:eastAsia="SimSun" w:cs="Calibri"/>
          <w:szCs w:val="23"/>
          <w:lang w:eastAsia="zh-CN"/>
        </w:rPr>
        <w:t>加强公众信任，</w:t>
      </w:r>
      <w:r w:rsidR="00582111" w:rsidRPr="001F00DC">
        <w:rPr>
          <w:rFonts w:eastAsia="SimSun" w:cs="Calibri"/>
          <w:szCs w:val="23"/>
          <w:lang w:eastAsia="zh-CN"/>
        </w:rPr>
        <w:t>推动</w:t>
      </w:r>
      <w:r w:rsidRPr="001F00DC">
        <w:rPr>
          <w:rFonts w:eastAsia="SimSun" w:cs="Calibri"/>
          <w:szCs w:val="23"/>
          <w:lang w:eastAsia="zh-CN"/>
        </w:rPr>
        <w:t>不让任何人掉队的数字发展，并</w:t>
      </w:r>
      <w:r w:rsidR="00582111" w:rsidRPr="001F00DC">
        <w:rPr>
          <w:rFonts w:eastAsia="SimSun" w:cs="Calibri"/>
          <w:szCs w:val="23"/>
          <w:lang w:eastAsia="zh-CN"/>
        </w:rPr>
        <w:t>强化共同治理</w:t>
      </w:r>
      <w:r w:rsidRPr="001F00DC">
        <w:rPr>
          <w:rFonts w:eastAsia="SimSun" w:cs="Calibri"/>
          <w:szCs w:val="23"/>
          <w:lang w:eastAsia="zh-CN"/>
        </w:rPr>
        <w:t>一个互联、充满活力和相互依存的数字世界的能力。</w:t>
      </w:r>
    </w:p>
    <w:p w14:paraId="7068D435" w14:textId="77777777" w:rsidR="00BC27DA" w:rsidRPr="001F00DC" w:rsidRDefault="00BC27DA" w:rsidP="00494183">
      <w:pPr>
        <w:jc w:val="both"/>
        <w:rPr>
          <w:rFonts w:eastAsia="SimSun" w:cs="Calibri"/>
          <w:szCs w:val="23"/>
          <w:lang w:eastAsia="zh-CN"/>
        </w:rPr>
      </w:pPr>
    </w:p>
    <w:sectPr w:rsidR="00BC27DA" w:rsidRPr="001F00DC" w:rsidSect="009D0999">
      <w:footerReference w:type="default" r:id="rId7"/>
      <w:pgSz w:w="11906" w:h="16838"/>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8FB8E" w14:textId="77777777" w:rsidR="005C4EF4" w:rsidRDefault="005C4EF4" w:rsidP="005D0999">
      <w:pPr>
        <w:spacing w:after="0" w:line="240" w:lineRule="auto"/>
      </w:pPr>
      <w:r>
        <w:separator/>
      </w:r>
    </w:p>
  </w:endnote>
  <w:endnote w:type="continuationSeparator" w:id="0">
    <w:p w14:paraId="2460A1F3" w14:textId="77777777" w:rsidR="005C4EF4" w:rsidRDefault="005C4EF4" w:rsidP="005D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585073"/>
      <w:docPartObj>
        <w:docPartGallery w:val="Page Numbers (Bottom of Page)"/>
        <w:docPartUnique/>
      </w:docPartObj>
    </w:sdtPr>
    <w:sdtEndPr>
      <w:rPr>
        <w:rFonts w:cs="Calibri"/>
        <w:noProof/>
        <w:sz w:val="22"/>
        <w:szCs w:val="22"/>
      </w:rPr>
    </w:sdtEndPr>
    <w:sdtContent>
      <w:p w14:paraId="70D81B72" w14:textId="3764AC38" w:rsidR="005D0999" w:rsidRPr="005D0999" w:rsidRDefault="005D0999">
        <w:pPr>
          <w:pStyle w:val="Footer"/>
          <w:jc w:val="center"/>
          <w:rPr>
            <w:rFonts w:cs="Calibri"/>
            <w:sz w:val="22"/>
            <w:szCs w:val="22"/>
          </w:rPr>
        </w:pPr>
        <w:r w:rsidRPr="005D0999">
          <w:rPr>
            <w:rFonts w:cs="Calibri"/>
            <w:sz w:val="22"/>
            <w:szCs w:val="22"/>
          </w:rPr>
          <w:fldChar w:fldCharType="begin"/>
        </w:r>
        <w:r w:rsidRPr="005D0999">
          <w:rPr>
            <w:rFonts w:cs="Calibri"/>
            <w:sz w:val="22"/>
            <w:szCs w:val="22"/>
          </w:rPr>
          <w:instrText xml:space="preserve"> PAGE   \* MERGEFORMAT </w:instrText>
        </w:r>
        <w:r w:rsidRPr="005D0999">
          <w:rPr>
            <w:rFonts w:cs="Calibri"/>
            <w:sz w:val="22"/>
            <w:szCs w:val="22"/>
          </w:rPr>
          <w:fldChar w:fldCharType="separate"/>
        </w:r>
        <w:r w:rsidRPr="005D0999">
          <w:rPr>
            <w:rFonts w:cs="Calibri"/>
            <w:noProof/>
            <w:sz w:val="22"/>
            <w:szCs w:val="22"/>
          </w:rPr>
          <w:t>2</w:t>
        </w:r>
        <w:r w:rsidRPr="005D0999">
          <w:rPr>
            <w:rFonts w:cs="Calibri"/>
            <w:noProof/>
            <w:sz w:val="22"/>
            <w:szCs w:val="22"/>
          </w:rPr>
          <w:fldChar w:fldCharType="end"/>
        </w:r>
      </w:p>
    </w:sdtContent>
  </w:sdt>
  <w:p w14:paraId="2BC79568" w14:textId="77777777" w:rsidR="005D0999" w:rsidRDefault="005D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6D580" w14:textId="77777777" w:rsidR="005C4EF4" w:rsidRDefault="005C4EF4" w:rsidP="005D0999">
      <w:pPr>
        <w:spacing w:after="0" w:line="240" w:lineRule="auto"/>
      </w:pPr>
      <w:r>
        <w:separator/>
      </w:r>
    </w:p>
  </w:footnote>
  <w:footnote w:type="continuationSeparator" w:id="0">
    <w:p w14:paraId="3EBF046B" w14:textId="77777777" w:rsidR="005C4EF4" w:rsidRDefault="005C4EF4" w:rsidP="005D0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DE"/>
    <w:rsid w:val="000114FD"/>
    <w:rsid w:val="0001431E"/>
    <w:rsid w:val="00017A4C"/>
    <w:rsid w:val="000225B0"/>
    <w:rsid w:val="000274E0"/>
    <w:rsid w:val="000479DE"/>
    <w:rsid w:val="0005056B"/>
    <w:rsid w:val="000553B5"/>
    <w:rsid w:val="00064FF1"/>
    <w:rsid w:val="00065A82"/>
    <w:rsid w:val="00073233"/>
    <w:rsid w:val="00075073"/>
    <w:rsid w:val="00084A2A"/>
    <w:rsid w:val="00094676"/>
    <w:rsid w:val="000A2588"/>
    <w:rsid w:val="000B05CF"/>
    <w:rsid w:val="000B227A"/>
    <w:rsid w:val="000C1327"/>
    <w:rsid w:val="000E14A1"/>
    <w:rsid w:val="000F48F5"/>
    <w:rsid w:val="001126F2"/>
    <w:rsid w:val="00150AFE"/>
    <w:rsid w:val="001568EC"/>
    <w:rsid w:val="0016078E"/>
    <w:rsid w:val="00164506"/>
    <w:rsid w:val="00174101"/>
    <w:rsid w:val="00180508"/>
    <w:rsid w:val="001825CB"/>
    <w:rsid w:val="00182775"/>
    <w:rsid w:val="001937F7"/>
    <w:rsid w:val="001B5406"/>
    <w:rsid w:val="001C66EB"/>
    <w:rsid w:val="001C7BBA"/>
    <w:rsid w:val="001E36E4"/>
    <w:rsid w:val="001F00DC"/>
    <w:rsid w:val="001F200A"/>
    <w:rsid w:val="001F2A44"/>
    <w:rsid w:val="001F586F"/>
    <w:rsid w:val="00211E70"/>
    <w:rsid w:val="00212823"/>
    <w:rsid w:val="00214411"/>
    <w:rsid w:val="002220AA"/>
    <w:rsid w:val="0022664F"/>
    <w:rsid w:val="002275FA"/>
    <w:rsid w:val="002316B8"/>
    <w:rsid w:val="00232C8A"/>
    <w:rsid w:val="00236451"/>
    <w:rsid w:val="00240E51"/>
    <w:rsid w:val="00257851"/>
    <w:rsid w:val="00265921"/>
    <w:rsid w:val="0028308C"/>
    <w:rsid w:val="00290D90"/>
    <w:rsid w:val="00296331"/>
    <w:rsid w:val="002A0654"/>
    <w:rsid w:val="002A2514"/>
    <w:rsid w:val="002A4838"/>
    <w:rsid w:val="002B0E98"/>
    <w:rsid w:val="002B3756"/>
    <w:rsid w:val="002B5B91"/>
    <w:rsid w:val="002C5BF1"/>
    <w:rsid w:val="002C7A3C"/>
    <w:rsid w:val="002D08FD"/>
    <w:rsid w:val="002D10E0"/>
    <w:rsid w:val="002E1057"/>
    <w:rsid w:val="002E43E2"/>
    <w:rsid w:val="002F334F"/>
    <w:rsid w:val="003036C5"/>
    <w:rsid w:val="00304D43"/>
    <w:rsid w:val="003128D2"/>
    <w:rsid w:val="00312B47"/>
    <w:rsid w:val="00314A43"/>
    <w:rsid w:val="003217B5"/>
    <w:rsid w:val="0032649F"/>
    <w:rsid w:val="0032780C"/>
    <w:rsid w:val="00334120"/>
    <w:rsid w:val="0034536F"/>
    <w:rsid w:val="003563B4"/>
    <w:rsid w:val="003578D4"/>
    <w:rsid w:val="00362BA0"/>
    <w:rsid w:val="00371F32"/>
    <w:rsid w:val="00373781"/>
    <w:rsid w:val="00381EF6"/>
    <w:rsid w:val="00384493"/>
    <w:rsid w:val="0038549A"/>
    <w:rsid w:val="003911B1"/>
    <w:rsid w:val="00395719"/>
    <w:rsid w:val="003B0D6C"/>
    <w:rsid w:val="003B1010"/>
    <w:rsid w:val="003B1797"/>
    <w:rsid w:val="003C0711"/>
    <w:rsid w:val="003C1BE3"/>
    <w:rsid w:val="003C3B8B"/>
    <w:rsid w:val="003C5774"/>
    <w:rsid w:val="003D4B55"/>
    <w:rsid w:val="003D79AD"/>
    <w:rsid w:val="003E14B1"/>
    <w:rsid w:val="003E2102"/>
    <w:rsid w:val="003E2D4A"/>
    <w:rsid w:val="003E6267"/>
    <w:rsid w:val="00403FFC"/>
    <w:rsid w:val="00414BE7"/>
    <w:rsid w:val="004200AF"/>
    <w:rsid w:val="00435993"/>
    <w:rsid w:val="0045152F"/>
    <w:rsid w:val="004516AB"/>
    <w:rsid w:val="00457590"/>
    <w:rsid w:val="00463020"/>
    <w:rsid w:val="00465BC7"/>
    <w:rsid w:val="0046699B"/>
    <w:rsid w:val="00471C7B"/>
    <w:rsid w:val="00475353"/>
    <w:rsid w:val="00494183"/>
    <w:rsid w:val="0049659B"/>
    <w:rsid w:val="00496E85"/>
    <w:rsid w:val="004B6470"/>
    <w:rsid w:val="004D62FF"/>
    <w:rsid w:val="004E696B"/>
    <w:rsid w:val="004F3B23"/>
    <w:rsid w:val="004F3D5B"/>
    <w:rsid w:val="004F6EDB"/>
    <w:rsid w:val="00500857"/>
    <w:rsid w:val="00502F14"/>
    <w:rsid w:val="00511641"/>
    <w:rsid w:val="00541BEA"/>
    <w:rsid w:val="005437A1"/>
    <w:rsid w:val="00550343"/>
    <w:rsid w:val="00551425"/>
    <w:rsid w:val="00554BFD"/>
    <w:rsid w:val="00560BA4"/>
    <w:rsid w:val="00580A6C"/>
    <w:rsid w:val="00582111"/>
    <w:rsid w:val="0058781C"/>
    <w:rsid w:val="00594EB9"/>
    <w:rsid w:val="005C2CCE"/>
    <w:rsid w:val="005C414F"/>
    <w:rsid w:val="005C433C"/>
    <w:rsid w:val="005C4EF4"/>
    <w:rsid w:val="005D0999"/>
    <w:rsid w:val="005F1056"/>
    <w:rsid w:val="006213E4"/>
    <w:rsid w:val="0063012F"/>
    <w:rsid w:val="0063017B"/>
    <w:rsid w:val="0064694B"/>
    <w:rsid w:val="00650A91"/>
    <w:rsid w:val="006612CA"/>
    <w:rsid w:val="00666A38"/>
    <w:rsid w:val="00674374"/>
    <w:rsid w:val="00680FFA"/>
    <w:rsid w:val="00694D99"/>
    <w:rsid w:val="006A0FD5"/>
    <w:rsid w:val="006B013F"/>
    <w:rsid w:val="006B0ADC"/>
    <w:rsid w:val="006B509D"/>
    <w:rsid w:val="006E052B"/>
    <w:rsid w:val="006E2CF0"/>
    <w:rsid w:val="00701606"/>
    <w:rsid w:val="00703290"/>
    <w:rsid w:val="007074BD"/>
    <w:rsid w:val="0071272D"/>
    <w:rsid w:val="00713021"/>
    <w:rsid w:val="00716067"/>
    <w:rsid w:val="00720923"/>
    <w:rsid w:val="00723AA7"/>
    <w:rsid w:val="00726C49"/>
    <w:rsid w:val="00745E4F"/>
    <w:rsid w:val="007464F2"/>
    <w:rsid w:val="0075191E"/>
    <w:rsid w:val="00762AEB"/>
    <w:rsid w:val="00784798"/>
    <w:rsid w:val="00784DAD"/>
    <w:rsid w:val="00790361"/>
    <w:rsid w:val="00791AF2"/>
    <w:rsid w:val="00792676"/>
    <w:rsid w:val="00795D50"/>
    <w:rsid w:val="007964E1"/>
    <w:rsid w:val="007A4FD7"/>
    <w:rsid w:val="007A6C15"/>
    <w:rsid w:val="007B5393"/>
    <w:rsid w:val="007B5810"/>
    <w:rsid w:val="007C0571"/>
    <w:rsid w:val="007C16F9"/>
    <w:rsid w:val="007C1B83"/>
    <w:rsid w:val="007C2DD0"/>
    <w:rsid w:val="007D0EDA"/>
    <w:rsid w:val="007D720A"/>
    <w:rsid w:val="007E0232"/>
    <w:rsid w:val="007E6C27"/>
    <w:rsid w:val="007F0319"/>
    <w:rsid w:val="00802451"/>
    <w:rsid w:val="00804506"/>
    <w:rsid w:val="0082155F"/>
    <w:rsid w:val="0083142A"/>
    <w:rsid w:val="00835C32"/>
    <w:rsid w:val="008379B6"/>
    <w:rsid w:val="0086027B"/>
    <w:rsid w:val="00870DB3"/>
    <w:rsid w:val="00873610"/>
    <w:rsid w:val="00890159"/>
    <w:rsid w:val="008A2254"/>
    <w:rsid w:val="008A7E8F"/>
    <w:rsid w:val="008E1961"/>
    <w:rsid w:val="008E2B93"/>
    <w:rsid w:val="008F61BE"/>
    <w:rsid w:val="00916037"/>
    <w:rsid w:val="009231BE"/>
    <w:rsid w:val="00933D36"/>
    <w:rsid w:val="0093484B"/>
    <w:rsid w:val="00940207"/>
    <w:rsid w:val="00947871"/>
    <w:rsid w:val="009604F1"/>
    <w:rsid w:val="00963B03"/>
    <w:rsid w:val="00967CF8"/>
    <w:rsid w:val="009708F9"/>
    <w:rsid w:val="009A2901"/>
    <w:rsid w:val="009A6E55"/>
    <w:rsid w:val="009C60CF"/>
    <w:rsid w:val="009D0999"/>
    <w:rsid w:val="009D5486"/>
    <w:rsid w:val="009D6D34"/>
    <w:rsid w:val="009E0736"/>
    <w:rsid w:val="009E3179"/>
    <w:rsid w:val="009E41F0"/>
    <w:rsid w:val="009E6C65"/>
    <w:rsid w:val="009F0293"/>
    <w:rsid w:val="009F2447"/>
    <w:rsid w:val="009F4A9C"/>
    <w:rsid w:val="00A05778"/>
    <w:rsid w:val="00A1476E"/>
    <w:rsid w:val="00A175B0"/>
    <w:rsid w:val="00A21D97"/>
    <w:rsid w:val="00A25921"/>
    <w:rsid w:val="00A60971"/>
    <w:rsid w:val="00A62260"/>
    <w:rsid w:val="00A8080D"/>
    <w:rsid w:val="00A855E7"/>
    <w:rsid w:val="00A92937"/>
    <w:rsid w:val="00A9306E"/>
    <w:rsid w:val="00A957AC"/>
    <w:rsid w:val="00AA3414"/>
    <w:rsid w:val="00AA5EEC"/>
    <w:rsid w:val="00AA6840"/>
    <w:rsid w:val="00AB02D8"/>
    <w:rsid w:val="00AB3B68"/>
    <w:rsid w:val="00AB5F6B"/>
    <w:rsid w:val="00AD4C62"/>
    <w:rsid w:val="00AD77E2"/>
    <w:rsid w:val="00AE5D03"/>
    <w:rsid w:val="00B05674"/>
    <w:rsid w:val="00B112D8"/>
    <w:rsid w:val="00B37EFD"/>
    <w:rsid w:val="00B50313"/>
    <w:rsid w:val="00B51415"/>
    <w:rsid w:val="00B6061F"/>
    <w:rsid w:val="00B665E4"/>
    <w:rsid w:val="00B67C19"/>
    <w:rsid w:val="00B70743"/>
    <w:rsid w:val="00B72563"/>
    <w:rsid w:val="00B77ACD"/>
    <w:rsid w:val="00B90BC9"/>
    <w:rsid w:val="00B93DF3"/>
    <w:rsid w:val="00BA20F4"/>
    <w:rsid w:val="00BA4096"/>
    <w:rsid w:val="00BB0513"/>
    <w:rsid w:val="00BB21C5"/>
    <w:rsid w:val="00BC27DA"/>
    <w:rsid w:val="00BD28DE"/>
    <w:rsid w:val="00BD298F"/>
    <w:rsid w:val="00BD7F30"/>
    <w:rsid w:val="00BE4D9E"/>
    <w:rsid w:val="00BE4E66"/>
    <w:rsid w:val="00BF0F1B"/>
    <w:rsid w:val="00C04E72"/>
    <w:rsid w:val="00C05B3A"/>
    <w:rsid w:val="00C05FD4"/>
    <w:rsid w:val="00C07221"/>
    <w:rsid w:val="00C113F0"/>
    <w:rsid w:val="00C17A27"/>
    <w:rsid w:val="00C21A40"/>
    <w:rsid w:val="00C269C7"/>
    <w:rsid w:val="00C26B69"/>
    <w:rsid w:val="00C27654"/>
    <w:rsid w:val="00C36F38"/>
    <w:rsid w:val="00C4303C"/>
    <w:rsid w:val="00C47333"/>
    <w:rsid w:val="00C524D5"/>
    <w:rsid w:val="00C654A5"/>
    <w:rsid w:val="00C72BBC"/>
    <w:rsid w:val="00C954A5"/>
    <w:rsid w:val="00C96249"/>
    <w:rsid w:val="00C96E54"/>
    <w:rsid w:val="00CA299B"/>
    <w:rsid w:val="00CB650B"/>
    <w:rsid w:val="00CD3E68"/>
    <w:rsid w:val="00CD4938"/>
    <w:rsid w:val="00CD58E3"/>
    <w:rsid w:val="00CE0260"/>
    <w:rsid w:val="00CE136F"/>
    <w:rsid w:val="00CE2DF1"/>
    <w:rsid w:val="00CF1001"/>
    <w:rsid w:val="00CF19AA"/>
    <w:rsid w:val="00CF3A0A"/>
    <w:rsid w:val="00CF43AF"/>
    <w:rsid w:val="00D023CC"/>
    <w:rsid w:val="00D237BC"/>
    <w:rsid w:val="00D27433"/>
    <w:rsid w:val="00D3413F"/>
    <w:rsid w:val="00D34738"/>
    <w:rsid w:val="00D3614A"/>
    <w:rsid w:val="00D3648F"/>
    <w:rsid w:val="00D5306A"/>
    <w:rsid w:val="00D57838"/>
    <w:rsid w:val="00D64AB3"/>
    <w:rsid w:val="00D65A5A"/>
    <w:rsid w:val="00D6759D"/>
    <w:rsid w:val="00D800B4"/>
    <w:rsid w:val="00D815C7"/>
    <w:rsid w:val="00D97D0A"/>
    <w:rsid w:val="00DA5BDC"/>
    <w:rsid w:val="00DB2F6E"/>
    <w:rsid w:val="00DB433B"/>
    <w:rsid w:val="00DB6746"/>
    <w:rsid w:val="00DD18DD"/>
    <w:rsid w:val="00DF6C00"/>
    <w:rsid w:val="00E104FF"/>
    <w:rsid w:val="00E16D3B"/>
    <w:rsid w:val="00E24DA6"/>
    <w:rsid w:val="00E267ED"/>
    <w:rsid w:val="00E30EFA"/>
    <w:rsid w:val="00E35FB6"/>
    <w:rsid w:val="00E3662A"/>
    <w:rsid w:val="00E54722"/>
    <w:rsid w:val="00E6548C"/>
    <w:rsid w:val="00E7258A"/>
    <w:rsid w:val="00E732E7"/>
    <w:rsid w:val="00E76ED2"/>
    <w:rsid w:val="00E84280"/>
    <w:rsid w:val="00E91AF5"/>
    <w:rsid w:val="00EA14AC"/>
    <w:rsid w:val="00EB6F2E"/>
    <w:rsid w:val="00EC62D7"/>
    <w:rsid w:val="00EE49D9"/>
    <w:rsid w:val="00EE63E6"/>
    <w:rsid w:val="00EE7CC9"/>
    <w:rsid w:val="00EF7B5C"/>
    <w:rsid w:val="00F0785F"/>
    <w:rsid w:val="00F1789B"/>
    <w:rsid w:val="00F22E01"/>
    <w:rsid w:val="00F2389A"/>
    <w:rsid w:val="00F26066"/>
    <w:rsid w:val="00F26AE4"/>
    <w:rsid w:val="00F5565D"/>
    <w:rsid w:val="00FA21B7"/>
    <w:rsid w:val="00FC6DAD"/>
    <w:rsid w:val="00FC7555"/>
    <w:rsid w:val="00FD1E62"/>
    <w:rsid w:val="00FE3894"/>
    <w:rsid w:val="00FE7B32"/>
    <w:rsid w:val="00FF0363"/>
    <w:rsid w:val="00FF42E6"/>
    <w:rsid w:val="00FF4AF2"/>
    <w:rsid w:val="00FF5330"/>
    <w:rsid w:val="5F0EA5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0C87"/>
  <w15:chartTrackingRefBased/>
  <w15:docId w15:val="{9BBD0750-0275-4BBB-B5A6-9FD45404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2E"/>
    <w:rPr>
      <w:rFonts w:ascii="Calibri" w:hAnsi="Calibri"/>
      <w:sz w:val="23"/>
    </w:rPr>
  </w:style>
  <w:style w:type="paragraph" w:styleId="Heading1">
    <w:name w:val="heading 1"/>
    <w:basedOn w:val="Normal"/>
    <w:next w:val="Normal"/>
    <w:link w:val="Heading1Char"/>
    <w:uiPriority w:val="9"/>
    <w:qFormat/>
    <w:rsid w:val="00BD2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0999"/>
    <w:pPr>
      <w:keepNext/>
      <w:keepLines/>
      <w:spacing w:before="36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FF0363"/>
    <w:pPr>
      <w:keepNext/>
      <w:keepLines/>
      <w:spacing w:before="160" w:after="0"/>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semiHidden/>
    <w:unhideWhenUsed/>
    <w:qFormat/>
    <w:rsid w:val="00BD2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0999"/>
    <w:rPr>
      <w:rFonts w:ascii="Calibri" w:eastAsiaTheme="majorEastAsia" w:hAnsi="Calibri" w:cstheme="majorBidi"/>
      <w:b/>
      <w:color w:val="000000" w:themeColor="text1"/>
      <w:sz w:val="23"/>
      <w:szCs w:val="32"/>
    </w:rPr>
  </w:style>
  <w:style w:type="character" w:customStyle="1" w:styleId="Heading3Char">
    <w:name w:val="Heading 3 Char"/>
    <w:basedOn w:val="DefaultParagraphFont"/>
    <w:link w:val="Heading3"/>
    <w:uiPriority w:val="9"/>
    <w:rsid w:val="00FF0363"/>
    <w:rPr>
      <w:rFonts w:ascii="Calibri" w:eastAsiaTheme="majorEastAsia" w:hAnsi="Calibri" w:cstheme="majorBidi"/>
      <w:b/>
      <w:color w:val="000000" w:themeColor="text1"/>
      <w:sz w:val="23"/>
      <w:szCs w:val="28"/>
    </w:rPr>
  </w:style>
  <w:style w:type="character" w:customStyle="1" w:styleId="Heading4Char">
    <w:name w:val="Heading 4 Char"/>
    <w:basedOn w:val="DefaultParagraphFont"/>
    <w:link w:val="Heading4"/>
    <w:uiPriority w:val="9"/>
    <w:semiHidden/>
    <w:rsid w:val="00BD2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8DE"/>
    <w:rPr>
      <w:rFonts w:eastAsiaTheme="majorEastAsia" w:cstheme="majorBidi"/>
      <w:color w:val="272727" w:themeColor="text1" w:themeTint="D8"/>
    </w:rPr>
  </w:style>
  <w:style w:type="paragraph" w:styleId="Title">
    <w:name w:val="Title"/>
    <w:basedOn w:val="Normal"/>
    <w:next w:val="Normal"/>
    <w:link w:val="TitleChar"/>
    <w:uiPriority w:val="10"/>
    <w:qFormat/>
    <w:rsid w:val="00BD2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8DE"/>
    <w:pPr>
      <w:spacing w:before="160"/>
      <w:jc w:val="center"/>
    </w:pPr>
    <w:rPr>
      <w:i/>
      <w:iCs/>
      <w:color w:val="404040" w:themeColor="text1" w:themeTint="BF"/>
    </w:rPr>
  </w:style>
  <w:style w:type="character" w:customStyle="1" w:styleId="QuoteChar">
    <w:name w:val="Quote Char"/>
    <w:basedOn w:val="DefaultParagraphFont"/>
    <w:link w:val="Quote"/>
    <w:uiPriority w:val="29"/>
    <w:rsid w:val="00BD28DE"/>
    <w:rPr>
      <w:i/>
      <w:iCs/>
      <w:color w:val="404040" w:themeColor="text1" w:themeTint="BF"/>
    </w:rPr>
  </w:style>
  <w:style w:type="paragraph" w:styleId="ListParagraph">
    <w:name w:val="List Paragraph"/>
    <w:basedOn w:val="Normal"/>
    <w:uiPriority w:val="34"/>
    <w:qFormat/>
    <w:rsid w:val="00BD28DE"/>
    <w:pPr>
      <w:ind w:left="720"/>
      <w:contextualSpacing/>
    </w:pPr>
  </w:style>
  <w:style w:type="character" w:styleId="IntenseEmphasis">
    <w:name w:val="Intense Emphasis"/>
    <w:basedOn w:val="DefaultParagraphFont"/>
    <w:uiPriority w:val="21"/>
    <w:qFormat/>
    <w:rsid w:val="00BD28DE"/>
    <w:rPr>
      <w:i/>
      <w:iCs/>
      <w:color w:val="0F4761" w:themeColor="accent1" w:themeShade="BF"/>
    </w:rPr>
  </w:style>
  <w:style w:type="paragraph" w:styleId="IntenseQuote">
    <w:name w:val="Intense Quote"/>
    <w:basedOn w:val="Normal"/>
    <w:next w:val="Normal"/>
    <w:link w:val="IntenseQuoteChar"/>
    <w:uiPriority w:val="30"/>
    <w:qFormat/>
    <w:rsid w:val="00BD2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8DE"/>
    <w:rPr>
      <w:i/>
      <w:iCs/>
      <w:color w:val="0F4761" w:themeColor="accent1" w:themeShade="BF"/>
    </w:rPr>
  </w:style>
  <w:style w:type="character" w:styleId="IntenseReference">
    <w:name w:val="Intense Reference"/>
    <w:basedOn w:val="DefaultParagraphFont"/>
    <w:uiPriority w:val="32"/>
    <w:qFormat/>
    <w:rsid w:val="00BD28DE"/>
    <w:rPr>
      <w:b/>
      <w:bCs/>
      <w:smallCaps/>
      <w:color w:val="0F4761" w:themeColor="accent1" w:themeShade="BF"/>
      <w:spacing w:val="5"/>
    </w:rPr>
  </w:style>
  <w:style w:type="paragraph" w:styleId="Header">
    <w:name w:val="header"/>
    <w:basedOn w:val="Normal"/>
    <w:link w:val="HeaderChar"/>
    <w:uiPriority w:val="99"/>
    <w:unhideWhenUsed/>
    <w:rsid w:val="005D0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999"/>
  </w:style>
  <w:style w:type="paragraph" w:styleId="Footer">
    <w:name w:val="footer"/>
    <w:basedOn w:val="Normal"/>
    <w:link w:val="FooterChar"/>
    <w:uiPriority w:val="99"/>
    <w:unhideWhenUsed/>
    <w:rsid w:val="005D0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999"/>
  </w:style>
  <w:style w:type="paragraph" w:styleId="Revision">
    <w:name w:val="Revision"/>
    <w:hidden/>
    <w:uiPriority w:val="99"/>
    <w:semiHidden/>
    <w:rsid w:val="00290D90"/>
    <w:pPr>
      <w:spacing w:after="0" w:line="240" w:lineRule="auto"/>
    </w:pPr>
    <w:rPr>
      <w:rFonts w:ascii="Calibri" w:hAnsi="Calibri"/>
      <w:sz w:val="23"/>
    </w:rPr>
  </w:style>
  <w:style w:type="paragraph" w:styleId="TOCHeading">
    <w:name w:val="TOC Heading"/>
    <w:basedOn w:val="Heading1"/>
    <w:next w:val="Normal"/>
    <w:uiPriority w:val="39"/>
    <w:unhideWhenUsed/>
    <w:qFormat/>
    <w:rsid w:val="00701606"/>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701606"/>
    <w:pPr>
      <w:spacing w:after="100"/>
      <w:ind w:left="230"/>
    </w:pPr>
  </w:style>
  <w:style w:type="paragraph" w:styleId="TOC3">
    <w:name w:val="toc 3"/>
    <w:basedOn w:val="Normal"/>
    <w:next w:val="Normal"/>
    <w:autoRedefine/>
    <w:uiPriority w:val="39"/>
    <w:unhideWhenUsed/>
    <w:rsid w:val="00701606"/>
    <w:pPr>
      <w:spacing w:after="100"/>
      <w:ind w:left="460"/>
    </w:pPr>
  </w:style>
  <w:style w:type="character" w:styleId="Hyperlink">
    <w:name w:val="Hyperlink"/>
    <w:basedOn w:val="DefaultParagraphFont"/>
    <w:uiPriority w:val="99"/>
    <w:unhideWhenUsed/>
    <w:rsid w:val="00701606"/>
    <w:rPr>
      <w:color w:val="467886" w:themeColor="hyperlink"/>
      <w:u w:val="single"/>
    </w:rPr>
  </w:style>
  <w:style w:type="character" w:styleId="CommentReference">
    <w:name w:val="annotation reference"/>
    <w:basedOn w:val="DefaultParagraphFont"/>
    <w:uiPriority w:val="99"/>
    <w:semiHidden/>
    <w:unhideWhenUsed/>
    <w:rsid w:val="0049659B"/>
    <w:rPr>
      <w:sz w:val="16"/>
      <w:szCs w:val="16"/>
    </w:rPr>
  </w:style>
  <w:style w:type="paragraph" w:styleId="CommentText">
    <w:name w:val="annotation text"/>
    <w:basedOn w:val="Normal"/>
    <w:link w:val="CommentTextChar"/>
    <w:uiPriority w:val="99"/>
    <w:unhideWhenUsed/>
    <w:rsid w:val="0049659B"/>
    <w:pPr>
      <w:spacing w:line="240" w:lineRule="auto"/>
    </w:pPr>
    <w:rPr>
      <w:sz w:val="20"/>
      <w:szCs w:val="20"/>
    </w:rPr>
  </w:style>
  <w:style w:type="character" w:customStyle="1" w:styleId="CommentTextChar">
    <w:name w:val="Comment Text Char"/>
    <w:basedOn w:val="DefaultParagraphFont"/>
    <w:link w:val="CommentText"/>
    <w:uiPriority w:val="99"/>
    <w:rsid w:val="0049659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9659B"/>
    <w:rPr>
      <w:b/>
      <w:bCs/>
    </w:rPr>
  </w:style>
  <w:style w:type="character" w:customStyle="1" w:styleId="CommentSubjectChar">
    <w:name w:val="Comment Subject Char"/>
    <w:basedOn w:val="CommentTextChar"/>
    <w:link w:val="CommentSubject"/>
    <w:uiPriority w:val="99"/>
    <w:semiHidden/>
    <w:rsid w:val="0049659B"/>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1919">
      <w:bodyDiv w:val="1"/>
      <w:marLeft w:val="0"/>
      <w:marRight w:val="0"/>
      <w:marTop w:val="0"/>
      <w:marBottom w:val="0"/>
      <w:divBdr>
        <w:top w:val="none" w:sz="0" w:space="0" w:color="auto"/>
        <w:left w:val="none" w:sz="0" w:space="0" w:color="auto"/>
        <w:bottom w:val="none" w:sz="0" w:space="0" w:color="auto"/>
        <w:right w:val="none" w:sz="0" w:space="0" w:color="auto"/>
      </w:divBdr>
    </w:div>
    <w:div w:id="275527469">
      <w:bodyDiv w:val="1"/>
      <w:marLeft w:val="0"/>
      <w:marRight w:val="0"/>
      <w:marTop w:val="0"/>
      <w:marBottom w:val="0"/>
      <w:divBdr>
        <w:top w:val="none" w:sz="0" w:space="0" w:color="auto"/>
        <w:left w:val="none" w:sz="0" w:space="0" w:color="auto"/>
        <w:bottom w:val="none" w:sz="0" w:space="0" w:color="auto"/>
        <w:right w:val="none" w:sz="0" w:space="0" w:color="auto"/>
      </w:divBdr>
    </w:div>
    <w:div w:id="896864001">
      <w:bodyDiv w:val="1"/>
      <w:marLeft w:val="0"/>
      <w:marRight w:val="0"/>
      <w:marTop w:val="0"/>
      <w:marBottom w:val="0"/>
      <w:divBdr>
        <w:top w:val="none" w:sz="0" w:space="0" w:color="auto"/>
        <w:left w:val="none" w:sz="0" w:space="0" w:color="auto"/>
        <w:bottom w:val="none" w:sz="0" w:space="0" w:color="auto"/>
        <w:right w:val="none" w:sz="0" w:space="0" w:color="auto"/>
      </w:divBdr>
    </w:div>
    <w:div w:id="1189565047">
      <w:bodyDiv w:val="1"/>
      <w:marLeft w:val="0"/>
      <w:marRight w:val="0"/>
      <w:marTop w:val="0"/>
      <w:marBottom w:val="0"/>
      <w:divBdr>
        <w:top w:val="none" w:sz="0" w:space="0" w:color="auto"/>
        <w:left w:val="none" w:sz="0" w:space="0" w:color="auto"/>
        <w:bottom w:val="none" w:sz="0" w:space="0" w:color="auto"/>
        <w:right w:val="none" w:sz="0" w:space="0" w:color="auto"/>
      </w:divBdr>
      <w:divsChild>
        <w:div w:id="813134064">
          <w:marLeft w:val="0"/>
          <w:marRight w:val="0"/>
          <w:marTop w:val="0"/>
          <w:marBottom w:val="75"/>
          <w:divBdr>
            <w:top w:val="none" w:sz="0" w:space="0" w:color="auto"/>
            <w:left w:val="none" w:sz="0" w:space="0" w:color="auto"/>
            <w:bottom w:val="none" w:sz="0" w:space="0" w:color="auto"/>
            <w:right w:val="none" w:sz="0" w:space="0" w:color="auto"/>
          </w:divBdr>
        </w:div>
      </w:divsChild>
    </w:div>
    <w:div w:id="1373847397">
      <w:bodyDiv w:val="1"/>
      <w:marLeft w:val="0"/>
      <w:marRight w:val="0"/>
      <w:marTop w:val="0"/>
      <w:marBottom w:val="0"/>
      <w:divBdr>
        <w:top w:val="none" w:sz="0" w:space="0" w:color="auto"/>
        <w:left w:val="none" w:sz="0" w:space="0" w:color="auto"/>
        <w:bottom w:val="none" w:sz="0" w:space="0" w:color="auto"/>
        <w:right w:val="none" w:sz="0" w:space="0" w:color="auto"/>
      </w:divBdr>
    </w:div>
    <w:div w:id="1427077020">
      <w:bodyDiv w:val="1"/>
      <w:marLeft w:val="0"/>
      <w:marRight w:val="0"/>
      <w:marTop w:val="0"/>
      <w:marBottom w:val="0"/>
      <w:divBdr>
        <w:top w:val="none" w:sz="0" w:space="0" w:color="auto"/>
        <w:left w:val="none" w:sz="0" w:space="0" w:color="auto"/>
        <w:bottom w:val="none" w:sz="0" w:space="0" w:color="auto"/>
        <w:right w:val="none" w:sz="0" w:space="0" w:color="auto"/>
      </w:divBdr>
    </w:div>
    <w:div w:id="1668289668">
      <w:bodyDiv w:val="1"/>
      <w:marLeft w:val="0"/>
      <w:marRight w:val="0"/>
      <w:marTop w:val="0"/>
      <w:marBottom w:val="0"/>
      <w:divBdr>
        <w:top w:val="none" w:sz="0" w:space="0" w:color="auto"/>
        <w:left w:val="none" w:sz="0" w:space="0" w:color="auto"/>
        <w:bottom w:val="none" w:sz="0" w:space="0" w:color="auto"/>
        <w:right w:val="none" w:sz="0" w:space="0" w:color="auto"/>
      </w:divBdr>
    </w:div>
    <w:div w:id="1732390057">
      <w:bodyDiv w:val="1"/>
      <w:marLeft w:val="0"/>
      <w:marRight w:val="0"/>
      <w:marTop w:val="0"/>
      <w:marBottom w:val="0"/>
      <w:divBdr>
        <w:top w:val="none" w:sz="0" w:space="0" w:color="auto"/>
        <w:left w:val="none" w:sz="0" w:space="0" w:color="auto"/>
        <w:bottom w:val="none" w:sz="0" w:space="0" w:color="auto"/>
        <w:right w:val="none" w:sz="0" w:space="0" w:color="auto"/>
      </w:divBdr>
    </w:div>
    <w:div w:id="1936207652">
      <w:bodyDiv w:val="1"/>
      <w:marLeft w:val="0"/>
      <w:marRight w:val="0"/>
      <w:marTop w:val="0"/>
      <w:marBottom w:val="0"/>
      <w:divBdr>
        <w:top w:val="none" w:sz="0" w:space="0" w:color="auto"/>
        <w:left w:val="none" w:sz="0" w:space="0" w:color="auto"/>
        <w:bottom w:val="none" w:sz="0" w:space="0" w:color="auto"/>
        <w:right w:val="none" w:sz="0" w:space="0" w:color="auto"/>
      </w:divBdr>
    </w:div>
    <w:div w:id="2098477881">
      <w:bodyDiv w:val="1"/>
      <w:marLeft w:val="0"/>
      <w:marRight w:val="0"/>
      <w:marTop w:val="0"/>
      <w:marBottom w:val="0"/>
      <w:divBdr>
        <w:top w:val="none" w:sz="0" w:space="0" w:color="auto"/>
        <w:left w:val="none" w:sz="0" w:space="0" w:color="auto"/>
        <w:bottom w:val="none" w:sz="0" w:space="0" w:color="auto"/>
        <w:right w:val="none" w:sz="0" w:space="0" w:color="auto"/>
      </w:divBdr>
      <w:divsChild>
        <w:div w:id="104552480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0601-B557-4A32-8624-86D28C70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Links>
    <vt:vector size="156" baseType="variant">
      <vt:variant>
        <vt:i4>1376312</vt:i4>
      </vt:variant>
      <vt:variant>
        <vt:i4>152</vt:i4>
      </vt:variant>
      <vt:variant>
        <vt:i4>0</vt:i4>
      </vt:variant>
      <vt:variant>
        <vt:i4>5</vt:i4>
      </vt:variant>
      <vt:variant>
        <vt:lpwstr/>
      </vt:variant>
      <vt:variant>
        <vt:lpwstr>_Toc202790155</vt:lpwstr>
      </vt:variant>
      <vt:variant>
        <vt:i4>1376312</vt:i4>
      </vt:variant>
      <vt:variant>
        <vt:i4>146</vt:i4>
      </vt:variant>
      <vt:variant>
        <vt:i4>0</vt:i4>
      </vt:variant>
      <vt:variant>
        <vt:i4>5</vt:i4>
      </vt:variant>
      <vt:variant>
        <vt:lpwstr/>
      </vt:variant>
      <vt:variant>
        <vt:lpwstr>_Toc202790154</vt:lpwstr>
      </vt:variant>
      <vt:variant>
        <vt:i4>1376312</vt:i4>
      </vt:variant>
      <vt:variant>
        <vt:i4>140</vt:i4>
      </vt:variant>
      <vt:variant>
        <vt:i4>0</vt:i4>
      </vt:variant>
      <vt:variant>
        <vt:i4>5</vt:i4>
      </vt:variant>
      <vt:variant>
        <vt:lpwstr/>
      </vt:variant>
      <vt:variant>
        <vt:lpwstr>_Toc202790153</vt:lpwstr>
      </vt:variant>
      <vt:variant>
        <vt:i4>1376312</vt:i4>
      </vt:variant>
      <vt:variant>
        <vt:i4>134</vt:i4>
      </vt:variant>
      <vt:variant>
        <vt:i4>0</vt:i4>
      </vt:variant>
      <vt:variant>
        <vt:i4>5</vt:i4>
      </vt:variant>
      <vt:variant>
        <vt:lpwstr/>
      </vt:variant>
      <vt:variant>
        <vt:lpwstr>_Toc202790152</vt:lpwstr>
      </vt:variant>
      <vt:variant>
        <vt:i4>1376312</vt:i4>
      </vt:variant>
      <vt:variant>
        <vt:i4>128</vt:i4>
      </vt:variant>
      <vt:variant>
        <vt:i4>0</vt:i4>
      </vt:variant>
      <vt:variant>
        <vt:i4>5</vt:i4>
      </vt:variant>
      <vt:variant>
        <vt:lpwstr/>
      </vt:variant>
      <vt:variant>
        <vt:lpwstr>_Toc202790151</vt:lpwstr>
      </vt:variant>
      <vt:variant>
        <vt:i4>1376312</vt:i4>
      </vt:variant>
      <vt:variant>
        <vt:i4>122</vt:i4>
      </vt:variant>
      <vt:variant>
        <vt:i4>0</vt:i4>
      </vt:variant>
      <vt:variant>
        <vt:i4>5</vt:i4>
      </vt:variant>
      <vt:variant>
        <vt:lpwstr/>
      </vt:variant>
      <vt:variant>
        <vt:lpwstr>_Toc202790150</vt:lpwstr>
      </vt:variant>
      <vt:variant>
        <vt:i4>1310776</vt:i4>
      </vt:variant>
      <vt:variant>
        <vt:i4>116</vt:i4>
      </vt:variant>
      <vt:variant>
        <vt:i4>0</vt:i4>
      </vt:variant>
      <vt:variant>
        <vt:i4>5</vt:i4>
      </vt:variant>
      <vt:variant>
        <vt:lpwstr/>
      </vt:variant>
      <vt:variant>
        <vt:lpwstr>_Toc202790149</vt:lpwstr>
      </vt:variant>
      <vt:variant>
        <vt:i4>1310776</vt:i4>
      </vt:variant>
      <vt:variant>
        <vt:i4>110</vt:i4>
      </vt:variant>
      <vt:variant>
        <vt:i4>0</vt:i4>
      </vt:variant>
      <vt:variant>
        <vt:i4>5</vt:i4>
      </vt:variant>
      <vt:variant>
        <vt:lpwstr/>
      </vt:variant>
      <vt:variant>
        <vt:lpwstr>_Toc202790148</vt:lpwstr>
      </vt:variant>
      <vt:variant>
        <vt:i4>1310776</vt:i4>
      </vt:variant>
      <vt:variant>
        <vt:i4>104</vt:i4>
      </vt:variant>
      <vt:variant>
        <vt:i4>0</vt:i4>
      </vt:variant>
      <vt:variant>
        <vt:i4>5</vt:i4>
      </vt:variant>
      <vt:variant>
        <vt:lpwstr/>
      </vt:variant>
      <vt:variant>
        <vt:lpwstr>_Toc202790147</vt:lpwstr>
      </vt:variant>
      <vt:variant>
        <vt:i4>1310776</vt:i4>
      </vt:variant>
      <vt:variant>
        <vt:i4>98</vt:i4>
      </vt:variant>
      <vt:variant>
        <vt:i4>0</vt:i4>
      </vt:variant>
      <vt:variant>
        <vt:i4>5</vt:i4>
      </vt:variant>
      <vt:variant>
        <vt:lpwstr/>
      </vt:variant>
      <vt:variant>
        <vt:lpwstr>_Toc202790146</vt:lpwstr>
      </vt:variant>
      <vt:variant>
        <vt:i4>1310776</vt:i4>
      </vt:variant>
      <vt:variant>
        <vt:i4>92</vt:i4>
      </vt:variant>
      <vt:variant>
        <vt:i4>0</vt:i4>
      </vt:variant>
      <vt:variant>
        <vt:i4>5</vt:i4>
      </vt:variant>
      <vt:variant>
        <vt:lpwstr/>
      </vt:variant>
      <vt:variant>
        <vt:lpwstr>_Toc202790145</vt:lpwstr>
      </vt:variant>
      <vt:variant>
        <vt:i4>1310776</vt:i4>
      </vt:variant>
      <vt:variant>
        <vt:i4>86</vt:i4>
      </vt:variant>
      <vt:variant>
        <vt:i4>0</vt:i4>
      </vt:variant>
      <vt:variant>
        <vt:i4>5</vt:i4>
      </vt:variant>
      <vt:variant>
        <vt:lpwstr/>
      </vt:variant>
      <vt:variant>
        <vt:lpwstr>_Toc202790144</vt:lpwstr>
      </vt:variant>
      <vt:variant>
        <vt:i4>1310776</vt:i4>
      </vt:variant>
      <vt:variant>
        <vt:i4>80</vt:i4>
      </vt:variant>
      <vt:variant>
        <vt:i4>0</vt:i4>
      </vt:variant>
      <vt:variant>
        <vt:i4>5</vt:i4>
      </vt:variant>
      <vt:variant>
        <vt:lpwstr/>
      </vt:variant>
      <vt:variant>
        <vt:lpwstr>_Toc202790143</vt:lpwstr>
      </vt:variant>
      <vt:variant>
        <vt:i4>1310776</vt:i4>
      </vt:variant>
      <vt:variant>
        <vt:i4>74</vt:i4>
      </vt:variant>
      <vt:variant>
        <vt:i4>0</vt:i4>
      </vt:variant>
      <vt:variant>
        <vt:i4>5</vt:i4>
      </vt:variant>
      <vt:variant>
        <vt:lpwstr/>
      </vt:variant>
      <vt:variant>
        <vt:lpwstr>_Toc202790142</vt:lpwstr>
      </vt:variant>
      <vt:variant>
        <vt:i4>1310776</vt:i4>
      </vt:variant>
      <vt:variant>
        <vt:i4>68</vt:i4>
      </vt:variant>
      <vt:variant>
        <vt:i4>0</vt:i4>
      </vt:variant>
      <vt:variant>
        <vt:i4>5</vt:i4>
      </vt:variant>
      <vt:variant>
        <vt:lpwstr/>
      </vt:variant>
      <vt:variant>
        <vt:lpwstr>_Toc202790141</vt:lpwstr>
      </vt:variant>
      <vt:variant>
        <vt:i4>1310776</vt:i4>
      </vt:variant>
      <vt:variant>
        <vt:i4>62</vt:i4>
      </vt:variant>
      <vt:variant>
        <vt:i4>0</vt:i4>
      </vt:variant>
      <vt:variant>
        <vt:i4>5</vt:i4>
      </vt:variant>
      <vt:variant>
        <vt:lpwstr/>
      </vt:variant>
      <vt:variant>
        <vt:lpwstr>_Toc202790140</vt:lpwstr>
      </vt:variant>
      <vt:variant>
        <vt:i4>1245240</vt:i4>
      </vt:variant>
      <vt:variant>
        <vt:i4>56</vt:i4>
      </vt:variant>
      <vt:variant>
        <vt:i4>0</vt:i4>
      </vt:variant>
      <vt:variant>
        <vt:i4>5</vt:i4>
      </vt:variant>
      <vt:variant>
        <vt:lpwstr/>
      </vt:variant>
      <vt:variant>
        <vt:lpwstr>_Toc202790139</vt:lpwstr>
      </vt:variant>
      <vt:variant>
        <vt:i4>1245240</vt:i4>
      </vt:variant>
      <vt:variant>
        <vt:i4>50</vt:i4>
      </vt:variant>
      <vt:variant>
        <vt:i4>0</vt:i4>
      </vt:variant>
      <vt:variant>
        <vt:i4>5</vt:i4>
      </vt:variant>
      <vt:variant>
        <vt:lpwstr/>
      </vt:variant>
      <vt:variant>
        <vt:lpwstr>_Toc202790138</vt:lpwstr>
      </vt:variant>
      <vt:variant>
        <vt:i4>1245240</vt:i4>
      </vt:variant>
      <vt:variant>
        <vt:i4>44</vt:i4>
      </vt:variant>
      <vt:variant>
        <vt:i4>0</vt:i4>
      </vt:variant>
      <vt:variant>
        <vt:i4>5</vt:i4>
      </vt:variant>
      <vt:variant>
        <vt:lpwstr/>
      </vt:variant>
      <vt:variant>
        <vt:lpwstr>_Toc202790137</vt:lpwstr>
      </vt:variant>
      <vt:variant>
        <vt:i4>1245240</vt:i4>
      </vt:variant>
      <vt:variant>
        <vt:i4>38</vt:i4>
      </vt:variant>
      <vt:variant>
        <vt:i4>0</vt:i4>
      </vt:variant>
      <vt:variant>
        <vt:i4>5</vt:i4>
      </vt:variant>
      <vt:variant>
        <vt:lpwstr/>
      </vt:variant>
      <vt:variant>
        <vt:lpwstr>_Toc202790136</vt:lpwstr>
      </vt:variant>
      <vt:variant>
        <vt:i4>1245240</vt:i4>
      </vt:variant>
      <vt:variant>
        <vt:i4>32</vt:i4>
      </vt:variant>
      <vt:variant>
        <vt:i4>0</vt:i4>
      </vt:variant>
      <vt:variant>
        <vt:i4>5</vt:i4>
      </vt:variant>
      <vt:variant>
        <vt:lpwstr/>
      </vt:variant>
      <vt:variant>
        <vt:lpwstr>_Toc202790135</vt:lpwstr>
      </vt:variant>
      <vt:variant>
        <vt:i4>1245240</vt:i4>
      </vt:variant>
      <vt:variant>
        <vt:i4>26</vt:i4>
      </vt:variant>
      <vt:variant>
        <vt:i4>0</vt:i4>
      </vt:variant>
      <vt:variant>
        <vt:i4>5</vt:i4>
      </vt:variant>
      <vt:variant>
        <vt:lpwstr/>
      </vt:variant>
      <vt:variant>
        <vt:lpwstr>_Toc202790134</vt:lpwstr>
      </vt:variant>
      <vt:variant>
        <vt:i4>1245240</vt:i4>
      </vt:variant>
      <vt:variant>
        <vt:i4>20</vt:i4>
      </vt:variant>
      <vt:variant>
        <vt:i4>0</vt:i4>
      </vt:variant>
      <vt:variant>
        <vt:i4>5</vt:i4>
      </vt:variant>
      <vt:variant>
        <vt:lpwstr/>
      </vt:variant>
      <vt:variant>
        <vt:lpwstr>_Toc202790133</vt:lpwstr>
      </vt:variant>
      <vt:variant>
        <vt:i4>1245240</vt:i4>
      </vt:variant>
      <vt:variant>
        <vt:i4>14</vt:i4>
      </vt:variant>
      <vt:variant>
        <vt:i4>0</vt:i4>
      </vt:variant>
      <vt:variant>
        <vt:i4>5</vt:i4>
      </vt:variant>
      <vt:variant>
        <vt:lpwstr/>
      </vt:variant>
      <vt:variant>
        <vt:lpwstr>_Toc202790132</vt:lpwstr>
      </vt:variant>
      <vt:variant>
        <vt:i4>1245240</vt:i4>
      </vt:variant>
      <vt:variant>
        <vt:i4>8</vt:i4>
      </vt:variant>
      <vt:variant>
        <vt:i4>0</vt:i4>
      </vt:variant>
      <vt:variant>
        <vt:i4>5</vt:i4>
      </vt:variant>
      <vt:variant>
        <vt:lpwstr/>
      </vt:variant>
      <vt:variant>
        <vt:lpwstr>_Toc202790131</vt:lpwstr>
      </vt:variant>
      <vt:variant>
        <vt:i4>1245240</vt:i4>
      </vt:variant>
      <vt:variant>
        <vt:i4>2</vt:i4>
      </vt:variant>
      <vt:variant>
        <vt:i4>0</vt:i4>
      </vt:variant>
      <vt:variant>
        <vt:i4>5</vt:i4>
      </vt:variant>
      <vt:variant>
        <vt:lpwstr/>
      </vt:variant>
      <vt:variant>
        <vt:lpwstr>_Toc202790130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Lozanova, Youlia</dc:creator>
  <cp:keywords/>
  <dc:description/>
  <cp:lastModifiedBy>Conde, Tamaiti</cp:lastModifiedBy>
  <cp:revision>13</cp:revision>
  <dcterms:created xsi:type="dcterms:W3CDTF">2025-07-30T13:06:00Z</dcterms:created>
  <dcterms:modified xsi:type="dcterms:W3CDTF">2025-08-01T14:07:00Z</dcterms:modified>
</cp:coreProperties>
</file>