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C2157" w14:textId="0895FEEF" w:rsidR="00F94D65" w:rsidRDefault="00F94D65" w:rsidP="0047105D">
      <w:pPr>
        <w:rPr>
          <w:b/>
          <w:bCs/>
        </w:rPr>
      </w:pPr>
    </w:p>
    <w:p w14:paraId="2C4E8279" w14:textId="5A5B2815" w:rsidR="0047105D" w:rsidRDefault="0047105D" w:rsidP="0047105D">
      <w:r w:rsidRPr="0047105D">
        <w:rPr>
          <w:b/>
          <w:bCs/>
        </w:rPr>
        <w:t xml:space="preserve">Fostering </w:t>
      </w:r>
      <w:proofErr w:type="spellStart"/>
      <w:r w:rsidRPr="0047105D">
        <w:rPr>
          <w:b/>
          <w:bCs/>
        </w:rPr>
        <w:t>innovaton</w:t>
      </w:r>
      <w:proofErr w:type="spellEnd"/>
      <w:r w:rsidRPr="0047105D">
        <w:rPr>
          <w:b/>
          <w:bCs/>
        </w:rPr>
        <w:t xml:space="preserve"> in regulatory approaches:</w:t>
      </w:r>
      <w:r>
        <w:t xml:space="preserve"> How can regulators cultivate an innovat</w:t>
      </w:r>
      <w:r w:rsidR="00F2531E">
        <w:t>i</w:t>
      </w:r>
      <w:r>
        <w:t>on-driven culture in regulatory work and decision-making? What new skillsets and mindsets do they need today?</w:t>
      </w:r>
    </w:p>
    <w:p w14:paraId="5AF02E44" w14:textId="1AF228ED" w:rsidR="0047105D" w:rsidRDefault="0047105D" w:rsidP="0047105D">
      <w:r>
        <w:t>As demonstrated by Nobel Prize winners Acemoglu, Johnson, and Robinson, institutions play a pivotal role in fostering and sustaining economic development. This insight underscores the false dichotomy often drawn between regulation and innovation — an idea that remains relevant amid the challenges of today’s digital economy.</w:t>
      </w:r>
    </w:p>
    <w:p w14:paraId="4B2BC1C7" w14:textId="7E7148D2" w:rsidR="0047105D" w:rsidRDefault="0047105D" w:rsidP="0047105D">
      <w:r>
        <w:t xml:space="preserve">Regulators are uniquely </w:t>
      </w:r>
      <w:r w:rsidR="00F94D65">
        <w:t>positioned</w:t>
      </w:r>
      <w:r>
        <w:t xml:space="preserve"> to shape environments that enable innovation in Information and Communication Technologies (ICTs), while simultaneously safeguarding users from harm, fostering inclusion both within and across countries, and promoting healthy competition.</w:t>
      </w:r>
    </w:p>
    <w:p w14:paraId="68B5D3FF" w14:textId="05644EA7" w:rsidR="0047105D" w:rsidRDefault="0047105D" w:rsidP="0047105D">
      <w:r>
        <w:t>Instruments such as regulatory sandboxes o</w:t>
      </w:r>
      <w:r>
        <w:rPr>
          <w:rFonts w:ascii="Arial" w:hAnsi="Arial" w:cs="Arial"/>
        </w:rPr>
        <w:t>ﬀ</w:t>
      </w:r>
      <w:r>
        <w:t>er a pragmatic way to strike a balance between encouraging innovation and managing associated risks.</w:t>
      </w:r>
    </w:p>
    <w:p w14:paraId="2292BC46" w14:textId="1B4CA4DC" w:rsidR="0047105D" w:rsidRDefault="0047105D" w:rsidP="0047105D">
      <w:r w:rsidRPr="00F94D65">
        <w:rPr>
          <w:b/>
          <w:bCs/>
        </w:rPr>
        <w:t>Adapting and enhancing regulatory capacity:</w:t>
      </w:r>
      <w:r>
        <w:t xml:space="preserve"> How should regulatory mandates, capacity and decision-making evolve to balance market innovation with digital inclusion and support the achievement of broader social and economic policy goals? What institutional mechanisms can enhance regulatory responsiveness to emerging digital business models and evolving risks?</w:t>
      </w:r>
    </w:p>
    <w:p w14:paraId="503D48E9" w14:textId="346EC574" w:rsidR="0047105D" w:rsidRDefault="0047105D" w:rsidP="0047105D">
      <w:r>
        <w:t>Globally, ICT regulators have had to adapt their mandates, shifting from merely connecting individuals to addressing broader gaps in access and meaningful use of digital services. Emerging technologies, such as Artiﬁcial Intelligence (AI), clearly illustrate the evolving nature of the regulator’s role. It is no longer su</w:t>
      </w:r>
      <w:r>
        <w:rPr>
          <w:rFonts w:ascii="Arial" w:hAnsi="Arial" w:cs="Arial"/>
        </w:rPr>
        <w:t>ﬃ</w:t>
      </w:r>
      <w:r>
        <w:t>cient to provide connectivity; users must also be equipped with the skills to use digital tools, be protected from harm across diverse demographics, and have affordable access to services that are increasingly essential to daily life.</w:t>
      </w:r>
    </w:p>
    <w:p w14:paraId="5A22E836" w14:textId="0B9F51E2" w:rsidR="0047105D" w:rsidRDefault="0047105D" w:rsidP="0047105D">
      <w:r>
        <w:t>Ongoing training is equally vital for those within regulatory agencies, who are tasked with enabling inclusive access to the digital economy. Addressing today’s challenges is important, but a forward-looking perspective is essen</w:t>
      </w:r>
      <w:r w:rsidR="00F94D65">
        <w:t>ti</w:t>
      </w:r>
      <w:r>
        <w:t>al. Regulators must an</w:t>
      </w:r>
      <w:r w:rsidR="00F94D65">
        <w:t>ti</w:t>
      </w:r>
      <w:r>
        <w:t>cipate future trends to ensure that digital transformation benefits all.</w:t>
      </w:r>
    </w:p>
    <w:p w14:paraId="08334A18" w14:textId="5E87C998" w:rsidR="0047105D" w:rsidRDefault="0047105D" w:rsidP="0047105D">
      <w:r w:rsidRPr="00F94D65">
        <w:rPr>
          <w:b/>
          <w:bCs/>
        </w:rPr>
        <w:t>Harnessing transforma</w:t>
      </w:r>
      <w:r w:rsidR="00F94D65" w:rsidRPr="00F94D65">
        <w:rPr>
          <w:b/>
          <w:bCs/>
        </w:rPr>
        <w:t>ti</w:t>
      </w:r>
      <w:r w:rsidRPr="00F94D65">
        <w:rPr>
          <w:b/>
          <w:bCs/>
        </w:rPr>
        <w:t>ve technologies for regulatory excellence:</w:t>
      </w:r>
      <w:r>
        <w:t xml:space="preserve"> How can regulators be</w:t>
      </w:r>
      <w:r w:rsidR="00F94D65">
        <w:t>tt</w:t>
      </w:r>
      <w:r>
        <w:t>er leverage Ar</w:t>
      </w:r>
      <w:r w:rsidR="00F94D65">
        <w:t>ti</w:t>
      </w:r>
      <w:r>
        <w:t>ﬁcial Intelligence, big data, Internet of Things, blockchain and other digital technologies to enhance decision-making, compliance monitoring and regulatory agility? What technology tools and applica</w:t>
      </w:r>
      <w:r w:rsidR="00F94D65">
        <w:t>ti</w:t>
      </w:r>
      <w:r>
        <w:t>ons can regulators use to strengthen transparency, stakeholder engagement and public trust in regulatory processes?</w:t>
      </w:r>
    </w:p>
    <w:p w14:paraId="32AE3277" w14:textId="61867834" w:rsidR="0047105D" w:rsidRDefault="0047105D" w:rsidP="0047105D">
      <w:r>
        <w:t>Quantum technologies o</w:t>
      </w:r>
      <w:r>
        <w:rPr>
          <w:rFonts w:ascii="Arial" w:hAnsi="Arial" w:cs="Arial"/>
        </w:rPr>
        <w:t>ﬀ</w:t>
      </w:r>
      <w:r>
        <w:t>er a clear example of how cu</w:t>
      </w:r>
      <w:r w:rsidR="00F94D65">
        <w:t>tti</w:t>
      </w:r>
      <w:r>
        <w:t>ng-edge scien</w:t>
      </w:r>
      <w:r w:rsidR="00F94D65">
        <w:t>ti</w:t>
      </w:r>
      <w:r>
        <w:t>ﬁc advances are increasingly shaping the work of ICT regulators in complex ways. On one hand, quantum compu</w:t>
      </w:r>
      <w:r w:rsidR="00F94D65">
        <w:t>ti</w:t>
      </w:r>
      <w:r>
        <w:t>ng enables the rapid processing of massive volumes of data, unlocking insights that were previously out of reach. On the other hand, it threatens to undermine current cryptographic systems, potentially putting the broader economy and citizens’ privacy at risk.</w:t>
      </w:r>
    </w:p>
    <w:p w14:paraId="5FD2DE76" w14:textId="3741AB83" w:rsidR="0047105D" w:rsidRDefault="0047105D" w:rsidP="0047105D">
      <w:r>
        <w:t>Regulators must therefore strike a careful balance — leveraging the beneﬁts of emerging technologies such as AI, blockchain and quantum compu</w:t>
      </w:r>
      <w:r w:rsidR="00F94D65">
        <w:t>ti</w:t>
      </w:r>
      <w:r>
        <w:t>ng and communica</w:t>
      </w:r>
      <w:r w:rsidR="00F94D65">
        <w:t>ti</w:t>
      </w:r>
      <w:r>
        <w:t>ons, while staying vigilant to the new risks they introduce.</w:t>
      </w:r>
    </w:p>
    <w:p w14:paraId="37AD4FE6" w14:textId="547F4D72" w:rsidR="0047105D" w:rsidRDefault="0047105D" w:rsidP="0047105D">
      <w:r>
        <w:lastRenderedPageBreak/>
        <w:t>AI alone holds signiﬁcant promise to enhance regulatory e</w:t>
      </w:r>
      <w:r>
        <w:rPr>
          <w:rFonts w:ascii="Arial" w:hAnsi="Arial" w:cs="Arial"/>
        </w:rPr>
        <w:t>ﬃ</w:t>
      </w:r>
      <w:r>
        <w:t>ciency and op</w:t>
      </w:r>
      <w:r w:rsidR="00F94D65">
        <w:t>ti</w:t>
      </w:r>
      <w:r>
        <w:t>mize resource alloca</w:t>
      </w:r>
      <w:r w:rsidR="00F94D65">
        <w:t>ti</w:t>
      </w:r>
      <w:r>
        <w:t>on. However, its deployment must be guided by appropriate safeguards and ethical considerations.</w:t>
      </w:r>
    </w:p>
    <w:p w14:paraId="0EDF0E23" w14:textId="78696738" w:rsidR="0047105D" w:rsidRDefault="0047105D" w:rsidP="0047105D">
      <w:r>
        <w:t>At ANATEL, we have been exploring the use of blockchain to strengthen informa</w:t>
      </w:r>
      <w:r w:rsidR="00F94D65">
        <w:t>ti</w:t>
      </w:r>
      <w:r>
        <w:t>on integrity online, an initiative with strong potential for broader adoption by regulators around the world.</w:t>
      </w:r>
    </w:p>
    <w:p w14:paraId="1E2E178E" w14:textId="2EBCF760" w:rsidR="0047105D" w:rsidRDefault="0047105D" w:rsidP="0047105D">
      <w:r w:rsidRPr="00F94D65">
        <w:rPr>
          <w:b/>
          <w:bCs/>
        </w:rPr>
        <w:t>Cross-border coopera</w:t>
      </w:r>
      <w:r w:rsidR="00F94D65" w:rsidRPr="00F94D65">
        <w:rPr>
          <w:b/>
          <w:bCs/>
        </w:rPr>
        <w:t>ti</w:t>
      </w:r>
      <w:r w:rsidRPr="00F94D65">
        <w:rPr>
          <w:b/>
          <w:bCs/>
        </w:rPr>
        <w:t>on for building na</w:t>
      </w:r>
      <w:r w:rsidR="00F94D65" w:rsidRPr="00F94D65">
        <w:rPr>
          <w:b/>
          <w:bCs/>
        </w:rPr>
        <w:t>ti</w:t>
      </w:r>
      <w:r w:rsidRPr="00F94D65">
        <w:rPr>
          <w:b/>
          <w:bCs/>
        </w:rPr>
        <w:t>onal, regional and digital ecosystems:</w:t>
      </w:r>
      <w:r>
        <w:t xml:space="preserve"> How can regulators leverage regional and interna</w:t>
      </w:r>
      <w:r w:rsidR="00F94D65">
        <w:t>ti</w:t>
      </w:r>
      <w:r>
        <w:t>onal coopera</w:t>
      </w:r>
      <w:r w:rsidR="00F94D65">
        <w:t>ti</w:t>
      </w:r>
      <w:r>
        <w:t>on to foster harmonized regulatory approaches, knowledge exchange and capacity-building?</w:t>
      </w:r>
    </w:p>
    <w:p w14:paraId="694A56F5" w14:textId="2053356D" w:rsidR="0047105D" w:rsidRDefault="0047105D" w:rsidP="0047105D">
      <w:r>
        <w:t>Telecommunica</w:t>
      </w:r>
      <w:r w:rsidR="00F94D65">
        <w:t>ti</w:t>
      </w:r>
      <w:r>
        <w:t>ons are inherently transna</w:t>
      </w:r>
      <w:r w:rsidR="00F94D65">
        <w:t>ti</w:t>
      </w:r>
      <w:r>
        <w:t>onal, placing the ICT sector in a unique posi</w:t>
      </w:r>
      <w:r w:rsidR="00F94D65">
        <w:t>ti</w:t>
      </w:r>
      <w:r>
        <w:t>on of advantage when it comes to interna</w:t>
      </w:r>
      <w:r w:rsidR="00F94D65">
        <w:t>ti</w:t>
      </w:r>
      <w:r>
        <w:t>onal collabora</w:t>
      </w:r>
      <w:r w:rsidR="00F94D65">
        <w:t>ti</w:t>
      </w:r>
      <w:r>
        <w:t>on. Today, the development of technical standards and the exchange of regulatory experiences have become integral to the daily work of regulators.</w:t>
      </w:r>
    </w:p>
    <w:p w14:paraId="39ECD56E" w14:textId="3EBA57EF" w:rsidR="0047105D" w:rsidRDefault="0047105D" w:rsidP="0047105D">
      <w:r>
        <w:t>Nevertheless, there is s</w:t>
      </w:r>
      <w:r w:rsidR="00F94D65">
        <w:t>ti</w:t>
      </w:r>
      <w:r>
        <w:t>ll room for growth in this area. Regional and interna</w:t>
      </w:r>
      <w:r w:rsidR="00F94D65">
        <w:t>ti</w:t>
      </w:r>
      <w:r>
        <w:t>onal organiza</w:t>
      </w:r>
      <w:r w:rsidR="00F94D65">
        <w:t>ti</w:t>
      </w:r>
      <w:r>
        <w:t>ons— such as the Inter-American Telecommunica</w:t>
      </w:r>
      <w:r w:rsidR="00F94D65">
        <w:t>ti</w:t>
      </w:r>
      <w:r>
        <w:t>ons Commission (CITEL) and the Interna</w:t>
      </w:r>
      <w:r w:rsidR="00F94D65">
        <w:t>ti</w:t>
      </w:r>
      <w:r>
        <w:t>onal Telecommunica</w:t>
      </w:r>
      <w:r w:rsidR="00F94D65">
        <w:t>ti</w:t>
      </w:r>
      <w:r>
        <w:t>on Union (ITU) — must ac</w:t>
      </w:r>
      <w:r w:rsidR="00F94D65">
        <w:t>ti</w:t>
      </w:r>
      <w:r>
        <w:t xml:space="preserve">vely work to renew and strengthen </w:t>
      </w:r>
      <w:r w:rsidR="00F94D65">
        <w:t>ti</w:t>
      </w:r>
      <w:r>
        <w:t>es among na</w:t>
      </w:r>
      <w:r w:rsidR="00F94D65">
        <w:t>ti</w:t>
      </w:r>
      <w:r>
        <w:t>onal authori</w:t>
      </w:r>
      <w:r w:rsidR="00F94D65">
        <w:t>ti</w:t>
      </w:r>
      <w:r>
        <w:t>es. This includes scaling up successful local ini</w:t>
      </w:r>
      <w:r w:rsidR="00F94D65">
        <w:t>ti</w:t>
      </w:r>
      <w:r>
        <w:t>a</w:t>
      </w:r>
      <w:r w:rsidR="00F94D65">
        <w:t>ti</w:t>
      </w:r>
      <w:r>
        <w:t>ves, fostering inclusive dialogue, and acknowledging the diversity of cultures and needs across regions.</w:t>
      </w:r>
    </w:p>
    <w:sectPr w:rsidR="0047105D" w:rsidSect="00420BD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6FDEA" w14:textId="77777777" w:rsidR="00420BD6" w:rsidRDefault="00420BD6" w:rsidP="00420BD6">
      <w:pPr>
        <w:spacing w:after="0" w:line="240" w:lineRule="auto"/>
      </w:pPr>
      <w:r>
        <w:separator/>
      </w:r>
    </w:p>
  </w:endnote>
  <w:endnote w:type="continuationSeparator" w:id="0">
    <w:p w14:paraId="34A71842" w14:textId="77777777" w:rsidR="00420BD6" w:rsidRDefault="00420BD6" w:rsidP="0042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5A565" w14:textId="77777777" w:rsidR="00420BD6" w:rsidRDefault="00420BD6" w:rsidP="00420BD6">
      <w:pPr>
        <w:spacing w:after="0" w:line="240" w:lineRule="auto"/>
      </w:pPr>
      <w:r>
        <w:separator/>
      </w:r>
    </w:p>
  </w:footnote>
  <w:footnote w:type="continuationSeparator" w:id="0">
    <w:p w14:paraId="76203E09" w14:textId="77777777" w:rsidR="00420BD6" w:rsidRDefault="00420BD6" w:rsidP="00420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7860" w14:textId="660943BF" w:rsidR="00420BD6" w:rsidRDefault="00420BD6" w:rsidP="00420BD6">
    <w:pPr>
      <w:pStyle w:val="Header"/>
      <w:jc w:val="center"/>
    </w:pPr>
    <w:r>
      <w:rPr>
        <w:noProof/>
      </w:rPr>
      <w:drawing>
        <wp:inline distT="0" distB="0" distL="0" distR="0" wp14:anchorId="49409817" wp14:editId="40B2A079">
          <wp:extent cx="1363672" cy="395767"/>
          <wp:effectExtent l="0" t="0" r="8255" b="4445"/>
          <wp:docPr id="1115233065" name="Picture 1"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233065" name="Picture 1" descr="A green text on a white background&#10;&#10;AI-generated content may be incorrect."/>
                  <pic:cNvPicPr/>
                </pic:nvPicPr>
                <pic:blipFill>
                  <a:blip r:embed="rId1"/>
                  <a:stretch>
                    <a:fillRect/>
                  </a:stretch>
                </pic:blipFill>
                <pic:spPr>
                  <a:xfrm>
                    <a:off x="0" y="0"/>
                    <a:ext cx="1384844" cy="401912"/>
                  </a:xfrm>
                  <a:prstGeom prst="rect">
                    <a:avLst/>
                  </a:prstGeom>
                </pic:spPr>
              </pic:pic>
            </a:graphicData>
          </a:graphic>
        </wp:inline>
      </w:drawing>
    </w:r>
  </w:p>
  <w:p w14:paraId="0B0E8FF3" w14:textId="77777777" w:rsidR="00420BD6" w:rsidRDefault="00420B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5D"/>
    <w:rsid w:val="00070947"/>
    <w:rsid w:val="00252D24"/>
    <w:rsid w:val="00420BD6"/>
    <w:rsid w:val="0047105D"/>
    <w:rsid w:val="00EA17A7"/>
    <w:rsid w:val="00F2531E"/>
    <w:rsid w:val="00F94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B30337"/>
  <w15:chartTrackingRefBased/>
  <w15:docId w15:val="{FF7E40F2-CA81-428D-A88C-6E85E4A8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1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1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1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05D"/>
    <w:rPr>
      <w:rFonts w:eastAsiaTheme="majorEastAsia" w:cstheme="majorBidi"/>
      <w:color w:val="272727" w:themeColor="text1" w:themeTint="D8"/>
    </w:rPr>
  </w:style>
  <w:style w:type="paragraph" w:styleId="Title">
    <w:name w:val="Title"/>
    <w:basedOn w:val="Normal"/>
    <w:next w:val="Normal"/>
    <w:link w:val="TitleChar"/>
    <w:uiPriority w:val="10"/>
    <w:qFormat/>
    <w:rsid w:val="00471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05D"/>
    <w:pPr>
      <w:spacing w:before="160"/>
      <w:jc w:val="center"/>
    </w:pPr>
    <w:rPr>
      <w:i/>
      <w:iCs/>
      <w:color w:val="404040" w:themeColor="text1" w:themeTint="BF"/>
    </w:rPr>
  </w:style>
  <w:style w:type="character" w:customStyle="1" w:styleId="QuoteChar">
    <w:name w:val="Quote Char"/>
    <w:basedOn w:val="DefaultParagraphFont"/>
    <w:link w:val="Quote"/>
    <w:uiPriority w:val="29"/>
    <w:rsid w:val="0047105D"/>
    <w:rPr>
      <w:i/>
      <w:iCs/>
      <w:color w:val="404040" w:themeColor="text1" w:themeTint="BF"/>
    </w:rPr>
  </w:style>
  <w:style w:type="paragraph" w:styleId="ListParagraph">
    <w:name w:val="List Paragraph"/>
    <w:basedOn w:val="Normal"/>
    <w:uiPriority w:val="34"/>
    <w:qFormat/>
    <w:rsid w:val="0047105D"/>
    <w:pPr>
      <w:ind w:left="720"/>
      <w:contextualSpacing/>
    </w:pPr>
  </w:style>
  <w:style w:type="character" w:styleId="IntenseEmphasis">
    <w:name w:val="Intense Emphasis"/>
    <w:basedOn w:val="DefaultParagraphFont"/>
    <w:uiPriority w:val="21"/>
    <w:qFormat/>
    <w:rsid w:val="0047105D"/>
    <w:rPr>
      <w:i/>
      <w:iCs/>
      <w:color w:val="0F4761" w:themeColor="accent1" w:themeShade="BF"/>
    </w:rPr>
  </w:style>
  <w:style w:type="paragraph" w:styleId="IntenseQuote">
    <w:name w:val="Intense Quote"/>
    <w:basedOn w:val="Normal"/>
    <w:next w:val="Normal"/>
    <w:link w:val="IntenseQuoteChar"/>
    <w:uiPriority w:val="30"/>
    <w:qFormat/>
    <w:rsid w:val="00471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105D"/>
    <w:rPr>
      <w:i/>
      <w:iCs/>
      <w:color w:val="0F4761" w:themeColor="accent1" w:themeShade="BF"/>
    </w:rPr>
  </w:style>
  <w:style w:type="character" w:styleId="IntenseReference">
    <w:name w:val="Intense Reference"/>
    <w:basedOn w:val="DefaultParagraphFont"/>
    <w:uiPriority w:val="32"/>
    <w:qFormat/>
    <w:rsid w:val="0047105D"/>
    <w:rPr>
      <w:b/>
      <w:bCs/>
      <w:smallCaps/>
      <w:color w:val="0F4761" w:themeColor="accent1" w:themeShade="BF"/>
      <w:spacing w:val="5"/>
    </w:rPr>
  </w:style>
  <w:style w:type="paragraph" w:styleId="Header">
    <w:name w:val="header"/>
    <w:basedOn w:val="Normal"/>
    <w:link w:val="HeaderChar"/>
    <w:uiPriority w:val="99"/>
    <w:unhideWhenUsed/>
    <w:rsid w:val="00420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BD6"/>
  </w:style>
  <w:style w:type="paragraph" w:styleId="Footer">
    <w:name w:val="footer"/>
    <w:basedOn w:val="Normal"/>
    <w:link w:val="FooterChar"/>
    <w:uiPriority w:val="99"/>
    <w:unhideWhenUsed/>
    <w:rsid w:val="00420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Conde, Tamaiti</dc:creator>
  <cp:keywords/>
  <dc:description/>
  <cp:lastModifiedBy>Conde, Tamaiti</cp:lastModifiedBy>
  <cp:revision>2</cp:revision>
  <cp:lastPrinted>2025-06-24T08:30:00Z</cp:lastPrinted>
  <dcterms:created xsi:type="dcterms:W3CDTF">2025-06-24T08:02:00Z</dcterms:created>
  <dcterms:modified xsi:type="dcterms:W3CDTF">2025-06-24T08:30:00Z</dcterms:modified>
</cp:coreProperties>
</file>