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8A" w:rsidRDefault="00450D8A" w:rsidP="00450D8A">
      <w:pPr>
        <w:jc w:val="right"/>
      </w:pPr>
    </w:p>
    <w:p w:rsidR="00FB1C05" w:rsidRPr="008B2812" w:rsidRDefault="00FB1C05" w:rsidP="00FB1C05">
      <w:pPr>
        <w:pStyle w:val="Annextitle"/>
        <w:rPr>
          <w:rFonts w:eastAsia="MS PGothic"/>
        </w:rPr>
      </w:pPr>
      <w:bookmarkStart w:id="0" w:name="dbreak"/>
      <w:bookmarkEnd w:id="0"/>
      <w:r w:rsidRPr="008B2812">
        <w:rPr>
          <w:rFonts w:eastAsia="MS PGothic"/>
        </w:rPr>
        <w:t xml:space="preserve">Terms of Reference for the ITU </w:t>
      </w:r>
      <w:proofErr w:type="spellStart"/>
      <w:r w:rsidRPr="008B2812">
        <w:rPr>
          <w:rFonts w:eastAsia="MS PGothic"/>
        </w:rPr>
        <w:t>Intersector</w:t>
      </w:r>
      <w:proofErr w:type="spellEnd"/>
      <w:r w:rsidRPr="008B2812">
        <w:rPr>
          <w:rFonts w:eastAsia="MS PGothic"/>
        </w:rPr>
        <w:t xml:space="preserve"> Rapporteur Group on Integrated Broadcast-Broadband systems (IRG-IBB)</w:t>
      </w:r>
    </w:p>
    <w:p w:rsidR="00FB1C05" w:rsidRPr="008B2812" w:rsidRDefault="00FB1C05" w:rsidP="00FB1C05">
      <w:pPr>
        <w:shd w:val="clear" w:color="auto" w:fill="FFFFFF"/>
        <w:jc w:val="right"/>
        <w:rPr>
          <w:rFonts w:eastAsia="MS PGothic"/>
          <w:color w:val="444444"/>
          <w:szCs w:val="24"/>
        </w:rPr>
      </w:pPr>
    </w:p>
    <w:p w:rsidR="00FB1C05" w:rsidRPr="008B2812" w:rsidRDefault="00A224CB" w:rsidP="00887592">
      <w:pPr>
        <w:pStyle w:val="Heading1"/>
      </w:pPr>
      <w:r>
        <w:t>1</w:t>
      </w:r>
      <w:r>
        <w:tab/>
      </w:r>
      <w:r w:rsidR="00FB1C05" w:rsidRPr="008B2812">
        <w:t>Preamble</w:t>
      </w:r>
    </w:p>
    <w:p w:rsidR="00FB1C05" w:rsidRPr="008B2812" w:rsidRDefault="00FB1C05" w:rsidP="007D7B2C">
      <w:r w:rsidRPr="008B2812">
        <w:t xml:space="preserve">WTSA Resolution 18 </w:t>
      </w:r>
      <w:r w:rsidRPr="008B2812">
        <w:rPr>
          <w:rFonts w:eastAsia="MS PGothic"/>
        </w:rPr>
        <w:t xml:space="preserve">(Rev. </w:t>
      </w:r>
      <w:proofErr w:type="spellStart"/>
      <w:r w:rsidRPr="008B2812">
        <w:t>Hammamet</w:t>
      </w:r>
      <w:proofErr w:type="spellEnd"/>
      <w:r w:rsidRPr="008B2812">
        <w:t>, 2016</w:t>
      </w:r>
      <w:r w:rsidRPr="008B2812">
        <w:rPr>
          <w:rFonts w:eastAsia="MS PGothic"/>
        </w:rPr>
        <w:t>) and Resolution ITU-R 6-2</w:t>
      </w:r>
      <w:r w:rsidRPr="008B2812">
        <w:t xml:space="preserve"> allow </w:t>
      </w:r>
      <w:proofErr w:type="gramStart"/>
      <w:r w:rsidRPr="008B2812">
        <w:t xml:space="preserve">for </w:t>
      </w:r>
      <w:r w:rsidRPr="008B2812">
        <w:t>ITU</w:t>
      </w:r>
      <w:proofErr w:type="gramEnd"/>
      <w:r w:rsidRPr="008B2812">
        <w:t xml:space="preserve">-T and </w:t>
      </w:r>
      <w:r w:rsidRPr="008B2812">
        <w:t xml:space="preserve">ITU-R experts to jointly develop work in a group officially recognized by both ITU-R and ITU-T. </w:t>
      </w:r>
    </w:p>
    <w:p w:rsidR="00FB1C05" w:rsidRPr="008B2812" w:rsidRDefault="00FB1C05" w:rsidP="007D7B2C">
      <w:r w:rsidRPr="008B2812">
        <w:t xml:space="preserve">The </w:t>
      </w:r>
      <w:proofErr w:type="spellStart"/>
      <w:r w:rsidRPr="008B2812">
        <w:rPr>
          <w:b/>
        </w:rPr>
        <w:t>Intersector</w:t>
      </w:r>
      <w:proofErr w:type="spellEnd"/>
      <w:r w:rsidRPr="008B2812">
        <w:rPr>
          <w:b/>
        </w:rPr>
        <w:t xml:space="preserve"> Rapporteur Group on </w:t>
      </w:r>
      <w:r w:rsidRPr="008B2812">
        <w:rPr>
          <w:b/>
          <w:lang w:eastAsia="ja-JP"/>
        </w:rPr>
        <w:t>Integrated Broadcast-Broadband systems</w:t>
      </w:r>
      <w:r w:rsidRPr="008B2812">
        <w:rPr>
          <w:b/>
        </w:rPr>
        <w:t xml:space="preserve"> (IRG-</w:t>
      </w:r>
      <w:r w:rsidRPr="008B2812">
        <w:rPr>
          <w:b/>
          <w:lang w:eastAsia="ja-JP"/>
        </w:rPr>
        <w:t>IBB</w:t>
      </w:r>
      <w:r w:rsidRPr="008B2812">
        <w:rPr>
          <w:b/>
        </w:rPr>
        <w:t>)</w:t>
      </w:r>
      <w:r w:rsidRPr="008B2812">
        <w:t xml:space="preserve"> </w:t>
      </w:r>
      <w:proofErr w:type="gramStart"/>
      <w:r w:rsidRPr="008B2812">
        <w:t>is established</w:t>
      </w:r>
      <w:proofErr w:type="gramEnd"/>
      <w:r w:rsidRPr="008B2812">
        <w:t xml:space="preserve"> in accordance with Annex C of WTSA Resolution 18 and </w:t>
      </w:r>
      <w:r w:rsidRPr="008B2812">
        <w:t xml:space="preserve">ANNEX 4 </w:t>
      </w:r>
      <w:r w:rsidR="00E72E11" w:rsidRPr="008B2812">
        <w:t>to</w:t>
      </w:r>
      <w:r w:rsidRPr="008B2812">
        <w:t xml:space="preserve"> </w:t>
      </w:r>
      <w:r w:rsidRPr="008B2812">
        <w:t>Resolution ITU</w:t>
      </w:r>
      <w:r w:rsidR="007D7B2C">
        <w:noBreakHyphen/>
      </w:r>
      <w:r w:rsidRPr="008B2812">
        <w:t>R 6</w:t>
      </w:r>
      <w:r w:rsidRPr="008B2812">
        <w:t>-2</w:t>
      </w:r>
      <w:r w:rsidRPr="008B2812">
        <w:t>.</w:t>
      </w:r>
    </w:p>
    <w:p w:rsidR="00FB1C05" w:rsidRPr="008557A5" w:rsidRDefault="00A224CB" w:rsidP="00887592">
      <w:pPr>
        <w:pStyle w:val="Heading1"/>
      </w:pPr>
      <w:r>
        <w:t>2</w:t>
      </w:r>
      <w:r>
        <w:tab/>
      </w:r>
      <w:r w:rsidR="00FB1C05" w:rsidRPr="008557A5">
        <w:t>Objectives</w:t>
      </w:r>
    </w:p>
    <w:p w:rsidR="00FB1C05" w:rsidRPr="008B2812" w:rsidRDefault="00FB1C05" w:rsidP="007D7B2C">
      <w:pPr>
        <w:rPr>
          <w:lang w:eastAsia="ja-JP"/>
        </w:rPr>
      </w:pPr>
      <w:r w:rsidRPr="008B2812">
        <w:rPr>
          <w:lang w:eastAsia="ja-JP"/>
        </w:rPr>
        <w:t xml:space="preserve">An Integrated Broadcast-Broadband (IBB) system </w:t>
      </w:r>
      <w:proofErr w:type="gramStart"/>
      <w:r w:rsidRPr="008B2812">
        <w:rPr>
          <w:lang w:eastAsia="ja-JP"/>
        </w:rPr>
        <w:t>is based</w:t>
      </w:r>
      <w:proofErr w:type="gramEnd"/>
      <w:r w:rsidRPr="008B2812">
        <w:rPr>
          <w:lang w:eastAsia="ja-JP"/>
        </w:rPr>
        <w:t xml:space="preserve"> on the combination of the technologies of both broadband and various broadcasting including over-the-air and cable. </w:t>
      </w:r>
      <w:r w:rsidR="007D7B2C" w:rsidRPr="008B2812">
        <w:rPr>
          <w:lang w:eastAsia="ja-JP"/>
        </w:rPr>
        <w:t>In addition,</w:t>
      </w:r>
      <w:r w:rsidRPr="008B2812">
        <w:rPr>
          <w:lang w:eastAsia="ja-JP"/>
        </w:rPr>
        <w:t xml:space="preserve"> various multiple devices are used for effective presentation of content and user interactivity in some cases. </w:t>
      </w:r>
      <w:r w:rsidR="00156AEF" w:rsidRPr="008B2812">
        <w:rPr>
          <w:lang w:eastAsia="ja-JP"/>
        </w:rPr>
        <w:t>The w</w:t>
      </w:r>
      <w:r w:rsidRPr="008B2812">
        <w:rPr>
          <w:lang w:eastAsia="ja-JP"/>
        </w:rPr>
        <w:t xml:space="preserve">ide range of services enabled by the IBB system </w:t>
      </w:r>
      <w:proofErr w:type="gramStart"/>
      <w:r w:rsidRPr="008B2812">
        <w:rPr>
          <w:lang w:eastAsia="ja-JP"/>
        </w:rPr>
        <w:t>is achieved</w:t>
      </w:r>
      <w:proofErr w:type="gramEnd"/>
      <w:r w:rsidRPr="008B2812">
        <w:rPr>
          <w:lang w:eastAsia="ja-JP"/>
        </w:rPr>
        <w:t xml:space="preserve"> by its </w:t>
      </w:r>
      <w:r w:rsidR="00156AEF" w:rsidRPr="008B2812">
        <w:rPr>
          <w:lang w:eastAsia="ja-JP"/>
        </w:rPr>
        <w:t xml:space="preserve">relatively complex </w:t>
      </w:r>
      <w:r w:rsidRPr="008B2812">
        <w:rPr>
          <w:lang w:eastAsia="ja-JP"/>
        </w:rPr>
        <w:t xml:space="preserve">system behaviour. Considering flexibility of choice of technologies to provide required system behaviour, similar but different technologies for the same purpose or a technology for different purpose may be used. </w:t>
      </w:r>
      <w:r w:rsidR="007D7B2C">
        <w:rPr>
          <w:lang w:eastAsia="ja-JP"/>
        </w:rPr>
        <w:t xml:space="preserve">In order </w:t>
      </w:r>
      <w:r w:rsidRPr="008B2812">
        <w:rPr>
          <w:lang w:eastAsia="ja-JP"/>
        </w:rPr>
        <w:t>to have commonality or reasonable complexity of the systems</w:t>
      </w:r>
      <w:r w:rsidR="007D7B2C">
        <w:rPr>
          <w:lang w:eastAsia="ja-JP"/>
        </w:rPr>
        <w:t>,</w:t>
      </w:r>
      <w:r w:rsidRPr="008B2812">
        <w:rPr>
          <w:lang w:eastAsia="ja-JP"/>
        </w:rPr>
        <w:t xml:space="preserve"> </w:t>
      </w:r>
      <w:r w:rsidR="007D7B2C">
        <w:rPr>
          <w:lang w:eastAsia="ja-JP"/>
        </w:rPr>
        <w:t>i</w:t>
      </w:r>
      <w:r w:rsidR="007D7B2C" w:rsidRPr="008B2812">
        <w:rPr>
          <w:lang w:eastAsia="ja-JP"/>
        </w:rPr>
        <w:t>t should be considered</w:t>
      </w:r>
      <w:r w:rsidR="007D7B2C">
        <w:rPr>
          <w:lang w:eastAsia="ja-JP"/>
        </w:rPr>
        <w:t>,</w:t>
      </w:r>
      <w:r w:rsidR="007D7B2C" w:rsidRPr="008B2812">
        <w:rPr>
          <w:lang w:eastAsia="ja-JP"/>
        </w:rPr>
        <w:t xml:space="preserve"> </w:t>
      </w:r>
      <w:r w:rsidRPr="008B2812">
        <w:rPr>
          <w:lang w:eastAsia="ja-JP"/>
        </w:rPr>
        <w:t>as much as possible</w:t>
      </w:r>
      <w:r w:rsidR="007D7B2C">
        <w:rPr>
          <w:lang w:eastAsia="ja-JP"/>
        </w:rPr>
        <w:t>,</w:t>
      </w:r>
      <w:r w:rsidRPr="008B2812">
        <w:rPr>
          <w:lang w:eastAsia="ja-JP"/>
        </w:rPr>
        <w:t xml:space="preserve"> to avoid proliferation of the system standards, which will avoid or mitigate fragmentation of the market of receivers and services.</w:t>
      </w:r>
    </w:p>
    <w:p w:rsidR="00FB1C05" w:rsidRPr="008B2812" w:rsidRDefault="00FB1C05" w:rsidP="007D7B2C">
      <w:pPr>
        <w:rPr>
          <w:spacing w:val="-2"/>
          <w:lang w:eastAsia="zh-CN"/>
        </w:rPr>
      </w:pPr>
      <w:r w:rsidRPr="008B2812">
        <w:rPr>
          <w:spacing w:val="-2"/>
          <w:lang w:eastAsia="zh-CN"/>
        </w:rPr>
        <w:t xml:space="preserve">The IRG will thus consider </w:t>
      </w:r>
      <w:r w:rsidRPr="008B2812">
        <w:rPr>
          <w:spacing w:val="-2"/>
          <w:lang w:eastAsia="ja-JP"/>
        </w:rPr>
        <w:t xml:space="preserve">system definition and system behaviour of existing and potential IBB </w:t>
      </w:r>
      <w:r w:rsidRPr="008B2812">
        <w:rPr>
          <w:spacing w:val="-2"/>
          <w:lang w:eastAsia="zh-CN"/>
        </w:rPr>
        <w:t>systems currently in the purview of the ITU-R Study Group 6 and the ITU-T Study Groups 9 and 16.</w:t>
      </w:r>
    </w:p>
    <w:p w:rsidR="00FB1C05" w:rsidRPr="008B2812" w:rsidRDefault="00FB1C05" w:rsidP="00A224CB">
      <w:r w:rsidRPr="008B2812">
        <w:t xml:space="preserve">This IRG </w:t>
      </w:r>
      <w:r w:rsidR="00156AEF" w:rsidRPr="008B2812">
        <w:t xml:space="preserve">has studied and </w:t>
      </w:r>
      <w:r w:rsidRPr="008B2812">
        <w:t xml:space="preserve">will </w:t>
      </w:r>
      <w:r w:rsidR="00156AEF" w:rsidRPr="008B2812">
        <w:t xml:space="preserve">continue to </w:t>
      </w:r>
      <w:r w:rsidRPr="008B2812">
        <w:t>study topics related to</w:t>
      </w:r>
      <w:r w:rsidRPr="008B2812">
        <w:rPr>
          <w:lang w:eastAsia="ja-JP"/>
        </w:rPr>
        <w:t xml:space="preserve"> Integrated Broadcast-Broadband systems</w:t>
      </w:r>
      <w:r w:rsidRPr="008B2812">
        <w:t xml:space="preserve">, aiming at development of Recommendations, and other non-normative materials, as appropriate. </w:t>
      </w:r>
    </w:p>
    <w:p w:rsidR="00FB1C05" w:rsidRPr="008B2812" w:rsidRDefault="00FB1C05" w:rsidP="00A224CB">
      <w:r w:rsidRPr="008B2812">
        <w:t xml:space="preserve">This IRG will also address matters contributing to the coordination of the standardization work of the involved ITU-T and ITU-R groups. </w:t>
      </w:r>
    </w:p>
    <w:p w:rsidR="00FB1C05" w:rsidRPr="008B2812" w:rsidRDefault="00FB1C05" w:rsidP="00A224CB">
      <w:r w:rsidRPr="008B2812">
        <w:t>The study areas comprise:</w:t>
      </w:r>
    </w:p>
    <w:p w:rsidR="00FB1C05" w:rsidRPr="008B2812" w:rsidRDefault="00FB1C05" w:rsidP="00FB1C05">
      <w:pPr>
        <w:pStyle w:val="enumlev1"/>
        <w:rPr>
          <w:lang w:eastAsia="zh-CN"/>
        </w:rPr>
      </w:pPr>
      <w:r w:rsidRPr="008B2812">
        <w:rPr>
          <w:lang w:eastAsia="zh-CN"/>
        </w:rPr>
        <w:t>–</w:t>
      </w:r>
      <w:r w:rsidRPr="008B2812">
        <w:rPr>
          <w:lang w:eastAsia="zh-CN"/>
        </w:rPr>
        <w:tab/>
      </w:r>
      <w:proofErr w:type="gramStart"/>
      <w:r w:rsidRPr="008B2812">
        <w:rPr>
          <w:lang w:eastAsia="zh-CN"/>
        </w:rPr>
        <w:t>coordination</w:t>
      </w:r>
      <w:proofErr w:type="gramEnd"/>
      <w:r w:rsidRPr="008B2812">
        <w:rPr>
          <w:lang w:eastAsia="zh-CN"/>
        </w:rPr>
        <w:t xml:space="preserve"> of the progress of specific topics of mutual interest restricted to the area of </w:t>
      </w:r>
      <w:r w:rsidRPr="008B2812">
        <w:rPr>
          <w:lang w:eastAsia="ja-JP"/>
        </w:rPr>
        <w:t>Integrated Broadcast-Broadband systems</w:t>
      </w:r>
      <w:r w:rsidRPr="008B2812">
        <w:rPr>
          <w:lang w:eastAsia="zh-CN"/>
        </w:rPr>
        <w:t xml:space="preserve"> including but not exclusively:</w:t>
      </w:r>
    </w:p>
    <w:p w:rsidR="00FB1C05" w:rsidRPr="008B2812" w:rsidRDefault="00FB1C05" w:rsidP="00FB1C05">
      <w:pPr>
        <w:pStyle w:val="enumlev1"/>
        <w:rPr>
          <w:lang w:eastAsia="zh-CN"/>
        </w:rPr>
      </w:pPr>
      <w:r w:rsidRPr="008B2812">
        <w:rPr>
          <w:lang w:eastAsia="zh-CN"/>
        </w:rPr>
        <w:t>–</w:t>
      </w:r>
      <w:r w:rsidRPr="008B2812">
        <w:rPr>
          <w:lang w:eastAsia="zh-CN"/>
        </w:rPr>
        <w:tab/>
      </w:r>
      <w:proofErr w:type="gramStart"/>
      <w:r w:rsidRPr="008B2812">
        <w:rPr>
          <w:lang w:eastAsia="zh-CN"/>
        </w:rPr>
        <w:t>identification</w:t>
      </w:r>
      <w:proofErr w:type="gramEnd"/>
      <w:r w:rsidRPr="008B2812">
        <w:rPr>
          <w:lang w:eastAsia="zh-CN"/>
        </w:rPr>
        <w:t xml:space="preserve"> of potential work items that may be jointly progressed as ITU-T and/or </w:t>
      </w:r>
      <w:r w:rsidRPr="008B2812">
        <w:rPr>
          <w:lang w:eastAsia="zh-CN"/>
        </w:rPr>
        <w:br/>
        <w:t>ITU-R Recommendations;</w:t>
      </w:r>
    </w:p>
    <w:p w:rsidR="00FB1C05" w:rsidRPr="008B2812" w:rsidRDefault="00FB1C05" w:rsidP="00FB1C05">
      <w:pPr>
        <w:pStyle w:val="enumlev1"/>
        <w:rPr>
          <w:lang w:eastAsia="zh-CN"/>
        </w:rPr>
      </w:pPr>
      <w:r w:rsidRPr="008B2812">
        <w:rPr>
          <w:lang w:eastAsia="ja-JP"/>
        </w:rPr>
        <w:t>–</w:t>
      </w:r>
      <w:r w:rsidRPr="008B2812">
        <w:rPr>
          <w:lang w:eastAsia="ja-JP"/>
        </w:rPr>
        <w:tab/>
        <w:t xml:space="preserve">analysis of the existing IBB systems from the viewpoint of Recommendations ITU-T J.205 </w:t>
      </w:r>
      <w:r w:rsidR="00D73D69" w:rsidRPr="008B2812">
        <w:rPr>
          <w:lang w:eastAsia="ja-JP"/>
        </w:rPr>
        <w:t xml:space="preserve">“Requirements for an application control framework using integrated broadcast and broadband digital television” </w:t>
      </w:r>
      <w:r w:rsidRPr="008B2812">
        <w:rPr>
          <w:lang w:eastAsia="ja-JP"/>
        </w:rPr>
        <w:t>and ITU-R BT.2053</w:t>
      </w:r>
      <w:r w:rsidR="00D73D69" w:rsidRPr="008B2812">
        <w:rPr>
          <w:lang w:eastAsia="ja-JP"/>
        </w:rPr>
        <w:t xml:space="preserve"> “Technical requirements for integrated broadcast-broadband systems”</w:t>
      </w:r>
      <w:r w:rsidRPr="008B2812">
        <w:rPr>
          <w:lang w:eastAsia="ja-JP"/>
        </w:rPr>
        <w:t xml:space="preserve">. Consideration </w:t>
      </w:r>
      <w:proofErr w:type="gramStart"/>
      <w:r w:rsidRPr="008B2812">
        <w:rPr>
          <w:lang w:eastAsia="ja-JP"/>
        </w:rPr>
        <w:t>should also be given</w:t>
      </w:r>
      <w:proofErr w:type="gramEnd"/>
      <w:r w:rsidRPr="008B2812">
        <w:rPr>
          <w:lang w:eastAsia="ja-JP"/>
        </w:rPr>
        <w:t xml:space="preserve"> to commonality </w:t>
      </w:r>
      <w:r w:rsidR="00F83D9B" w:rsidRPr="008B2812">
        <w:rPr>
          <w:lang w:eastAsia="ja-JP"/>
        </w:rPr>
        <w:t xml:space="preserve">and harmonization </w:t>
      </w:r>
      <w:r w:rsidRPr="008B2812">
        <w:rPr>
          <w:lang w:eastAsia="ja-JP"/>
        </w:rPr>
        <w:t>of the system definition and behaviours;</w:t>
      </w:r>
    </w:p>
    <w:p w:rsidR="00FB1C05" w:rsidRPr="008B2812" w:rsidRDefault="00FB1C05" w:rsidP="00FB1C05">
      <w:r w:rsidRPr="008B2812">
        <w:t>The IRG-</w:t>
      </w:r>
      <w:r w:rsidRPr="008B2812">
        <w:rPr>
          <w:lang w:eastAsia="ja-JP"/>
        </w:rPr>
        <w:t>IBB</w:t>
      </w:r>
      <w:r w:rsidRPr="008B2812">
        <w:t xml:space="preserve"> will collaborate with other SDOs, as appropriate, and other </w:t>
      </w:r>
      <w:r w:rsidRPr="008B2812">
        <w:rPr>
          <w:lang w:eastAsia="ja-JP"/>
        </w:rPr>
        <w:t>relevant organizations who develop related to or involved technologies</w:t>
      </w:r>
      <w:r w:rsidRPr="008B2812">
        <w:t xml:space="preserve"> (e.g., forums and consortia, research institutes and academia).</w:t>
      </w:r>
    </w:p>
    <w:p w:rsidR="00FB1C05" w:rsidRPr="008557A5" w:rsidRDefault="00A224CB" w:rsidP="00887592">
      <w:pPr>
        <w:pStyle w:val="Heading1"/>
      </w:pPr>
      <w:r>
        <w:lastRenderedPageBreak/>
        <w:t>3</w:t>
      </w:r>
      <w:r>
        <w:tab/>
      </w:r>
      <w:r w:rsidR="00FB1C05" w:rsidRPr="008557A5">
        <w:t>Relations within and outside ITU-T and ITU-R</w:t>
      </w:r>
    </w:p>
    <w:p w:rsidR="00FB1C05" w:rsidRPr="008B2812" w:rsidRDefault="00FB1C05" w:rsidP="00FB1C05">
      <w:r w:rsidRPr="008B2812">
        <w:t>While the primary objective of this IRG is to foster coordination and collaboration between the parent groups on the IRG objectives, collaboration with any relevant study group or other relevant groups is encouraged.</w:t>
      </w:r>
    </w:p>
    <w:p w:rsidR="00FB1C05" w:rsidRPr="008B2812" w:rsidRDefault="00FB1C05" w:rsidP="00FB1C05">
      <w:r w:rsidRPr="008B2812">
        <w:t>Rapporteur groups of other ITU-T and ITU-R groups may join this IRG on request and upon agreement of the parent groups.</w:t>
      </w:r>
    </w:p>
    <w:p w:rsidR="00FB1C05" w:rsidRPr="008B2812" w:rsidRDefault="00FB1C05" w:rsidP="00FB1C05">
      <w:r w:rsidRPr="008B2812">
        <w:t xml:space="preserve">The IRG may prepare liaison statements to other groups. The parent groups are to </w:t>
      </w:r>
      <w:proofErr w:type="gramStart"/>
      <w:r w:rsidRPr="008B2812">
        <w:t>be copied</w:t>
      </w:r>
      <w:proofErr w:type="gramEnd"/>
      <w:r w:rsidRPr="008B2812">
        <w:t xml:space="preserve"> on any such communications.</w:t>
      </w:r>
    </w:p>
    <w:p w:rsidR="00FB1C05" w:rsidRPr="008557A5" w:rsidRDefault="00A224CB" w:rsidP="00887592">
      <w:pPr>
        <w:pStyle w:val="Heading1"/>
      </w:pPr>
      <w:r>
        <w:t>4</w:t>
      </w:r>
      <w:r>
        <w:tab/>
      </w:r>
      <w:r w:rsidR="00FB1C05" w:rsidRPr="008557A5">
        <w:t>Parent groups</w:t>
      </w:r>
    </w:p>
    <w:p w:rsidR="00FB1C05" w:rsidRPr="008B2812" w:rsidRDefault="00FB1C05" w:rsidP="00FB1C05">
      <w:r w:rsidRPr="008B2812">
        <w:t>The parent groups of the IRG-</w:t>
      </w:r>
      <w:r w:rsidRPr="008B2812">
        <w:rPr>
          <w:lang w:eastAsia="ja-JP"/>
        </w:rPr>
        <w:t>IBB</w:t>
      </w:r>
      <w:r w:rsidRPr="008B2812">
        <w:t xml:space="preserve"> are</w:t>
      </w:r>
      <w:r w:rsidRPr="008B2812">
        <w:rPr>
          <w:lang w:eastAsia="ja-JP"/>
        </w:rPr>
        <w:t xml:space="preserve"> </w:t>
      </w:r>
      <w:r w:rsidRPr="008B2812">
        <w:t xml:space="preserve">ITU-T Study Groups </w:t>
      </w:r>
      <w:proofErr w:type="gramStart"/>
      <w:r w:rsidRPr="008B2812">
        <w:t>9 and 16</w:t>
      </w:r>
      <w:proofErr w:type="gramEnd"/>
      <w:r w:rsidRPr="008B2812">
        <w:t xml:space="preserve"> and ITU-R Study Group 6.</w:t>
      </w:r>
    </w:p>
    <w:p w:rsidR="00FB1C05" w:rsidRPr="008557A5" w:rsidRDefault="00A224CB" w:rsidP="00887592">
      <w:pPr>
        <w:pStyle w:val="Heading1"/>
      </w:pPr>
      <w:r>
        <w:t>5</w:t>
      </w:r>
      <w:r>
        <w:tab/>
      </w:r>
      <w:r w:rsidR="00FB1C05" w:rsidRPr="008557A5">
        <w:t>Leadership</w:t>
      </w:r>
    </w:p>
    <w:p w:rsidR="00FB1C05" w:rsidRPr="008B2812" w:rsidRDefault="00FB1C05" w:rsidP="00FB1C05">
      <w:pPr>
        <w:rPr>
          <w:lang w:eastAsia="ja-JP"/>
        </w:rPr>
      </w:pPr>
      <w:proofErr w:type="gramStart"/>
      <w:r w:rsidRPr="008B2812">
        <w:t>IRG-</w:t>
      </w:r>
      <w:r w:rsidRPr="008B2812">
        <w:rPr>
          <w:lang w:eastAsia="ja-JP"/>
        </w:rPr>
        <w:t>IBB</w:t>
      </w:r>
      <w:r w:rsidRPr="008B2812">
        <w:t xml:space="preserve"> will be led by a Management Team composed of </w:t>
      </w:r>
      <w:r w:rsidR="00F83D9B" w:rsidRPr="008B2812">
        <w:rPr>
          <w:lang w:eastAsia="ja-JP"/>
        </w:rPr>
        <w:t>three</w:t>
      </w:r>
      <w:r w:rsidRPr="008B2812">
        <w:rPr>
          <w:lang w:eastAsia="ja-JP"/>
        </w:rPr>
        <w:t xml:space="preserve"> or more </w:t>
      </w:r>
      <w:r w:rsidRPr="008B2812">
        <w:t xml:space="preserve">experts, each one being nominated by each of the </w:t>
      </w:r>
      <w:r w:rsidR="00F83D9B" w:rsidRPr="008B2812">
        <w:rPr>
          <w:lang w:eastAsia="ja-JP"/>
        </w:rPr>
        <w:t>three</w:t>
      </w:r>
      <w:r w:rsidRPr="008B2812">
        <w:rPr>
          <w:lang w:eastAsia="ja-JP"/>
        </w:rPr>
        <w:t xml:space="preserve"> </w:t>
      </w:r>
      <w:r w:rsidRPr="008B2812">
        <w:t>parent groups</w:t>
      </w:r>
      <w:proofErr w:type="gramEnd"/>
      <w:r w:rsidRPr="008B2812">
        <w:t xml:space="preserve">. </w:t>
      </w:r>
      <w:r w:rsidRPr="008B2812">
        <w:rPr>
          <w:lang w:eastAsia="ja-JP"/>
        </w:rPr>
        <w:t xml:space="preserve">Chairpersons of the IRG </w:t>
      </w:r>
      <w:proofErr w:type="gramStart"/>
      <w:r w:rsidRPr="008B2812">
        <w:rPr>
          <w:lang w:eastAsia="ja-JP"/>
        </w:rPr>
        <w:t>should, ex</w:t>
      </w:r>
      <w:r w:rsidR="00210594" w:rsidRPr="008B2812">
        <w:rPr>
          <w:lang w:eastAsia="ja-JP"/>
        </w:rPr>
        <w:t xml:space="preserve"> </w:t>
      </w:r>
      <w:r w:rsidRPr="008B2812">
        <w:rPr>
          <w:lang w:eastAsia="ja-JP"/>
        </w:rPr>
        <w:t>officio, belong</w:t>
      </w:r>
      <w:proofErr w:type="gramEnd"/>
      <w:r w:rsidRPr="008B2812">
        <w:rPr>
          <w:lang w:eastAsia="ja-JP"/>
        </w:rPr>
        <w:t xml:space="preserve"> to the Management Team. </w:t>
      </w:r>
      <w:r w:rsidRPr="008B2812">
        <w:t xml:space="preserve">This Management Team represents the core team of the IRG and </w:t>
      </w:r>
      <w:proofErr w:type="gramStart"/>
      <w:r w:rsidRPr="008B2812">
        <w:t>is expected</w:t>
      </w:r>
      <w:proofErr w:type="gramEnd"/>
      <w:r w:rsidRPr="008B2812">
        <w:t xml:space="preserve"> to expedite the work. Consequently, only such persons </w:t>
      </w:r>
      <w:proofErr w:type="gramStart"/>
      <w:r w:rsidRPr="008B2812">
        <w:t>should be nominated</w:t>
      </w:r>
      <w:proofErr w:type="gramEnd"/>
      <w:r w:rsidRPr="008B2812">
        <w:t xml:space="preserve"> member of the Management Team that have the time and skills to further the work of the IRG.</w:t>
      </w:r>
      <w:r w:rsidRPr="008B2812">
        <w:rPr>
          <w:lang w:eastAsia="ja-JP"/>
        </w:rPr>
        <w:t xml:space="preserve"> </w:t>
      </w:r>
    </w:p>
    <w:p w:rsidR="00FB1C05" w:rsidRPr="008B2812" w:rsidRDefault="00FB1C05" w:rsidP="00FB1C05">
      <w:pPr>
        <w:rPr>
          <w:lang w:eastAsia="ja-JP"/>
        </w:rPr>
      </w:pPr>
      <w:r w:rsidRPr="008B2812">
        <w:rPr>
          <w:lang w:eastAsia="ja-JP"/>
        </w:rPr>
        <w:t>In driving the work, the members of the Management Team may decide on sharing the work and the responsibilities associated with tasks given to the IRG. In any case, however, they should work together with respect to output of the IRG and initiate and conduct the work of the IRG toward its completion within the given time period.</w:t>
      </w:r>
    </w:p>
    <w:p w:rsidR="00FB1C05" w:rsidRPr="008557A5" w:rsidRDefault="00A224CB" w:rsidP="00887592">
      <w:pPr>
        <w:pStyle w:val="Heading1"/>
      </w:pPr>
      <w:r>
        <w:t>6</w:t>
      </w:r>
      <w:r>
        <w:tab/>
      </w:r>
      <w:r w:rsidR="00FB1C05" w:rsidRPr="008557A5">
        <w:t>Participation</w:t>
      </w:r>
    </w:p>
    <w:p w:rsidR="00FB1C05" w:rsidRPr="008B2812" w:rsidRDefault="00FB1C05" w:rsidP="00FB1C05">
      <w:r w:rsidRPr="008B2812">
        <w:t>Participation is open to members of ITU-T and ITU-R that can participate in the work of the ITU-T and ITU-R parent groups. The IRG-</w:t>
      </w:r>
      <w:r w:rsidRPr="008B2812">
        <w:rPr>
          <w:lang w:eastAsia="ja-JP"/>
        </w:rPr>
        <w:t>IBB</w:t>
      </w:r>
      <w:r w:rsidRPr="008B2812">
        <w:t xml:space="preserve"> Management Team may invite individual experts as appropriate and in accordance with the rules for parent group meetings of ITU-T and ITU-R.</w:t>
      </w:r>
    </w:p>
    <w:p w:rsidR="00FB1C05" w:rsidRPr="008B2812" w:rsidRDefault="00FB1C05" w:rsidP="00FB1C05">
      <w:r w:rsidRPr="008B2812">
        <w:t xml:space="preserve">A list of participants </w:t>
      </w:r>
      <w:proofErr w:type="gramStart"/>
      <w:r w:rsidRPr="008B2812">
        <w:t>will be maintained for reference purposes and reported to the parent groups as an attachment to the report of each meeting (see clause 9)</w:t>
      </w:r>
      <w:proofErr w:type="gramEnd"/>
      <w:r w:rsidRPr="008B2812">
        <w:t>.</w:t>
      </w:r>
    </w:p>
    <w:p w:rsidR="00FB1C05" w:rsidRPr="008557A5" w:rsidRDefault="00A224CB" w:rsidP="00887592">
      <w:pPr>
        <w:pStyle w:val="Heading1"/>
      </w:pPr>
      <w:r>
        <w:t>7</w:t>
      </w:r>
      <w:r>
        <w:tab/>
      </w:r>
      <w:r w:rsidR="00FB1C05" w:rsidRPr="008557A5">
        <w:t>Deliverables</w:t>
      </w:r>
    </w:p>
    <w:p w:rsidR="00FB1C05" w:rsidRPr="008B2812" w:rsidRDefault="00FB1C05" w:rsidP="00FB1C05">
      <w:r w:rsidRPr="008B2812">
        <w:t>An IRG may draft new or revised Recommendations, as well as other non-normative materials.</w:t>
      </w:r>
    </w:p>
    <w:p w:rsidR="00FB1C05" w:rsidRPr="008B2812" w:rsidRDefault="00FB1C05" w:rsidP="00FB1C05">
      <w:r w:rsidRPr="008B2812">
        <w:t xml:space="preserve">These deliverables, upon consensus within the IRG, </w:t>
      </w:r>
      <w:proofErr w:type="gramStart"/>
      <w:r w:rsidRPr="008B2812">
        <w:t>will be submitted</w:t>
      </w:r>
      <w:proofErr w:type="gramEnd"/>
      <w:r w:rsidRPr="008B2812">
        <w:t xml:space="preserve"> to its parent study groups for further consideration following the rules and practices of the parent group to which the deliverable is assigned. </w:t>
      </w:r>
    </w:p>
    <w:p w:rsidR="00FB1C05" w:rsidRPr="008B2812" w:rsidRDefault="00FB1C05" w:rsidP="00FB1C05">
      <w:r w:rsidRPr="008B2812">
        <w:t>IRG-</w:t>
      </w:r>
      <w:r w:rsidRPr="008B2812">
        <w:rPr>
          <w:lang w:eastAsia="ja-JP"/>
        </w:rPr>
        <w:t>IBB</w:t>
      </w:r>
      <w:r w:rsidRPr="008B2812">
        <w:t xml:space="preserve"> will identify such deliverables and make pertinent proposals to its parent study groups.</w:t>
      </w:r>
    </w:p>
    <w:p w:rsidR="00FB1C05" w:rsidRPr="008B2812" w:rsidRDefault="00FB1C05" w:rsidP="00FB1C05">
      <w:r w:rsidRPr="008B2812">
        <w:t xml:space="preserve">Each parent group will be responsible for their own Recommendations. </w:t>
      </w:r>
      <w:proofErr w:type="gramStart"/>
      <w:r w:rsidRPr="008B2812">
        <w:t>Any joint text Recommendations will be approved in a coordinated manner by the parent groups</w:t>
      </w:r>
      <w:proofErr w:type="gramEnd"/>
      <w:r w:rsidRPr="008B2812">
        <w:t>. Joint texts should as much as possible be technically aligned.</w:t>
      </w:r>
    </w:p>
    <w:p w:rsidR="00FB1C05" w:rsidRPr="008B2812" w:rsidRDefault="00FB1C05" w:rsidP="00FB1C05">
      <w:r w:rsidRPr="008B2812">
        <w:t>The results of an IRG's work are to represent the agreed consensus of the IRG, or reflect the diversity of views of the participants in the IRG.</w:t>
      </w:r>
    </w:p>
    <w:p w:rsidR="00FB1C05" w:rsidRPr="008557A5" w:rsidRDefault="00A224CB" w:rsidP="00887592">
      <w:pPr>
        <w:pStyle w:val="Heading1"/>
      </w:pPr>
      <w:r>
        <w:lastRenderedPageBreak/>
        <w:t>8</w:t>
      </w:r>
      <w:r>
        <w:tab/>
      </w:r>
      <w:r w:rsidR="00FB1C05" w:rsidRPr="008557A5">
        <w:t>Meetings</w:t>
      </w:r>
    </w:p>
    <w:p w:rsidR="00FB1C05" w:rsidRPr="008B2812" w:rsidRDefault="00FB1C05" w:rsidP="00FB1C05">
      <w:r w:rsidRPr="008B2812">
        <w:t xml:space="preserve">The frequency and location of meetings </w:t>
      </w:r>
      <w:proofErr w:type="gramStart"/>
      <w:r w:rsidRPr="008B2812">
        <w:t>will be determined</w:t>
      </w:r>
      <w:proofErr w:type="gramEnd"/>
      <w:r w:rsidRPr="008B2812">
        <w:t xml:space="preserve"> by the IRG and the overall meetings plan should be announced as soon as possible. </w:t>
      </w:r>
    </w:p>
    <w:p w:rsidR="00FB1C05" w:rsidRPr="008B2812" w:rsidRDefault="00FB1C05" w:rsidP="00FB1C05">
      <w:r w:rsidRPr="008B2812">
        <w:t xml:space="preserve">Meetings of the IRG </w:t>
      </w:r>
      <w:proofErr w:type="gramStart"/>
      <w:r w:rsidRPr="008B2812">
        <w:t>must be agreed</w:t>
      </w:r>
      <w:proofErr w:type="gramEnd"/>
      <w:r w:rsidRPr="008B2812">
        <w:t xml:space="preserve"> by the parent groups, or, in urgent cases, by the management of the parent groups. The meetings will be announced by electronic means (e.g., mailing lists and on the ITU website) at least two months in advance of the meeting.</w:t>
      </w:r>
    </w:p>
    <w:p w:rsidR="00FB1C05" w:rsidRPr="008B2812" w:rsidRDefault="00FB1C05" w:rsidP="00FB1C05">
      <w:r w:rsidRPr="008B2812">
        <w:t xml:space="preserve">The IRG will use remote collaboration tools to the maximum extent, and when physical meetings </w:t>
      </w:r>
      <w:proofErr w:type="gramStart"/>
      <w:r w:rsidRPr="008B2812">
        <w:t>are deemed</w:t>
      </w:r>
      <w:proofErr w:type="gramEnd"/>
      <w:r w:rsidRPr="008B2812">
        <w:t xml:space="preserve"> necessary, they should collocate with other planned physical meetings from which synergies can be derived (in particular that of the parent groups, of their working parties, or of related interim rapporteur group meetings).</w:t>
      </w:r>
    </w:p>
    <w:p w:rsidR="00FB1C05" w:rsidRPr="008557A5" w:rsidRDefault="00A224CB" w:rsidP="00887592">
      <w:pPr>
        <w:pStyle w:val="Heading1"/>
      </w:pPr>
      <w:r>
        <w:t>9</w:t>
      </w:r>
      <w:r>
        <w:tab/>
      </w:r>
      <w:r w:rsidR="00FB1C05" w:rsidRPr="008557A5">
        <w:t>Meeting reports</w:t>
      </w:r>
    </w:p>
    <w:p w:rsidR="00FB1C05" w:rsidRPr="008B2812" w:rsidRDefault="00FB1C05" w:rsidP="00FB1C05">
      <w:r w:rsidRPr="008B2812">
        <w:t xml:space="preserve">This IRG shall prepare reports on its meetings and activities, to </w:t>
      </w:r>
      <w:proofErr w:type="gramStart"/>
      <w:r w:rsidRPr="008B2812">
        <w:t>be submitted</w:t>
      </w:r>
      <w:proofErr w:type="gramEnd"/>
      <w:r w:rsidRPr="008B2812">
        <w:t xml:space="preserve"> to the next meeting of its parent study groups. The information in such reports should contain the items listed in Recommendation ITU</w:t>
      </w:r>
      <w:r w:rsidRPr="008B2812">
        <w:noBreakHyphen/>
        <w:t>T A.1 Appendix I.</w:t>
      </w:r>
    </w:p>
    <w:p w:rsidR="00FB1C05" w:rsidRPr="008557A5" w:rsidRDefault="00A224CB" w:rsidP="00887592">
      <w:pPr>
        <w:pStyle w:val="Heading1"/>
      </w:pPr>
      <w:r>
        <w:t>10</w:t>
      </w:r>
      <w:r>
        <w:tab/>
      </w:r>
      <w:r w:rsidR="00FB1C05" w:rsidRPr="008557A5">
        <w:t>Working language</w:t>
      </w:r>
    </w:p>
    <w:p w:rsidR="00FB1C05" w:rsidRPr="008B2812" w:rsidRDefault="00FB1C05" w:rsidP="00FB1C05">
      <w:r w:rsidRPr="008B2812">
        <w:t>The working language of this IRG will be English.</w:t>
      </w:r>
    </w:p>
    <w:p w:rsidR="00FB1C05" w:rsidRPr="008557A5" w:rsidRDefault="00A224CB" w:rsidP="00887592">
      <w:pPr>
        <w:pStyle w:val="Heading1"/>
      </w:pPr>
      <w:r>
        <w:t>11</w:t>
      </w:r>
      <w:r>
        <w:tab/>
      </w:r>
      <w:r w:rsidR="00FB1C05" w:rsidRPr="008557A5">
        <w:t>Working guidelines</w:t>
      </w:r>
    </w:p>
    <w:p w:rsidR="00FB1C05" w:rsidRPr="008B2812" w:rsidRDefault="00FB1C05" w:rsidP="00FB1C05">
      <w:r w:rsidRPr="008B2812">
        <w:t>This IRG will work by consensus.</w:t>
      </w:r>
    </w:p>
    <w:p w:rsidR="00FB1C05" w:rsidRPr="008B2812" w:rsidRDefault="00FB1C05" w:rsidP="00FB1C05">
      <w:r w:rsidRPr="008B2812">
        <w:t xml:space="preserve">This IRG is regulated by the provisions applicable to rapporteur groups, given in Resolution </w:t>
      </w:r>
      <w:r w:rsidRPr="008B2812">
        <w:br/>
        <w:t>ITU</w:t>
      </w:r>
      <w:r w:rsidRPr="008B2812">
        <w:noBreakHyphen/>
        <w:t>R 1-</w:t>
      </w:r>
      <w:r w:rsidRPr="008B2812">
        <w:t xml:space="preserve">7 </w:t>
      </w:r>
      <w:r w:rsidRPr="008B2812">
        <w:t>and in Recommendation ITU-T A.1 (</w:t>
      </w:r>
      <w:proofErr w:type="gramStart"/>
      <w:r w:rsidRPr="008B2812">
        <w:t>see also</w:t>
      </w:r>
      <w:proofErr w:type="gramEnd"/>
      <w:r w:rsidRPr="008B2812">
        <w:t xml:space="preserve"> the ITU-T manual for rapporteurs and editors at </w:t>
      </w:r>
      <w:hyperlink r:id="rId10" w:history="1">
        <w:r w:rsidRPr="008B2812">
          <w:rPr>
            <w:rStyle w:val="Hyperlink"/>
          </w:rPr>
          <w:t>http://itu.int/go/ITU-T/REManual</w:t>
        </w:r>
      </w:hyperlink>
      <w:r w:rsidRPr="008B2812">
        <w:t>).</w:t>
      </w:r>
    </w:p>
    <w:p w:rsidR="00FB1C05" w:rsidRPr="008B2812" w:rsidRDefault="00FB1C05" w:rsidP="00FB1C05">
      <w:pPr>
        <w:rPr>
          <w:lang w:eastAsia="ja-JP"/>
        </w:rPr>
      </w:pPr>
      <w:r w:rsidRPr="008B2812">
        <w:t xml:space="preserve">Additionally, the IRG will follow the guidelines found in WTSA Resolution 18, Annex C, and in </w:t>
      </w:r>
      <w:r w:rsidR="00F83D9B" w:rsidRPr="008B2812">
        <w:t xml:space="preserve">Annex 4 to </w:t>
      </w:r>
      <w:r w:rsidRPr="008B2812">
        <w:t>Resolution ITU-R 6</w:t>
      </w:r>
      <w:r w:rsidRPr="008B2812">
        <w:t>-2</w:t>
      </w:r>
      <w:r w:rsidRPr="008B2812">
        <w:t>.</w:t>
      </w:r>
    </w:p>
    <w:p w:rsidR="00FB1C05" w:rsidRPr="008B2812" w:rsidRDefault="00FB1C05" w:rsidP="00FB1C05">
      <w:pPr>
        <w:rPr>
          <w:rFonts w:eastAsia="MS ??"/>
          <w:b/>
          <w:bCs/>
          <w:lang w:eastAsia="zh-CN"/>
        </w:rPr>
      </w:pPr>
      <w:r w:rsidRPr="008B2812">
        <w:rPr>
          <w:lang w:eastAsia="ja-JP"/>
        </w:rPr>
        <w:t>Members of the Management Team should discuss and agree detailed working method of the IRG</w:t>
      </w:r>
      <w:r w:rsidR="00F83D9B" w:rsidRPr="008B2812">
        <w:rPr>
          <w:lang w:eastAsia="ja-JP"/>
        </w:rPr>
        <w:t>.</w:t>
      </w:r>
      <w:r w:rsidRPr="008B2812">
        <w:rPr>
          <w:lang w:eastAsia="ja-JP"/>
        </w:rPr>
        <w:t xml:space="preserve"> Working method should be the way to accomplish the objectives within given </w:t>
      </w:r>
      <w:proofErr w:type="gramStart"/>
      <w:r w:rsidRPr="008B2812">
        <w:rPr>
          <w:lang w:eastAsia="ja-JP"/>
        </w:rPr>
        <w:t>time period</w:t>
      </w:r>
      <w:proofErr w:type="gramEnd"/>
      <w:r w:rsidRPr="008B2812">
        <w:rPr>
          <w:lang w:eastAsia="ja-JP"/>
        </w:rPr>
        <w:t>.</w:t>
      </w:r>
      <w:r w:rsidRPr="008B2812">
        <w:rPr>
          <w:lang w:eastAsia="ja-JP"/>
        </w:rPr>
        <w:t xml:space="preserve"> </w:t>
      </w:r>
    </w:p>
    <w:p w:rsidR="00FB1C05" w:rsidRPr="008557A5" w:rsidRDefault="00A224CB" w:rsidP="00887592">
      <w:pPr>
        <w:pStyle w:val="Heading1"/>
      </w:pPr>
      <w:r>
        <w:t>12</w:t>
      </w:r>
      <w:r>
        <w:tab/>
      </w:r>
      <w:r w:rsidR="00FB1C05" w:rsidRPr="008557A5">
        <w:t>Patent policy</w:t>
      </w:r>
    </w:p>
    <w:p w:rsidR="00FB1C05" w:rsidRPr="008B2812" w:rsidRDefault="00FB1C05" w:rsidP="00FB1C05">
      <w:r w:rsidRPr="008B2812">
        <w:t xml:space="preserve">The Common Patent Policy for ITU-T/ITU-R/ISO/IEC </w:t>
      </w:r>
      <w:proofErr w:type="gramStart"/>
      <w:r w:rsidRPr="008B2812">
        <w:t>shall be used</w:t>
      </w:r>
      <w:proofErr w:type="gramEnd"/>
      <w:r w:rsidRPr="008B2812">
        <w:t>.</w:t>
      </w:r>
    </w:p>
    <w:p w:rsidR="00FB1C05" w:rsidRPr="008557A5" w:rsidRDefault="00A224CB" w:rsidP="00887592">
      <w:pPr>
        <w:pStyle w:val="Heading1"/>
      </w:pPr>
      <w:r>
        <w:t>13</w:t>
      </w:r>
      <w:r>
        <w:tab/>
      </w:r>
      <w:r w:rsidR="00FB1C05" w:rsidRPr="008557A5">
        <w:t>Termination of the IRG-IBB</w:t>
      </w:r>
    </w:p>
    <w:p w:rsidR="00FB1C05" w:rsidRDefault="00FB1C05" w:rsidP="007D7B2C">
      <w:pPr>
        <w:rPr>
          <w:lang w:eastAsia="zh-CN"/>
        </w:rPr>
      </w:pPr>
      <w:r w:rsidRPr="008B2812">
        <w:rPr>
          <w:lang w:eastAsia="zh-CN"/>
        </w:rPr>
        <w:t>The IRG-</w:t>
      </w:r>
      <w:r w:rsidRPr="008B2812">
        <w:rPr>
          <w:lang w:eastAsia="ja-JP"/>
        </w:rPr>
        <w:t>IBB</w:t>
      </w:r>
      <w:r w:rsidRPr="008B2812">
        <w:rPr>
          <w:lang w:eastAsia="zh-CN"/>
        </w:rPr>
        <w:t xml:space="preserve"> will continue until the end of the current ITU-T Study Period (</w:t>
      </w:r>
      <w:r w:rsidRPr="008B2812">
        <w:rPr>
          <w:rFonts w:eastAsia="MS PGothic"/>
          <w:color w:val="444444"/>
          <w:szCs w:val="24"/>
        </w:rPr>
        <w:t>2017-2020</w:t>
      </w:r>
      <w:r w:rsidRPr="008B2812">
        <w:rPr>
          <w:lang w:eastAsia="zh-CN"/>
        </w:rPr>
        <w:t xml:space="preserve">). It </w:t>
      </w:r>
      <w:proofErr w:type="gramStart"/>
      <w:r w:rsidRPr="008B2812">
        <w:rPr>
          <w:lang w:eastAsia="zh-CN"/>
        </w:rPr>
        <w:t>may be extended</w:t>
      </w:r>
      <w:proofErr w:type="gramEnd"/>
      <w:r w:rsidRPr="008B2812">
        <w:rPr>
          <w:lang w:eastAsia="zh-CN"/>
        </w:rPr>
        <w:t xml:space="preserve"> by mutual approval of the parent groups.</w:t>
      </w:r>
    </w:p>
    <w:p w:rsidR="007D7B2C" w:rsidRDefault="007D7B2C" w:rsidP="007D7B2C">
      <w:pPr>
        <w:rPr>
          <w:lang w:eastAsia="zh-CN"/>
        </w:rPr>
      </w:pPr>
    </w:p>
    <w:p w:rsidR="007D7B2C" w:rsidRPr="008B2812" w:rsidRDefault="007D7B2C" w:rsidP="007D7B2C">
      <w:pPr>
        <w:jc w:val="center"/>
        <w:rPr>
          <w:szCs w:val="24"/>
        </w:rPr>
      </w:pPr>
      <w:r>
        <w:rPr>
          <w:lang w:eastAsia="zh-CN"/>
        </w:rPr>
        <w:t>___________________</w:t>
      </w:r>
      <w:bookmarkStart w:id="1" w:name="_GoBack"/>
      <w:bookmarkEnd w:id="1"/>
    </w:p>
    <w:sectPr w:rsidR="007D7B2C" w:rsidRPr="008B2812" w:rsidSect="00450D8A">
      <w:headerReference w:type="default" r:id="rId1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51" w:rsidRDefault="00533251">
      <w:r>
        <w:separator/>
      </w:r>
    </w:p>
  </w:endnote>
  <w:endnote w:type="continuationSeparator" w:id="0">
    <w:p w:rsidR="00533251" w:rsidRDefault="0053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
    <w:altName w:val="MS Mincho"/>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51" w:rsidRDefault="00533251">
      <w:r>
        <w:t>____________________</w:t>
      </w:r>
    </w:p>
  </w:footnote>
  <w:footnote w:type="continuationSeparator" w:id="0">
    <w:p w:rsidR="00533251" w:rsidRDefault="00533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D7B2C">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B678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C0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F2C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891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C43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A2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6A0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2660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8D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D8B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344B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ja-JP"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14"/>
    <w:rsid w:val="00005010"/>
    <w:rsid w:val="000069D4"/>
    <w:rsid w:val="000174AD"/>
    <w:rsid w:val="0002116E"/>
    <w:rsid w:val="00047A1D"/>
    <w:rsid w:val="000604B9"/>
    <w:rsid w:val="000A30E0"/>
    <w:rsid w:val="000A7D55"/>
    <w:rsid w:val="000B5485"/>
    <w:rsid w:val="000C12C8"/>
    <w:rsid w:val="000C2E8E"/>
    <w:rsid w:val="000E0E7C"/>
    <w:rsid w:val="000F1B4B"/>
    <w:rsid w:val="001022F4"/>
    <w:rsid w:val="0012744F"/>
    <w:rsid w:val="00131178"/>
    <w:rsid w:val="001412BB"/>
    <w:rsid w:val="00156AEF"/>
    <w:rsid w:val="00156F66"/>
    <w:rsid w:val="00163271"/>
    <w:rsid w:val="00182528"/>
    <w:rsid w:val="0018500B"/>
    <w:rsid w:val="00196A19"/>
    <w:rsid w:val="001A5FCA"/>
    <w:rsid w:val="00202DC1"/>
    <w:rsid w:val="00210594"/>
    <w:rsid w:val="002116EE"/>
    <w:rsid w:val="00222EC8"/>
    <w:rsid w:val="002309D8"/>
    <w:rsid w:val="002A7FE2"/>
    <w:rsid w:val="002E1B4F"/>
    <w:rsid w:val="002F2E67"/>
    <w:rsid w:val="002F7CB3"/>
    <w:rsid w:val="00315546"/>
    <w:rsid w:val="00330567"/>
    <w:rsid w:val="00343C33"/>
    <w:rsid w:val="00371E64"/>
    <w:rsid w:val="00386A9D"/>
    <w:rsid w:val="00391081"/>
    <w:rsid w:val="00391D3A"/>
    <w:rsid w:val="003B2789"/>
    <w:rsid w:val="003C13CE"/>
    <w:rsid w:val="003E2518"/>
    <w:rsid w:val="003E7CEF"/>
    <w:rsid w:val="00450D8A"/>
    <w:rsid w:val="004574F9"/>
    <w:rsid w:val="004A28D9"/>
    <w:rsid w:val="004B1EF7"/>
    <w:rsid w:val="004B3FAD"/>
    <w:rsid w:val="004B4986"/>
    <w:rsid w:val="004C5749"/>
    <w:rsid w:val="004F0CE4"/>
    <w:rsid w:val="00501DCA"/>
    <w:rsid w:val="00513A47"/>
    <w:rsid w:val="00533251"/>
    <w:rsid w:val="005408DF"/>
    <w:rsid w:val="00573344"/>
    <w:rsid w:val="00583F9B"/>
    <w:rsid w:val="005E5C10"/>
    <w:rsid w:val="005F2C78"/>
    <w:rsid w:val="006144E4"/>
    <w:rsid w:val="00650299"/>
    <w:rsid w:val="00655FC5"/>
    <w:rsid w:val="00656DF1"/>
    <w:rsid w:val="006C2575"/>
    <w:rsid w:val="006E1421"/>
    <w:rsid w:val="0070789D"/>
    <w:rsid w:val="00711553"/>
    <w:rsid w:val="007512D0"/>
    <w:rsid w:val="007578F4"/>
    <w:rsid w:val="007D7B2C"/>
    <w:rsid w:val="00814E0A"/>
    <w:rsid w:val="00822581"/>
    <w:rsid w:val="008309DD"/>
    <w:rsid w:val="0083227A"/>
    <w:rsid w:val="008557A5"/>
    <w:rsid w:val="00866900"/>
    <w:rsid w:val="00876A8A"/>
    <w:rsid w:val="00881BA1"/>
    <w:rsid w:val="00887592"/>
    <w:rsid w:val="008A5CEB"/>
    <w:rsid w:val="008B2812"/>
    <w:rsid w:val="008C2302"/>
    <w:rsid w:val="008C26B8"/>
    <w:rsid w:val="008D0C60"/>
    <w:rsid w:val="008E2297"/>
    <w:rsid w:val="008F208F"/>
    <w:rsid w:val="0091706F"/>
    <w:rsid w:val="00982084"/>
    <w:rsid w:val="009842DA"/>
    <w:rsid w:val="00995963"/>
    <w:rsid w:val="009B61EB"/>
    <w:rsid w:val="009C2064"/>
    <w:rsid w:val="009D1697"/>
    <w:rsid w:val="009E354C"/>
    <w:rsid w:val="009F3A46"/>
    <w:rsid w:val="009F6520"/>
    <w:rsid w:val="00A014F8"/>
    <w:rsid w:val="00A224CB"/>
    <w:rsid w:val="00A5173C"/>
    <w:rsid w:val="00A61AEF"/>
    <w:rsid w:val="00AC73BA"/>
    <w:rsid w:val="00AD2345"/>
    <w:rsid w:val="00AF173A"/>
    <w:rsid w:val="00B066A4"/>
    <w:rsid w:val="00B07A13"/>
    <w:rsid w:val="00B237EB"/>
    <w:rsid w:val="00B4279B"/>
    <w:rsid w:val="00B45FC9"/>
    <w:rsid w:val="00B5512C"/>
    <w:rsid w:val="00B62B9B"/>
    <w:rsid w:val="00B76F35"/>
    <w:rsid w:val="00B81138"/>
    <w:rsid w:val="00B97D1E"/>
    <w:rsid w:val="00BC7CCF"/>
    <w:rsid w:val="00BE470B"/>
    <w:rsid w:val="00BE4D5B"/>
    <w:rsid w:val="00BF0114"/>
    <w:rsid w:val="00C06797"/>
    <w:rsid w:val="00C461FF"/>
    <w:rsid w:val="00C57A91"/>
    <w:rsid w:val="00C7425F"/>
    <w:rsid w:val="00CC01C2"/>
    <w:rsid w:val="00CC0920"/>
    <w:rsid w:val="00CC79F8"/>
    <w:rsid w:val="00CF21F2"/>
    <w:rsid w:val="00D02712"/>
    <w:rsid w:val="00D046A7"/>
    <w:rsid w:val="00D214D0"/>
    <w:rsid w:val="00D25183"/>
    <w:rsid w:val="00D32733"/>
    <w:rsid w:val="00D6546B"/>
    <w:rsid w:val="00D73D69"/>
    <w:rsid w:val="00DB178B"/>
    <w:rsid w:val="00DB6764"/>
    <w:rsid w:val="00DC17D3"/>
    <w:rsid w:val="00DD010D"/>
    <w:rsid w:val="00DD4BED"/>
    <w:rsid w:val="00DE39F0"/>
    <w:rsid w:val="00DE736B"/>
    <w:rsid w:val="00DF0AF3"/>
    <w:rsid w:val="00DF7E9F"/>
    <w:rsid w:val="00E27D7E"/>
    <w:rsid w:val="00E42E13"/>
    <w:rsid w:val="00E56D5C"/>
    <w:rsid w:val="00E6257C"/>
    <w:rsid w:val="00E63C59"/>
    <w:rsid w:val="00E72E11"/>
    <w:rsid w:val="00EB2D64"/>
    <w:rsid w:val="00F25662"/>
    <w:rsid w:val="00F35189"/>
    <w:rsid w:val="00F83D9B"/>
    <w:rsid w:val="00FA124A"/>
    <w:rsid w:val="00FB1C0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FA706D4-9D71-4644-9D85-822105A2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link w:val="FootnoteText"/>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table" w:styleId="TableGrid">
    <w:name w:val="Table Grid"/>
    <w:basedOn w:val="TableNormal"/>
    <w:rsid w:val="00C4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43C33"/>
    <w:rPr>
      <w:color w:val="0000FF"/>
      <w:u w:val="single"/>
    </w:rPr>
  </w:style>
  <w:style w:type="character" w:styleId="FollowedHyperlink">
    <w:name w:val="FollowedHyperlink"/>
    <w:semiHidden/>
    <w:unhideWhenUsed/>
    <w:rsid w:val="007512D0"/>
    <w:rPr>
      <w:color w:val="800080"/>
      <w:u w:val="single"/>
    </w:rPr>
  </w:style>
  <w:style w:type="paragraph" w:styleId="BalloonText">
    <w:name w:val="Balloon Text"/>
    <w:basedOn w:val="Normal"/>
    <w:link w:val="BalloonTextChar"/>
    <w:semiHidden/>
    <w:unhideWhenUsed/>
    <w:rsid w:val="00F83D9B"/>
    <w:pPr>
      <w:spacing w:before="0"/>
    </w:pPr>
    <w:rPr>
      <w:rFonts w:ascii="Cambria" w:eastAsia="SimSun" w:hAnsi="Cambria"/>
      <w:sz w:val="18"/>
      <w:szCs w:val="18"/>
    </w:rPr>
  </w:style>
  <w:style w:type="character" w:customStyle="1" w:styleId="BalloonTextChar">
    <w:name w:val="Balloon Text Char"/>
    <w:link w:val="BalloonText"/>
    <w:semiHidden/>
    <w:rsid w:val="00F83D9B"/>
    <w:rPr>
      <w:rFonts w:ascii="Cambria" w:eastAsia="SimSun" w:hAnsi="Cambria" w:cs="Times New Roman"/>
      <w:sz w:val="18"/>
      <w:szCs w:val="18"/>
      <w:lang w:val="en-GB" w:eastAsia="en-US"/>
    </w:rPr>
  </w:style>
  <w:style w:type="character" w:styleId="CommentReference">
    <w:name w:val="annotation reference"/>
    <w:semiHidden/>
    <w:unhideWhenUsed/>
    <w:rsid w:val="00CC0920"/>
    <w:rPr>
      <w:sz w:val="16"/>
      <w:szCs w:val="16"/>
    </w:rPr>
  </w:style>
  <w:style w:type="paragraph" w:styleId="CommentText">
    <w:name w:val="annotation text"/>
    <w:basedOn w:val="Normal"/>
    <w:link w:val="CommentTextChar"/>
    <w:semiHidden/>
    <w:unhideWhenUsed/>
    <w:rsid w:val="00CC0920"/>
    <w:rPr>
      <w:sz w:val="20"/>
    </w:rPr>
  </w:style>
  <w:style w:type="character" w:customStyle="1" w:styleId="CommentTextChar">
    <w:name w:val="Comment Text Char"/>
    <w:link w:val="CommentText"/>
    <w:semiHidden/>
    <w:rsid w:val="00CC092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C0920"/>
    <w:rPr>
      <w:b/>
      <w:bCs/>
    </w:rPr>
  </w:style>
  <w:style w:type="character" w:customStyle="1" w:styleId="CommentSubjectChar">
    <w:name w:val="Comment Subject Char"/>
    <w:link w:val="CommentSubject"/>
    <w:semiHidden/>
    <w:rsid w:val="00CC0920"/>
    <w:rPr>
      <w:rFonts w:ascii="Times New Roman" w:hAnsi="Times New Roman"/>
      <w:b/>
      <w:bCs/>
      <w:lang w:val="en-GB" w:eastAsia="en-US"/>
    </w:rPr>
  </w:style>
  <w:style w:type="character" w:customStyle="1" w:styleId="DocnumberChar">
    <w:name w:val="Docnumber Char"/>
    <w:link w:val="Docnumber"/>
    <w:locked/>
    <w:rsid w:val="00450D8A"/>
    <w:rPr>
      <w:b/>
      <w:bCs/>
      <w:sz w:val="40"/>
      <w:lang w:eastAsia="en-US"/>
    </w:rPr>
  </w:style>
  <w:style w:type="paragraph" w:customStyle="1" w:styleId="Docnumber">
    <w:name w:val="Docnumber"/>
    <w:basedOn w:val="Normal"/>
    <w:link w:val="DocnumberChar"/>
    <w:rsid w:val="00450D8A"/>
    <w:pPr>
      <w:tabs>
        <w:tab w:val="clear" w:pos="1134"/>
        <w:tab w:val="clear" w:pos="1871"/>
        <w:tab w:val="clear" w:pos="2268"/>
        <w:tab w:val="left" w:pos="794"/>
        <w:tab w:val="left" w:pos="1191"/>
        <w:tab w:val="left" w:pos="1588"/>
        <w:tab w:val="left" w:pos="1985"/>
      </w:tabs>
      <w:jc w:val="right"/>
      <w:textAlignment w:val="auto"/>
    </w:pPr>
    <w:rPr>
      <w:rFonts w:ascii="CG Times" w:hAnsi="CG Times"/>
      <w:b/>
      <w:bCs/>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tu.int/go/ITU-T/REManua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14E0EFA3CA4F861D7C857A927E0F" ma:contentTypeVersion="2" ma:contentTypeDescription="Create a new document." ma:contentTypeScope="" ma:versionID="78266ffbc35076ac025fe55ab8a13142">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E5FBA6-25EF-4CF8-B2D8-FC4CE4A8BC95}"/>
</file>

<file path=customXml/itemProps2.xml><?xml version="1.0" encoding="utf-8"?>
<ds:datastoreItem xmlns:ds="http://schemas.openxmlformats.org/officeDocument/2006/customXml" ds:itemID="{13279276-1885-4819-A05A-BC5E3FA9649C}"/>
</file>

<file path=customXml/itemProps3.xml><?xml version="1.0" encoding="utf-8"?>
<ds:datastoreItem xmlns:ds="http://schemas.openxmlformats.org/officeDocument/2006/customXml" ds:itemID="{0748E909-A27C-49AD-A4A0-69084121A655}"/>
</file>

<file path=docProps/app.xml><?xml version="1.0" encoding="utf-8"?>
<Properties xmlns="http://schemas.openxmlformats.org/officeDocument/2006/extended-properties" xmlns:vt="http://schemas.openxmlformats.org/officeDocument/2006/docPropsVTypes">
  <Template>PE_BR.dotm</Template>
  <TotalTime>8</TotalTime>
  <Pages>3</Pages>
  <Words>1107</Words>
  <Characters>6312</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ITU</Company>
  <LinksUpToDate>false</LinksUpToDate>
  <CharactersWithSpaces>7405</CharactersWithSpaces>
  <SharedDoc>false</SharedDoc>
  <HLinks>
    <vt:vector size="6" baseType="variant">
      <vt:variant>
        <vt:i4>589829</vt:i4>
      </vt:variant>
      <vt:variant>
        <vt:i4>3</vt:i4>
      </vt:variant>
      <vt:variant>
        <vt:i4>0</vt:i4>
      </vt:variant>
      <vt:variant>
        <vt:i4>5</vt:i4>
      </vt:variant>
      <vt:variant>
        <vt:lpwstr>http://itu.int/go/ITU-T/REManual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Stefano</cp:lastModifiedBy>
  <cp:revision>3</cp:revision>
  <cp:lastPrinted>2017-04-03T15:18:00Z</cp:lastPrinted>
  <dcterms:created xsi:type="dcterms:W3CDTF">2017-10-30T17:00:00Z</dcterms:created>
  <dcterms:modified xsi:type="dcterms:W3CDTF">2017-10-30T17:10:00Z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0x0101003FE214E0EFA3CA4F861D7C857A927E0F</vt:lpwstr>
  </property>
</Properties>
</file>