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CF" w:rsidRPr="000B1449" w:rsidRDefault="00DB75CF" w:rsidP="00DB75CF">
      <w:pPr>
        <w:rPr>
          <w:rFonts w:cs="Arial"/>
          <w:sz w:val="20"/>
          <w:szCs w:val="20"/>
          <w:lang w:val="en-GB"/>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4F5D63" w:rsidTr="00A514ED">
        <w:trPr>
          <w:cantSplit/>
        </w:trPr>
        <w:tc>
          <w:tcPr>
            <w:tcW w:w="6521" w:type="dxa"/>
          </w:tcPr>
          <w:p w:rsidR="00DB75CF" w:rsidRPr="000B1449" w:rsidRDefault="00DB75CF" w:rsidP="00A514ED">
            <w:pPr>
              <w:spacing w:before="360" w:after="48"/>
              <w:rPr>
                <w:rFonts w:asciiTheme="minorHAnsi" w:hAnsiTheme="minorHAnsi"/>
                <w:b/>
                <w:position w:val="6"/>
                <w:sz w:val="26"/>
                <w:szCs w:val="26"/>
                <w:lang w:val="en-GB"/>
              </w:rPr>
            </w:pPr>
            <w:bookmarkStart w:id="0" w:name="dc06"/>
            <w:bookmarkEnd w:id="0"/>
            <w:r w:rsidRPr="000B1449">
              <w:rPr>
                <w:rFonts w:asciiTheme="minorHAnsi" w:hAnsiTheme="minorHAnsi"/>
                <w:b/>
                <w:position w:val="6"/>
                <w:sz w:val="26"/>
                <w:szCs w:val="26"/>
                <w:lang w:val="en-GB"/>
              </w:rPr>
              <w:t xml:space="preserve">COUNCIL WORKING GROUP ON THE </w:t>
            </w:r>
            <w:r w:rsidRPr="000B1449">
              <w:rPr>
                <w:rFonts w:asciiTheme="minorHAnsi" w:hAnsiTheme="minorHAnsi"/>
                <w:b/>
                <w:position w:val="6"/>
                <w:sz w:val="26"/>
                <w:szCs w:val="26"/>
                <w:lang w:val="en-GB"/>
              </w:rPr>
              <w:br/>
              <w:t>WORLD SUMMIT ON THE INFORMATION SOCIETY</w:t>
            </w:r>
            <w:r w:rsidRPr="000B1449">
              <w:rPr>
                <w:rFonts w:asciiTheme="minorHAnsi" w:hAnsiTheme="minorHAnsi"/>
                <w:b/>
                <w:position w:val="6"/>
                <w:sz w:val="26"/>
                <w:szCs w:val="26"/>
                <w:lang w:val="en-GB"/>
              </w:rPr>
              <w:br/>
            </w:r>
            <w:r w:rsidRPr="000B1449">
              <w:rPr>
                <w:rFonts w:asciiTheme="minorHAnsi" w:hAnsiTheme="minorHAnsi" w:cs="Times New Roman Bold"/>
                <w:bCs/>
                <w:lang w:val="en-GB"/>
              </w:rPr>
              <w:t>30</w:t>
            </w:r>
            <w:r w:rsidRPr="000B1449">
              <w:rPr>
                <w:rFonts w:asciiTheme="minorHAnsi" w:hAnsiTheme="minorHAnsi" w:cs="Times New Roman Bold"/>
                <w:bCs/>
                <w:vertAlign w:val="superscript"/>
                <w:lang w:val="en-GB"/>
              </w:rPr>
              <w:t>th</w:t>
            </w:r>
            <w:r w:rsidRPr="000B1449">
              <w:rPr>
                <w:rFonts w:asciiTheme="minorHAnsi" w:hAnsiTheme="minorHAnsi" w:cs="Times New Roman Bold"/>
                <w:bCs/>
                <w:lang w:val="en-GB"/>
              </w:rPr>
              <w:t xml:space="preserve"> meeting, Geneva, 7-8 February 2017</w:t>
            </w:r>
          </w:p>
        </w:tc>
        <w:tc>
          <w:tcPr>
            <w:tcW w:w="3793" w:type="dxa"/>
          </w:tcPr>
          <w:p w:rsidR="00DB75CF" w:rsidRPr="000B1449" w:rsidRDefault="00DB75CF" w:rsidP="00A514ED">
            <w:pPr>
              <w:spacing w:line="240" w:lineRule="atLeast"/>
              <w:rPr>
                <w:lang w:val="en-GB"/>
              </w:rPr>
            </w:pPr>
            <w:bookmarkStart w:id="1" w:name="ditulogo"/>
            <w:bookmarkEnd w:id="1"/>
            <w:r w:rsidRPr="000B1449">
              <w:rPr>
                <w:noProof/>
              </w:rPr>
              <w:drawing>
                <wp:inline distT="0" distB="0" distL="0" distR="0" wp14:anchorId="15B48C6E" wp14:editId="4A7C26A3">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4F5D63" w:rsidTr="00A514ED">
        <w:trPr>
          <w:cantSplit/>
        </w:trPr>
        <w:tc>
          <w:tcPr>
            <w:tcW w:w="6521" w:type="dxa"/>
            <w:tcBorders>
              <w:bottom w:val="single" w:sz="12" w:space="0" w:color="auto"/>
            </w:tcBorders>
          </w:tcPr>
          <w:p w:rsidR="00DB75CF" w:rsidRPr="000B1449" w:rsidRDefault="00DB75CF" w:rsidP="00A514ED">
            <w:pPr>
              <w:spacing w:after="48" w:line="240" w:lineRule="atLeast"/>
              <w:rPr>
                <w:rFonts w:asciiTheme="minorHAnsi" w:hAnsiTheme="minorHAnsi"/>
                <w:b/>
                <w:smallCaps/>
                <w:lang w:val="en-GB"/>
              </w:rPr>
            </w:pPr>
            <w:r w:rsidRPr="000B1449">
              <w:rPr>
                <w:rFonts w:asciiTheme="minorHAnsi" w:hAnsiTheme="minorHAnsi" w:cs="Times New Roman Bold"/>
                <w:bCs/>
                <w:lang w:val="en-GB"/>
              </w:rPr>
              <w:t>INTERNATIONAL TELECOMMUNICATION UNION</w:t>
            </w:r>
          </w:p>
        </w:tc>
        <w:tc>
          <w:tcPr>
            <w:tcW w:w="3793" w:type="dxa"/>
            <w:tcBorders>
              <w:bottom w:val="single" w:sz="12" w:space="0" w:color="auto"/>
            </w:tcBorders>
          </w:tcPr>
          <w:p w:rsidR="00DB75CF" w:rsidRPr="000B1449" w:rsidRDefault="00DB75CF" w:rsidP="00A514ED">
            <w:pPr>
              <w:spacing w:line="240" w:lineRule="atLeast"/>
              <w:rPr>
                <w:rFonts w:ascii="Verdana" w:hAnsi="Verdana"/>
                <w:lang w:val="en-GB"/>
              </w:rPr>
            </w:pPr>
          </w:p>
        </w:tc>
      </w:tr>
      <w:tr w:rsidR="00DB75CF" w:rsidRPr="004F5D63" w:rsidTr="00A514ED">
        <w:trPr>
          <w:cantSplit/>
        </w:trPr>
        <w:tc>
          <w:tcPr>
            <w:tcW w:w="6521" w:type="dxa"/>
            <w:tcBorders>
              <w:top w:val="single" w:sz="12" w:space="0" w:color="auto"/>
            </w:tcBorders>
          </w:tcPr>
          <w:p w:rsidR="00DB75CF" w:rsidRPr="000B1449" w:rsidRDefault="00DB75CF" w:rsidP="00BB0A22">
            <w:pPr>
              <w:spacing w:line="240" w:lineRule="atLeast"/>
              <w:rPr>
                <w:b/>
                <w:smallCaps/>
                <w:lang w:val="en-GB"/>
              </w:rPr>
            </w:pPr>
          </w:p>
        </w:tc>
        <w:tc>
          <w:tcPr>
            <w:tcW w:w="3793" w:type="dxa"/>
            <w:tcBorders>
              <w:top w:val="single" w:sz="12" w:space="0" w:color="auto"/>
            </w:tcBorders>
          </w:tcPr>
          <w:p w:rsidR="00DB75CF" w:rsidRPr="000B1449" w:rsidRDefault="00DB75CF" w:rsidP="00BB0A22">
            <w:pPr>
              <w:spacing w:line="240" w:lineRule="atLeast"/>
              <w:ind w:left="209"/>
              <w:rPr>
                <w:rFonts w:ascii="Verdana" w:hAnsi="Verdana"/>
                <w:lang w:val="en-GB"/>
              </w:rPr>
            </w:pPr>
          </w:p>
        </w:tc>
      </w:tr>
      <w:tr w:rsidR="00DB75CF" w:rsidRPr="004F5D63" w:rsidTr="00A514ED">
        <w:trPr>
          <w:cantSplit/>
          <w:trHeight w:val="23"/>
        </w:trPr>
        <w:tc>
          <w:tcPr>
            <w:tcW w:w="6521" w:type="dxa"/>
            <w:vMerge w:val="restart"/>
          </w:tcPr>
          <w:p w:rsidR="00F311CA" w:rsidRPr="000B1449" w:rsidRDefault="00F311CA" w:rsidP="00A514ED">
            <w:pPr>
              <w:tabs>
                <w:tab w:val="left" w:pos="851"/>
              </w:tabs>
              <w:spacing w:line="240" w:lineRule="atLeast"/>
              <w:rPr>
                <w:rFonts w:asciiTheme="minorHAnsi" w:hAnsiTheme="minorHAnsi"/>
                <w:b/>
                <w:lang w:val="en-GB"/>
              </w:rPr>
            </w:pPr>
            <w:bookmarkStart w:id="2" w:name="dmeeting" w:colFirst="0" w:colLast="0"/>
            <w:bookmarkStart w:id="3" w:name="dnum" w:colFirst="1" w:colLast="1"/>
          </w:p>
          <w:p w:rsidR="00DB75CF" w:rsidRPr="000B1449" w:rsidRDefault="00F311CA" w:rsidP="004F5D63">
            <w:pPr>
              <w:tabs>
                <w:tab w:val="left" w:pos="2197"/>
              </w:tabs>
              <w:rPr>
                <w:rFonts w:asciiTheme="minorHAnsi" w:hAnsiTheme="minorHAnsi"/>
                <w:lang w:val="en-GB"/>
              </w:rPr>
            </w:pPr>
            <w:r w:rsidRPr="000B1449">
              <w:rPr>
                <w:rFonts w:asciiTheme="minorHAnsi" w:hAnsiTheme="minorHAnsi"/>
                <w:lang w:val="en-GB"/>
              </w:rPr>
              <w:tab/>
            </w:r>
          </w:p>
        </w:tc>
        <w:tc>
          <w:tcPr>
            <w:tcW w:w="3793" w:type="dxa"/>
          </w:tcPr>
          <w:p w:rsidR="00DB75CF" w:rsidRPr="000B1449" w:rsidRDefault="00BB0A22" w:rsidP="00B30C10">
            <w:pPr>
              <w:tabs>
                <w:tab w:val="left" w:pos="851"/>
              </w:tabs>
              <w:spacing w:line="240" w:lineRule="atLeast"/>
              <w:ind w:left="57"/>
              <w:rPr>
                <w:rFonts w:asciiTheme="minorHAnsi" w:hAnsiTheme="minorHAnsi" w:cs="Times New Roman Bold"/>
                <w:b/>
                <w:spacing w:val="-4"/>
                <w:lang w:val="en-GB"/>
              </w:rPr>
            </w:pPr>
            <w:r>
              <w:rPr>
                <w:rFonts w:asciiTheme="minorHAnsi" w:hAnsiTheme="minorHAnsi" w:cs="Times New Roman Bold"/>
                <w:b/>
                <w:spacing w:val="-4"/>
                <w:lang w:val="en-GB"/>
              </w:rPr>
              <w:t>Revision 1 to</w:t>
            </w:r>
            <w:r>
              <w:rPr>
                <w:rFonts w:asciiTheme="minorHAnsi" w:hAnsiTheme="minorHAnsi" w:cs="Times New Roman Bold"/>
                <w:b/>
                <w:spacing w:val="-4"/>
                <w:lang w:val="en-GB"/>
              </w:rPr>
              <w:br/>
            </w:r>
            <w:r w:rsidR="00DB75CF" w:rsidRPr="000B1449">
              <w:rPr>
                <w:rFonts w:asciiTheme="minorHAnsi" w:hAnsiTheme="minorHAnsi" w:cs="Times New Roman Bold"/>
                <w:b/>
                <w:spacing w:val="-4"/>
                <w:lang w:val="en-GB"/>
              </w:rPr>
              <w:t>Document WG-WSIS-30</w:t>
            </w:r>
            <w:r w:rsidR="004D55F7" w:rsidRPr="000B1449">
              <w:rPr>
                <w:rFonts w:asciiTheme="minorHAnsi" w:hAnsiTheme="minorHAnsi" w:cs="Times New Roman Bold"/>
                <w:b/>
                <w:spacing w:val="-4"/>
                <w:lang w:val="en-GB"/>
              </w:rPr>
              <w:t>/1</w:t>
            </w:r>
            <w:r w:rsidR="00B30C10" w:rsidRPr="000B1449">
              <w:rPr>
                <w:rFonts w:asciiTheme="minorHAnsi" w:hAnsiTheme="minorHAnsi" w:cs="Times New Roman Bold"/>
                <w:b/>
                <w:spacing w:val="-4"/>
                <w:lang w:val="en-GB"/>
              </w:rPr>
              <w:t>1</w:t>
            </w:r>
            <w:r w:rsidR="00DB75CF" w:rsidRPr="000B1449">
              <w:rPr>
                <w:rFonts w:asciiTheme="minorHAnsi" w:hAnsiTheme="minorHAnsi" w:cs="Times New Roman Bold"/>
                <w:b/>
                <w:spacing w:val="-4"/>
                <w:lang w:val="en-GB"/>
              </w:rPr>
              <w:t>-E</w:t>
            </w:r>
          </w:p>
        </w:tc>
      </w:tr>
      <w:tr w:rsidR="00DB75CF" w:rsidRPr="004F5D63" w:rsidTr="00A514ED">
        <w:trPr>
          <w:cantSplit/>
          <w:trHeight w:val="23"/>
        </w:trPr>
        <w:tc>
          <w:tcPr>
            <w:tcW w:w="6521" w:type="dxa"/>
            <w:vMerge/>
          </w:tcPr>
          <w:p w:rsidR="00DB75CF" w:rsidRPr="000B1449" w:rsidRDefault="00DB75CF" w:rsidP="00A514ED">
            <w:pPr>
              <w:tabs>
                <w:tab w:val="left" w:pos="851"/>
              </w:tabs>
              <w:spacing w:line="240" w:lineRule="atLeast"/>
              <w:rPr>
                <w:rFonts w:asciiTheme="minorHAnsi" w:hAnsiTheme="minorHAnsi"/>
                <w:b/>
                <w:lang w:val="en-GB"/>
              </w:rPr>
            </w:pPr>
            <w:bookmarkStart w:id="4" w:name="ddate" w:colFirst="1" w:colLast="1"/>
            <w:bookmarkEnd w:id="2"/>
            <w:bookmarkEnd w:id="3"/>
          </w:p>
        </w:tc>
        <w:tc>
          <w:tcPr>
            <w:tcW w:w="3793" w:type="dxa"/>
          </w:tcPr>
          <w:p w:rsidR="00DB75CF" w:rsidRPr="000B1449" w:rsidRDefault="00BB0A22" w:rsidP="003B6B4E">
            <w:pPr>
              <w:tabs>
                <w:tab w:val="left" w:pos="993"/>
              </w:tabs>
              <w:ind w:left="57"/>
              <w:rPr>
                <w:rFonts w:asciiTheme="minorHAnsi" w:hAnsiTheme="minorHAnsi"/>
                <w:b/>
                <w:lang w:val="en-GB"/>
              </w:rPr>
            </w:pPr>
            <w:r>
              <w:rPr>
                <w:rFonts w:asciiTheme="minorHAnsi" w:hAnsiTheme="minorHAnsi"/>
                <w:b/>
                <w:lang w:val="en-GB"/>
              </w:rPr>
              <w:t>28</w:t>
            </w:r>
            <w:r w:rsidR="004F5D63" w:rsidRPr="000B1449">
              <w:rPr>
                <w:rFonts w:asciiTheme="minorHAnsi" w:hAnsiTheme="minorHAnsi"/>
                <w:b/>
                <w:lang w:val="en-GB"/>
              </w:rPr>
              <w:t xml:space="preserve"> </w:t>
            </w:r>
            <w:r w:rsidR="003B6B4E">
              <w:rPr>
                <w:rFonts w:asciiTheme="minorHAnsi" w:hAnsiTheme="minorHAnsi"/>
                <w:b/>
                <w:lang w:val="en-GB"/>
              </w:rPr>
              <w:t xml:space="preserve">February </w:t>
            </w:r>
            <w:r w:rsidR="00B30C10" w:rsidRPr="000B1449">
              <w:rPr>
                <w:rFonts w:asciiTheme="minorHAnsi" w:hAnsiTheme="minorHAnsi"/>
                <w:b/>
                <w:lang w:val="en-GB"/>
              </w:rPr>
              <w:t>2017</w:t>
            </w:r>
          </w:p>
        </w:tc>
      </w:tr>
      <w:tr w:rsidR="00DB75CF" w:rsidRPr="004F5D63" w:rsidTr="00A514ED">
        <w:trPr>
          <w:cantSplit/>
          <w:trHeight w:val="80"/>
        </w:trPr>
        <w:tc>
          <w:tcPr>
            <w:tcW w:w="6521" w:type="dxa"/>
            <w:vMerge/>
          </w:tcPr>
          <w:p w:rsidR="00DB75CF" w:rsidRPr="000B1449" w:rsidRDefault="00DB75CF" w:rsidP="00A514ED">
            <w:pPr>
              <w:tabs>
                <w:tab w:val="left" w:pos="851"/>
              </w:tabs>
              <w:spacing w:line="240" w:lineRule="atLeast"/>
              <w:rPr>
                <w:rFonts w:asciiTheme="minorHAnsi" w:hAnsiTheme="minorHAnsi"/>
                <w:b/>
                <w:lang w:val="en-GB"/>
              </w:rPr>
            </w:pPr>
            <w:bookmarkStart w:id="5" w:name="dorlang" w:colFirst="1" w:colLast="1"/>
            <w:bookmarkEnd w:id="4"/>
          </w:p>
        </w:tc>
        <w:tc>
          <w:tcPr>
            <w:tcW w:w="3793" w:type="dxa"/>
          </w:tcPr>
          <w:p w:rsidR="00DB75CF" w:rsidRPr="000B1449" w:rsidRDefault="00DB75CF" w:rsidP="00A514ED">
            <w:pPr>
              <w:tabs>
                <w:tab w:val="left" w:pos="993"/>
              </w:tabs>
              <w:ind w:left="57"/>
              <w:rPr>
                <w:rFonts w:asciiTheme="minorHAnsi" w:hAnsiTheme="minorHAnsi"/>
                <w:b/>
                <w:lang w:val="en-GB"/>
              </w:rPr>
            </w:pPr>
            <w:r w:rsidRPr="000B1449">
              <w:rPr>
                <w:rFonts w:asciiTheme="minorHAnsi" w:hAnsiTheme="minorHAnsi"/>
                <w:b/>
                <w:lang w:val="en-GB"/>
              </w:rPr>
              <w:t>English only</w:t>
            </w:r>
          </w:p>
        </w:tc>
      </w:tr>
    </w:tbl>
    <w:bookmarkEnd w:id="5"/>
    <w:p w:rsidR="00B30C10" w:rsidRPr="000B1449" w:rsidRDefault="003B6B4E" w:rsidP="00B30C10">
      <w:pPr>
        <w:pStyle w:val="Default"/>
        <w:jc w:val="cente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Rev. </w:t>
      </w:r>
      <w:r w:rsidR="00B30C10" w:rsidRPr="000B1449">
        <w:rPr>
          <w:rFonts w:asciiTheme="minorHAnsi" w:hAnsiTheme="minorHAnsi"/>
          <w:b/>
          <w:bCs/>
          <w:color w:val="FF0000"/>
          <w:sz w:val="28"/>
          <w:szCs w:val="28"/>
          <w:lang w:val="en-GB"/>
        </w:rPr>
        <w:t>DRAFT</w:t>
      </w:r>
    </w:p>
    <w:p w:rsidR="00B30C10" w:rsidRPr="000B1449" w:rsidRDefault="00B30C10" w:rsidP="00B30C10">
      <w:pPr>
        <w:spacing w:after="160" w:line="259" w:lineRule="auto"/>
        <w:contextualSpacing/>
        <w:jc w:val="center"/>
        <w:rPr>
          <w:rFonts w:asciiTheme="minorHAnsi" w:hAnsiTheme="minorHAnsi"/>
          <w:b/>
          <w:sz w:val="28"/>
          <w:szCs w:val="32"/>
          <w:lang w:val="en-GB"/>
        </w:rPr>
      </w:pPr>
      <w:r w:rsidRPr="000B1449">
        <w:rPr>
          <w:rFonts w:asciiTheme="minorHAnsi" w:hAnsiTheme="minorHAnsi"/>
          <w:b/>
          <w:sz w:val="28"/>
          <w:szCs w:val="32"/>
          <w:lang w:val="en-GB"/>
        </w:rPr>
        <w:t>ITU Council Contribution to the High-Level Political Forum on Sustainable Development (HLPF)</w:t>
      </w:r>
    </w:p>
    <w:p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Contributions can be sent no later than </w:t>
      </w:r>
      <w:r w:rsidRPr="000B1449">
        <w:rPr>
          <w:rFonts w:asciiTheme="minorHAnsi" w:hAnsiTheme="minorHAnsi"/>
          <w:b/>
          <w:bCs/>
          <w:sz w:val="22"/>
          <w:szCs w:val="22"/>
          <w:lang w:val="en-GB"/>
        </w:rPr>
        <w:t xml:space="preserve">28 April 2017 </w:t>
      </w:r>
      <w:r w:rsidRPr="000B1449">
        <w:rPr>
          <w:rFonts w:asciiTheme="minorHAnsi" w:hAnsiTheme="minorHAnsi"/>
          <w:sz w:val="22"/>
          <w:szCs w:val="22"/>
          <w:lang w:val="en-GB"/>
        </w:rPr>
        <w:t xml:space="preserve">to the Secretariat’s e-mail pietracci@un.org </w:t>
      </w:r>
    </w:p>
    <w:p w:rsidR="00154373" w:rsidRPr="000B1449" w:rsidRDefault="00154373" w:rsidP="00154373">
      <w:pPr>
        <w:pStyle w:val="Default"/>
        <w:jc w:val="center"/>
        <w:rPr>
          <w:rFonts w:asciiTheme="minorHAnsi" w:hAnsiTheme="minorHAnsi"/>
          <w:sz w:val="22"/>
          <w:szCs w:val="22"/>
          <w:lang w:val="en-GB"/>
        </w:rPr>
      </w:pPr>
      <w:r w:rsidRPr="000B1449">
        <w:rPr>
          <w:rFonts w:asciiTheme="minorHAnsi" w:hAnsiTheme="minorHAnsi"/>
          <w:sz w:val="22"/>
          <w:szCs w:val="22"/>
          <w:lang w:val="en-GB"/>
        </w:rPr>
        <w:t>___________</w:t>
      </w:r>
    </w:p>
    <w:p w:rsidR="00154373" w:rsidRPr="000B1449" w:rsidRDefault="00154373" w:rsidP="00154373">
      <w:pPr>
        <w:autoSpaceDE w:val="0"/>
        <w:autoSpaceDN w:val="0"/>
        <w:adjustRightInd w:val="0"/>
        <w:jc w:val="center"/>
        <w:rPr>
          <w:rFonts w:asciiTheme="minorHAnsi" w:hAnsiTheme="minorHAnsi"/>
          <w:b/>
          <w:bCs/>
          <w:color w:val="202022"/>
          <w:szCs w:val="22"/>
          <w:u w:val="single"/>
          <w:lang w:val="en-GB"/>
        </w:rPr>
      </w:pPr>
    </w:p>
    <w:p w:rsidR="00154373" w:rsidRPr="000B1449" w:rsidRDefault="00457148" w:rsidP="00BB0A22">
      <w:pPr>
        <w:autoSpaceDE w:val="0"/>
        <w:autoSpaceDN w:val="0"/>
        <w:adjustRightInd w:val="0"/>
        <w:spacing w:after="120"/>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GENERAL INTRODUCTION</w:t>
      </w:r>
    </w:p>
    <w:tbl>
      <w:tblPr>
        <w:tblStyle w:val="TableGrid"/>
        <w:tblW w:w="9498" w:type="dxa"/>
        <w:tblInd w:w="-147" w:type="dxa"/>
        <w:tblLook w:val="04A0" w:firstRow="1" w:lastRow="0" w:firstColumn="1" w:lastColumn="0" w:noHBand="0" w:noVBand="1"/>
      </w:tblPr>
      <w:tblGrid>
        <w:gridCol w:w="9498"/>
      </w:tblGrid>
      <w:tr w:rsidR="00457148" w:rsidRPr="00706E86" w:rsidTr="00BB0A22">
        <w:tc>
          <w:tcPr>
            <w:tcW w:w="9498" w:type="dxa"/>
          </w:tcPr>
          <w:p w:rsidR="00457148" w:rsidRPr="000B1449" w:rsidRDefault="00457148"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rsidR="00457148" w:rsidRPr="000B1449" w:rsidRDefault="00457148" w:rsidP="00BA2D64">
            <w:pPr>
              <w:pStyle w:val="NoSpacing"/>
              <w:shd w:val="clear" w:color="auto" w:fill="F2F2F2" w:themeFill="background1" w:themeFillShade="F2"/>
              <w:rPr>
                <w:rFonts w:asciiTheme="minorHAnsi" w:hAnsiTheme="minorHAnsi"/>
                <w:b/>
                <w:bCs/>
                <w:sz w:val="22"/>
                <w:szCs w:val="22"/>
                <w:u w:val="single"/>
              </w:rPr>
            </w:pPr>
          </w:p>
          <w:p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r w:rsidRPr="00706E86">
              <w:rPr>
                <w:rFonts w:asciiTheme="minorHAnsi" w:hAnsiTheme="minorHAnsi" w:cs="Segoe UI"/>
                <w:sz w:val="22"/>
                <w:szCs w:val="22"/>
              </w:rPr>
              <w:t xml:space="preserve">The </w:t>
            </w:r>
            <w:r w:rsidRPr="00706E86">
              <w:rPr>
                <w:rStyle w:val="Strong"/>
                <w:rFonts w:asciiTheme="minorHAnsi" w:hAnsiTheme="minorHAnsi" w:cs="Segoe UI"/>
                <w:b w:val="0"/>
                <w:bCs w:val="0"/>
                <w:sz w:val="22"/>
                <w:szCs w:val="22"/>
              </w:rPr>
              <w:t>Sustainable Development Goals (SDGs)</w:t>
            </w:r>
            <w:r w:rsidRPr="00706E86">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706E86">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706E86">
              <w:rPr>
                <w:rFonts w:asciiTheme="minorHAnsi" w:hAnsiTheme="minorHAnsi" w:cs="TimesNewRoman"/>
                <w:sz w:val="22"/>
                <w:szCs w:val="22"/>
                <w:lang w:eastAsia="ja-JP"/>
              </w:rPr>
              <w:t>does</w:t>
            </w:r>
            <w:proofErr w:type="gramEnd"/>
            <w:r w:rsidRPr="00706E86">
              <w:rPr>
                <w:rFonts w:asciiTheme="minorHAnsi" w:hAnsiTheme="minorHAnsi" w:cs="TimesNewRoman"/>
                <w:sz w:val="22"/>
                <w:szCs w:val="22"/>
                <w:lang w:eastAsia="ja-JP"/>
              </w:rPr>
              <w:t xml:space="preserve"> scientific and technological innovation across areas as diverse as medicine and energy”.  </w:t>
            </w:r>
          </w:p>
          <w:p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p>
          <w:p w:rsidR="00457148" w:rsidRDefault="00F311CA"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Increased </w:t>
            </w:r>
            <w:r w:rsidR="00457148" w:rsidRPr="00706E86">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rsidR="00A847FE" w:rsidRDefault="00A847FE" w:rsidP="00A847FE">
            <w:pPr>
              <w:pStyle w:val="NoSpacing"/>
              <w:shd w:val="clear" w:color="auto" w:fill="F2F2F2" w:themeFill="background1" w:themeFillShade="F2"/>
              <w:rPr>
                <w:rFonts w:asciiTheme="minorHAnsi" w:hAnsiTheme="minorHAnsi"/>
                <w:sz w:val="22"/>
                <w:szCs w:val="22"/>
              </w:rPr>
            </w:pPr>
          </w:p>
          <w:p w:rsidR="00A847FE" w:rsidRPr="000B1449" w:rsidRDefault="00A847FE" w:rsidP="00A847FE">
            <w:pPr>
              <w:pStyle w:val="NoSpacing"/>
              <w:shd w:val="clear" w:color="auto" w:fill="F2F2F2" w:themeFill="background1" w:themeFillShade="F2"/>
              <w:rPr>
                <w:rFonts w:asciiTheme="minorHAnsi" w:hAnsiTheme="minorHAnsi"/>
                <w:color w:val="202022"/>
                <w:sz w:val="22"/>
                <w:szCs w:val="22"/>
              </w:rPr>
            </w:pPr>
            <w:r>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p>
    <w:p w:rsidR="00BB0A22" w:rsidRDefault="00BB0A22" w:rsidP="00B30C10">
      <w:pPr>
        <w:autoSpaceDE w:val="0"/>
        <w:autoSpaceDN w:val="0"/>
        <w:adjustRightInd w:val="0"/>
        <w:jc w:val="center"/>
        <w:rPr>
          <w:rFonts w:asciiTheme="minorHAnsi" w:hAnsiTheme="minorHAnsi"/>
          <w:b/>
          <w:bCs/>
          <w:color w:val="202022"/>
          <w:szCs w:val="22"/>
          <w:u w:val="single"/>
          <w:lang w:val="en-GB"/>
        </w:rPr>
        <w:sectPr w:rsidR="00BB0A22" w:rsidSect="00B30C10">
          <w:pgSz w:w="11901" w:h="16840" w:code="9"/>
          <w:pgMar w:top="1276" w:right="1695" w:bottom="1135" w:left="1560" w:header="142" w:footer="720" w:gutter="0"/>
          <w:paperSrc w:first="15" w:other="15"/>
          <w:cols w:space="720"/>
          <w:docGrid w:linePitch="360"/>
        </w:sectPr>
      </w:pPr>
    </w:p>
    <w:p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Submission Template</w:t>
      </w:r>
    </w:p>
    <w:p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rsidR="00B30C10" w:rsidRPr="000B1449" w:rsidRDefault="00B30C10" w:rsidP="004F5D63">
      <w:pPr>
        <w:pStyle w:val="NoSpacing"/>
        <w:numPr>
          <w:ilvl w:val="0"/>
          <w:numId w:val="22"/>
        </w:numPr>
        <w:rPr>
          <w:rFonts w:asciiTheme="minorHAnsi" w:hAnsiTheme="minorHAnsi"/>
          <w:b/>
          <w:bCs/>
          <w:sz w:val="22"/>
          <w:szCs w:val="22"/>
        </w:rPr>
      </w:pPr>
      <w:r w:rsidRPr="00706E86">
        <w:rPr>
          <w:rFonts w:asciiTheme="minorHAnsi" w:hAnsiTheme="minorHAnsi"/>
          <w:b/>
          <w:bCs/>
          <w:sz w:val="22"/>
          <w:szCs w:val="22"/>
        </w:rPr>
        <w:t>An assessment of the situation regarding the principle of "ensuring that no one is left beh</w:t>
      </w:r>
      <w:r w:rsidRPr="00706E86">
        <w:rPr>
          <w:rFonts w:asciiTheme="minorHAnsi" w:hAnsiTheme="minorHAnsi"/>
          <w:b/>
          <w:bCs/>
          <w:color w:val="454546"/>
          <w:sz w:val="22"/>
          <w:szCs w:val="22"/>
        </w:rPr>
        <w:t>i</w:t>
      </w:r>
      <w:r w:rsidRPr="00706E86">
        <w:rPr>
          <w:rFonts w:asciiTheme="minorHAnsi" w:hAnsiTheme="minorHAnsi"/>
          <w:b/>
          <w:bCs/>
          <w:sz w:val="22"/>
          <w:szCs w:val="22"/>
        </w:rPr>
        <w:t>nd" at the global level:</w:t>
      </w:r>
    </w:p>
    <w:p w:rsidR="00B30C10" w:rsidRPr="000B1449" w:rsidRDefault="00B30C10" w:rsidP="004F5D63">
      <w:pPr>
        <w:pStyle w:val="NoSpacing"/>
        <w:rPr>
          <w:rFonts w:asciiTheme="minorHAnsi" w:hAnsiTheme="minorHAnsi"/>
          <w:sz w:val="22"/>
          <w:szCs w:val="22"/>
        </w:rPr>
      </w:pPr>
    </w:p>
    <w:p w:rsidR="00F9306E" w:rsidRPr="000B1449" w:rsidRDefault="0034227B" w:rsidP="004F5D63">
      <w:pPr>
        <w:pStyle w:val="NoSpacing"/>
        <w:rPr>
          <w:rFonts w:asciiTheme="minorHAnsi" w:hAnsiTheme="minorHAnsi" w:cs="Calibri"/>
          <w:sz w:val="22"/>
          <w:szCs w:val="22"/>
        </w:rPr>
      </w:pPr>
      <w:r w:rsidRPr="00706E86">
        <w:rPr>
          <w:rFonts w:asciiTheme="minorHAnsi" w:hAnsiTheme="minorHAnsi"/>
          <w:sz w:val="22"/>
          <w:szCs w:val="22"/>
        </w:rPr>
        <w:t xml:space="preserve">“Ensuring that no one is left behind” has a specific meaning in telecommunications – that of </w:t>
      </w:r>
      <w:r w:rsidRPr="00706E86">
        <w:rPr>
          <w:rFonts w:asciiTheme="minorHAnsi" w:hAnsiTheme="minorHAnsi"/>
          <w:i/>
          <w:iCs/>
          <w:sz w:val="22"/>
          <w:szCs w:val="22"/>
        </w:rPr>
        <w:t>universal access and service (UAS</w:t>
      </w:r>
      <w:r w:rsidRPr="00706E86">
        <w:rPr>
          <w:rFonts w:asciiTheme="minorHAnsi" w:hAnsiTheme="minorHAnsi"/>
          <w:sz w:val="22"/>
          <w:szCs w:val="22"/>
        </w:rPr>
        <w:t>)</w:t>
      </w:r>
      <w:r w:rsidR="00F9306E" w:rsidRPr="00706E86">
        <w:rPr>
          <w:rFonts w:asciiTheme="minorHAnsi" w:hAnsiTheme="minorHAnsi"/>
          <w:sz w:val="22"/>
          <w:szCs w:val="22"/>
        </w:rPr>
        <w:t xml:space="preserve"> and leaving no one off-line.</w:t>
      </w:r>
      <w:r w:rsidR="00B30C10" w:rsidRPr="00706E86">
        <w:rPr>
          <w:rFonts w:asciiTheme="minorHAnsi" w:hAnsiTheme="minorHAnsi" w:cs="Calibri"/>
          <w:sz w:val="22"/>
          <w:szCs w:val="22"/>
        </w:rPr>
        <w:t xml:space="preserve"> </w:t>
      </w:r>
    </w:p>
    <w:p w:rsidR="00F9306E" w:rsidRPr="000B1449" w:rsidRDefault="00F9306E" w:rsidP="004F5D63">
      <w:pPr>
        <w:pStyle w:val="NoSpacing"/>
        <w:rPr>
          <w:rFonts w:asciiTheme="minorHAnsi" w:hAnsiTheme="minorHAnsi" w:cs="Calibri"/>
          <w:sz w:val="22"/>
          <w:szCs w:val="22"/>
        </w:rPr>
      </w:pPr>
    </w:p>
    <w:p w:rsidR="00B30C10" w:rsidRPr="000B1449" w:rsidRDefault="00B30C10" w:rsidP="004F5D63">
      <w:pPr>
        <w:pStyle w:val="NoSpacing"/>
        <w:rPr>
          <w:rFonts w:asciiTheme="minorHAnsi" w:hAnsiTheme="minorHAnsi" w:cs="Calibri"/>
          <w:sz w:val="22"/>
          <w:szCs w:val="22"/>
        </w:rPr>
      </w:pPr>
      <w:r w:rsidRPr="00706E86">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rsidR="00B30C10" w:rsidRPr="000B1449" w:rsidRDefault="00B30C10" w:rsidP="004F5D63">
      <w:pPr>
        <w:pStyle w:val="NoSpacing"/>
        <w:rPr>
          <w:rFonts w:asciiTheme="minorHAnsi" w:hAnsiTheme="minorHAnsi" w:cstheme="minorBidi"/>
          <w:sz w:val="22"/>
          <w:szCs w:val="22"/>
        </w:rPr>
      </w:pPr>
    </w:p>
    <w:p w:rsidR="00B30C10" w:rsidRPr="000B1449" w:rsidRDefault="00B30C10" w:rsidP="008D67BF">
      <w:pPr>
        <w:pStyle w:val="NoSpacing"/>
        <w:rPr>
          <w:rFonts w:asciiTheme="minorHAnsi" w:hAnsiTheme="minorHAnsi" w:cs="Arial"/>
          <w:sz w:val="22"/>
          <w:szCs w:val="22"/>
        </w:rPr>
      </w:pPr>
      <w:r w:rsidRPr="00706E86">
        <w:rPr>
          <w:rFonts w:asciiTheme="minorHAnsi" w:hAnsiTheme="minorHAnsi"/>
          <w:sz w:val="22"/>
          <w:szCs w:val="22"/>
        </w:rPr>
        <w:t xml:space="preserve">In pursuance of its mission, ITU annually monitors the digital divide, including the gender digital divide (see below), </w:t>
      </w:r>
      <w:r w:rsidR="008D67BF" w:rsidRPr="008D67BF">
        <w:rPr>
          <w:rFonts w:asciiTheme="minorHAnsi" w:hAnsiTheme="minorHAnsi"/>
          <w:sz w:val="22"/>
          <w:szCs w:val="22"/>
        </w:rPr>
        <w:t>to assess and track who has access to ICTs and telecommunication networks, and where.</w:t>
      </w:r>
    </w:p>
    <w:p w:rsidR="00B30C10" w:rsidRPr="000B1449" w:rsidRDefault="00B30C10" w:rsidP="004F5D63">
      <w:pPr>
        <w:pStyle w:val="NoSpacing"/>
        <w:rPr>
          <w:rFonts w:asciiTheme="minorHAnsi" w:hAnsiTheme="minorHAnsi" w:cs="Arial"/>
          <w:sz w:val="22"/>
          <w:szCs w:val="22"/>
        </w:rPr>
      </w:pPr>
    </w:p>
    <w:p w:rsidR="00B30C10" w:rsidRPr="00706E86" w:rsidRDefault="008D67BF" w:rsidP="008D67BF">
      <w:pPr>
        <w:pStyle w:val="NoSpacing"/>
        <w:rPr>
          <w:rFonts w:asciiTheme="minorHAnsi" w:hAnsiTheme="minorHAnsi"/>
          <w:sz w:val="22"/>
          <w:szCs w:val="22"/>
        </w:rPr>
      </w:pPr>
      <w:r w:rsidRPr="008D67BF">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w:t>
      </w:r>
      <w:r>
        <w:rPr>
          <w:rFonts w:asciiTheme="minorHAnsi" w:hAnsiTheme="minorHAnsi"/>
          <w:sz w:val="22"/>
          <w:szCs w:val="22"/>
        </w:rPr>
        <w:t>s grew more rapidly than fixed-</w:t>
      </w:r>
      <w:r w:rsidR="00B30C10" w:rsidRPr="00706E86">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rsidR="00860A46" w:rsidRPr="00706E86" w:rsidRDefault="00860A46" w:rsidP="004F5D63">
      <w:pPr>
        <w:pStyle w:val="NoSpacing"/>
        <w:rPr>
          <w:rFonts w:asciiTheme="minorHAnsi" w:hAnsiTheme="minorHAnsi" w:cstheme="minorBidi"/>
          <w:sz w:val="22"/>
          <w:szCs w:val="22"/>
        </w:rPr>
      </w:pPr>
    </w:p>
    <w:p w:rsidR="00860A46" w:rsidRPr="00706E86" w:rsidRDefault="00860A46" w:rsidP="004F5D63">
      <w:pPr>
        <w:pStyle w:val="NoSpacing"/>
        <w:rPr>
          <w:rFonts w:asciiTheme="minorHAnsi" w:hAnsiTheme="minorHAnsi" w:cstheme="minorBidi"/>
          <w:sz w:val="22"/>
          <w:szCs w:val="22"/>
        </w:rPr>
      </w:pPr>
      <w:r w:rsidRPr="00706E86">
        <w:rPr>
          <w:rFonts w:asciiTheme="minorHAnsi" w:hAnsiTheme="minorHAnsi" w:cstheme="minorBidi"/>
          <w:sz w:val="22"/>
          <w:szCs w:val="22"/>
        </w:rPr>
        <w:t>However</w:t>
      </w:r>
      <w:r w:rsidR="00472B70" w:rsidRPr="00706E86">
        <w:rPr>
          <w:rFonts w:asciiTheme="minorHAnsi" w:hAnsiTheme="minorHAnsi" w:cstheme="minorBidi"/>
          <w:sz w:val="22"/>
          <w:szCs w:val="22"/>
        </w:rPr>
        <w:t>; a</w:t>
      </w:r>
      <w:r w:rsidRPr="00706E86">
        <w:rPr>
          <w:rFonts w:asciiTheme="minorHAnsi" w:hAnsiTheme="minorHAnsi" w:cstheme="minorBidi"/>
          <w:sz w:val="22"/>
          <w:szCs w:val="22"/>
        </w:rPr>
        <w:t xml:space="preserve"> continued and significant divide exists between regions, between developed and developed countries, and between the majority of developing countries and LDCs. While penetration rates for mobile-cellular subscriptions are now high in all regions, and exceed 100 subscriptions per 100 inhabitants in most of them, they are still significantly lower in the Asia-Pacific and Africa regions. </w:t>
      </w:r>
    </w:p>
    <w:p w:rsidR="00860A46" w:rsidRPr="00706E86" w:rsidRDefault="00860A46">
      <w:pPr>
        <w:pStyle w:val="NoSpacing"/>
        <w:rPr>
          <w:rFonts w:asciiTheme="minorHAnsi" w:hAnsiTheme="minorHAnsi"/>
          <w:sz w:val="22"/>
          <w:szCs w:val="22"/>
        </w:rPr>
      </w:pPr>
    </w:p>
    <w:p w:rsidR="00860A46" w:rsidRPr="00706E86" w:rsidRDefault="00860A46">
      <w:pPr>
        <w:pStyle w:val="NoSpacing"/>
        <w:rPr>
          <w:rFonts w:asciiTheme="minorHAnsi" w:hAnsiTheme="minorHAnsi" w:cstheme="minorBidi"/>
          <w:sz w:val="22"/>
          <w:szCs w:val="22"/>
        </w:rPr>
      </w:pPr>
      <w:r w:rsidRPr="00706E86">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706E86">
        <w:rPr>
          <w:rFonts w:asciiTheme="minorHAnsi" w:hAnsiTheme="minorHAnsi"/>
          <w:sz w:val="22"/>
          <w:szCs w:val="22"/>
        </w:rPr>
        <w:t>.</w:t>
      </w:r>
    </w:p>
    <w:p w:rsidR="00860A46" w:rsidRPr="00706E86" w:rsidRDefault="00860A46" w:rsidP="004F5D63">
      <w:pPr>
        <w:pStyle w:val="NoSpacing"/>
        <w:rPr>
          <w:rFonts w:asciiTheme="minorHAnsi" w:hAnsiTheme="minorHAnsi" w:cstheme="minorBidi"/>
          <w:sz w:val="22"/>
          <w:szCs w:val="22"/>
        </w:rPr>
      </w:pPr>
    </w:p>
    <w:p w:rsidR="00B30C10" w:rsidRPr="00706E86" w:rsidRDefault="00B30C10" w:rsidP="004F5D63">
      <w:pPr>
        <w:pStyle w:val="NoSpacing"/>
        <w:rPr>
          <w:rFonts w:asciiTheme="minorHAnsi" w:hAnsiTheme="minorHAnsi" w:cstheme="minorBidi"/>
          <w:sz w:val="22"/>
          <w:szCs w:val="22"/>
        </w:rPr>
      </w:pPr>
      <w:r w:rsidRPr="00706E86">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rsidR="00860A46" w:rsidRPr="000B1449" w:rsidRDefault="00860A46" w:rsidP="00B30C10">
      <w:pPr>
        <w:pStyle w:val="Default"/>
        <w:rPr>
          <w:rFonts w:asciiTheme="minorHAnsi" w:hAnsiTheme="minorHAnsi" w:cstheme="minorBidi"/>
          <w:color w:val="auto"/>
          <w:sz w:val="22"/>
          <w:szCs w:val="22"/>
          <w:lang w:val="en-GB"/>
        </w:rPr>
      </w:pPr>
    </w:p>
    <w:p w:rsidR="00B30C10" w:rsidRPr="000B1449" w:rsidRDefault="00B30C10" w:rsidP="00B30C10">
      <w:pPr>
        <w:autoSpaceDE w:val="0"/>
        <w:autoSpaceDN w:val="0"/>
        <w:adjustRightInd w:val="0"/>
        <w:rPr>
          <w:rFonts w:asciiTheme="minorHAnsi" w:hAnsiTheme="minorHAnsi"/>
          <w:color w:val="202022"/>
          <w:szCs w:val="22"/>
          <w:lang w:val="en-GB"/>
        </w:rPr>
      </w:pPr>
    </w:p>
    <w:p w:rsidR="00B30C10" w:rsidRPr="000B1449" w:rsidRDefault="00B30C10" w:rsidP="004F5D63">
      <w:pPr>
        <w:pStyle w:val="ListParagraph"/>
        <w:numPr>
          <w:ilvl w:val="0"/>
          <w:numId w:val="22"/>
        </w:numPr>
        <w:autoSpaceDE w:val="0"/>
        <w:autoSpaceDN w:val="0"/>
        <w:adjustRightInd w:val="0"/>
        <w:contextualSpacing/>
        <w:rPr>
          <w:rFonts w:asciiTheme="minorHAnsi" w:hAnsiTheme="minorHAnsi"/>
          <w:b/>
          <w:bCs/>
          <w:color w:val="202022"/>
          <w:szCs w:val="22"/>
          <w:lang w:val="en-GB"/>
        </w:rPr>
      </w:pPr>
      <w:r w:rsidRPr="000B1449">
        <w:rPr>
          <w:rFonts w:asciiTheme="minorHAnsi" w:hAnsiTheme="minorHAnsi"/>
          <w:b/>
          <w:bCs/>
          <w:color w:val="202022"/>
          <w:szCs w:val="22"/>
          <w:lang w:val="en-GB"/>
        </w:rPr>
        <w:t>The identification of gaps, areas requiring urgent attention, risks and challenges:</w:t>
      </w:r>
    </w:p>
    <w:p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i/>
          <w:iCs/>
          <w:sz w:val="22"/>
          <w:szCs w:val="22"/>
          <w:lang w:val="en-GB"/>
        </w:rPr>
        <w:t xml:space="preserve">Access and use of Information and Communication Technologies </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B30C10">
      <w:pPr>
        <w:pStyle w:val="NoSpacing"/>
        <w:rPr>
          <w:rFonts w:asciiTheme="minorHAnsi" w:hAnsiTheme="minorHAnsi"/>
          <w:sz w:val="22"/>
          <w:szCs w:val="22"/>
        </w:rPr>
      </w:pPr>
      <w:r w:rsidRPr="000B1449">
        <w:rPr>
          <w:rFonts w:asciiTheme="minorHAnsi" w:hAnsiTheme="minorHAnsi"/>
          <w:sz w:val="22"/>
          <w:szCs w:val="22"/>
        </w:rPr>
        <w:t>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enter the digital world. Affordability is the main barrier to mobile uptake. The mobile device is the main cost barrier along with, to a lesser extent, credit recharge.</w:t>
      </w:r>
    </w:p>
    <w:p w:rsidR="00B30C10" w:rsidRPr="000B1449" w:rsidRDefault="00B30C10" w:rsidP="00B30C10">
      <w:pPr>
        <w:pStyle w:val="NoSpacing"/>
        <w:rPr>
          <w:rFonts w:asciiTheme="minorHAnsi" w:hAnsiTheme="minorHAnsi"/>
          <w:sz w:val="22"/>
          <w:szCs w:val="22"/>
        </w:rPr>
      </w:pPr>
    </w:p>
    <w:p w:rsidR="00B30C10" w:rsidRPr="000B1449" w:rsidRDefault="00B30C10" w:rsidP="00B30C10">
      <w:pPr>
        <w:pStyle w:val="Default"/>
        <w:rPr>
          <w:rFonts w:asciiTheme="minorHAnsi" w:hAnsiTheme="minorHAnsi"/>
          <w:b/>
          <w:bCs/>
          <w:color w:val="auto"/>
          <w:sz w:val="22"/>
          <w:szCs w:val="22"/>
          <w:lang w:val="en-GB"/>
        </w:rPr>
      </w:pPr>
      <w:r w:rsidRPr="000B1449">
        <w:rPr>
          <w:rFonts w:asciiTheme="minorHAnsi" w:hAnsiTheme="minorHAnsi"/>
          <w:b/>
          <w:bCs/>
          <w:i/>
          <w:iCs/>
          <w:color w:val="auto"/>
          <w:sz w:val="22"/>
          <w:szCs w:val="22"/>
          <w:lang w:val="en-GB"/>
        </w:rPr>
        <w:t xml:space="preserve">Affordability of ICTs </w:t>
      </w:r>
    </w:p>
    <w:p w:rsidR="00B30C10" w:rsidRPr="000B1449" w:rsidRDefault="00B30C10" w:rsidP="00B30C10">
      <w:pPr>
        <w:pStyle w:val="Default"/>
        <w:rPr>
          <w:rFonts w:asciiTheme="minorHAnsi" w:hAnsiTheme="minorHAnsi"/>
          <w:color w:val="auto"/>
          <w:sz w:val="22"/>
          <w:szCs w:val="22"/>
          <w:lang w:val="en-GB"/>
        </w:rPr>
      </w:pPr>
    </w:p>
    <w:p w:rsidR="00B30C10" w:rsidRPr="000B1449" w:rsidRDefault="00B30C10" w:rsidP="00F709B0">
      <w:pPr>
        <w:pStyle w:val="Default"/>
        <w:rPr>
          <w:rFonts w:asciiTheme="minorHAnsi" w:hAnsiTheme="minorHAnsi"/>
          <w:color w:val="auto"/>
          <w:sz w:val="22"/>
          <w:szCs w:val="22"/>
          <w:lang w:val="en-GB"/>
        </w:rPr>
      </w:pPr>
      <w:r w:rsidRPr="000B1449">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p>
    <w:p w:rsidR="00860A46" w:rsidRPr="000B1449" w:rsidRDefault="00860A46">
      <w:pPr>
        <w:pStyle w:val="Default"/>
        <w:rPr>
          <w:rFonts w:asciiTheme="minorHAnsi" w:hAnsiTheme="minorHAnsi"/>
          <w:color w:val="auto"/>
          <w:sz w:val="22"/>
          <w:szCs w:val="22"/>
          <w:lang w:val="en-GB"/>
        </w:rPr>
      </w:pPr>
    </w:p>
    <w:p w:rsidR="00B30C10" w:rsidRPr="000B1449" w:rsidRDefault="00B30C10" w:rsidP="00B30C10">
      <w:pPr>
        <w:pStyle w:val="Default"/>
        <w:rPr>
          <w:rFonts w:asciiTheme="minorHAnsi" w:hAnsiTheme="minorHAnsi"/>
          <w:b/>
          <w:bCs/>
          <w:i/>
          <w:iCs/>
          <w:color w:val="auto"/>
          <w:sz w:val="22"/>
          <w:szCs w:val="22"/>
          <w:lang w:val="en-GB"/>
        </w:rPr>
      </w:pPr>
      <w:r w:rsidRPr="000B1449">
        <w:rPr>
          <w:rFonts w:asciiTheme="minorHAnsi" w:hAnsiTheme="minorHAnsi"/>
          <w:b/>
          <w:bCs/>
          <w:i/>
          <w:iCs/>
          <w:color w:val="auto"/>
          <w:sz w:val="22"/>
          <w:szCs w:val="22"/>
          <w:lang w:val="en-GB"/>
        </w:rPr>
        <w:t xml:space="preserve">The gender digital divide </w:t>
      </w:r>
    </w:p>
    <w:p w:rsidR="00B30C10" w:rsidRPr="000B1449" w:rsidRDefault="00B30C10" w:rsidP="00B30C10">
      <w:pPr>
        <w:pStyle w:val="Default"/>
        <w:rPr>
          <w:rFonts w:asciiTheme="minorHAnsi" w:hAnsiTheme="minorHAnsi"/>
          <w:color w:val="auto"/>
          <w:sz w:val="22"/>
          <w:szCs w:val="22"/>
          <w:lang w:val="en-GB"/>
        </w:rPr>
      </w:pPr>
    </w:p>
    <w:p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B1449">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rsidR="00B30C10" w:rsidRPr="000B1449" w:rsidRDefault="00B30C10" w:rsidP="00B30C10">
      <w:pPr>
        <w:pStyle w:val="Default"/>
        <w:rPr>
          <w:rFonts w:asciiTheme="minorHAnsi" w:hAnsiTheme="minorHAnsi" w:cstheme="minorBidi"/>
          <w:color w:val="auto"/>
          <w:sz w:val="22"/>
          <w:szCs w:val="22"/>
          <w:lang w:val="en-GB"/>
        </w:rPr>
      </w:pPr>
    </w:p>
    <w:p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rsidR="00B30C10" w:rsidRPr="000B1449" w:rsidRDefault="00B30C10" w:rsidP="00B30C10">
      <w:pPr>
        <w:pStyle w:val="Default"/>
        <w:rPr>
          <w:rFonts w:asciiTheme="minorHAnsi" w:hAnsiTheme="minorHAnsi"/>
          <w:i/>
          <w:iCs/>
          <w:color w:val="auto"/>
          <w:sz w:val="22"/>
          <w:szCs w:val="22"/>
          <w:lang w:val="en-GB"/>
        </w:rPr>
      </w:pPr>
    </w:p>
    <w:p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sz w:val="22"/>
          <w:szCs w:val="22"/>
          <w:lang w:val="en-GB"/>
        </w:rPr>
        <w:t xml:space="preserve">Cybersecurity </w:t>
      </w:r>
    </w:p>
    <w:p w:rsidR="00B30C10" w:rsidRPr="000B1449" w:rsidRDefault="00B30C10" w:rsidP="00B30C10">
      <w:pPr>
        <w:pStyle w:val="Default"/>
        <w:rPr>
          <w:rFonts w:asciiTheme="minorHAnsi" w:hAnsiTheme="minorHAnsi"/>
          <w:sz w:val="22"/>
          <w:szCs w:val="22"/>
          <w:lang w:val="en-GB"/>
        </w:rPr>
      </w:pPr>
    </w:p>
    <w:p w:rsidR="00271F2F" w:rsidRPr="000B1449" w:rsidRDefault="00B30C10">
      <w:pPr>
        <w:pStyle w:val="Default"/>
        <w:rPr>
          <w:rFonts w:asciiTheme="minorHAnsi" w:hAnsiTheme="minorHAnsi"/>
          <w:sz w:val="22"/>
          <w:szCs w:val="22"/>
          <w:lang w:val="en-GB"/>
        </w:rPr>
      </w:pPr>
      <w:r w:rsidRPr="000B1449">
        <w:rPr>
          <w:rFonts w:asciiTheme="minorHAnsi" w:hAnsiTheme="minorHAnsi"/>
          <w:sz w:val="22"/>
          <w:szCs w:val="22"/>
          <w:lang w:val="en-GB"/>
        </w:rPr>
        <w:t>With ICTs increasingly underpinning a broad range of human activities, modern societies have developed a growing dependency on ICTs in their daily operations and management of critical infrastructure. However, this creates risks that need to be managed at all levels – national, regional and international.</w:t>
      </w:r>
      <w:r w:rsidR="00271F2F" w:rsidRPr="000B1449">
        <w:rPr>
          <w:rFonts w:asciiTheme="minorHAnsi" w:hAnsiTheme="minorHAnsi"/>
          <w:sz w:val="22"/>
          <w:szCs w:val="22"/>
          <w:lang w:val="en-GB"/>
        </w:rPr>
        <w:t xml:space="preserve"> </w:t>
      </w:r>
    </w:p>
    <w:p w:rsidR="00271F2F" w:rsidRPr="000B1449" w:rsidRDefault="00271F2F">
      <w:pPr>
        <w:pStyle w:val="Default"/>
        <w:rPr>
          <w:rFonts w:asciiTheme="minorHAnsi" w:hAnsiTheme="minorHAnsi"/>
          <w:sz w:val="22"/>
          <w:szCs w:val="22"/>
          <w:lang w:val="en-GB"/>
        </w:rPr>
      </w:pPr>
    </w:p>
    <w:p w:rsidR="00B30C10" w:rsidRPr="000B1449" w:rsidRDefault="00271F2F">
      <w:pPr>
        <w:pStyle w:val="Default"/>
        <w:rPr>
          <w:rFonts w:asciiTheme="minorHAnsi" w:hAnsiTheme="minorHAnsi"/>
          <w:sz w:val="22"/>
          <w:szCs w:val="22"/>
          <w:lang w:val="en-GB"/>
        </w:rPr>
      </w:pPr>
      <w:r w:rsidRPr="000B1449">
        <w:rPr>
          <w:rFonts w:asciiTheme="minorHAnsi" w:hAnsiTheme="minorHAnsi"/>
          <w:sz w:val="22"/>
          <w:szCs w:val="22"/>
          <w:lang w:val="en-GB"/>
        </w:rPr>
        <w:t>W</w:t>
      </w:r>
      <w:r w:rsidR="00B30C10" w:rsidRPr="000B1449">
        <w:rPr>
          <w:rFonts w:asciiTheme="minorHAnsi" w:hAnsiTheme="minorHAnsi"/>
          <w:sz w:val="22"/>
          <w:szCs w:val="22"/>
          <w:lang w:val="en-GB"/>
        </w:rPr>
        <w:t xml:space="preserve">ithout ensuring confidence and security in the use of ICTs, </w:t>
      </w:r>
      <w:r w:rsidRPr="000B1449">
        <w:rPr>
          <w:rFonts w:asciiTheme="minorHAnsi" w:hAnsiTheme="minorHAnsi"/>
          <w:sz w:val="22"/>
          <w:szCs w:val="22"/>
          <w:lang w:val="en-GB"/>
        </w:rPr>
        <w:t>the</w:t>
      </w:r>
      <w:r w:rsidR="00B30C10" w:rsidRPr="000B1449">
        <w:rPr>
          <w:rFonts w:asciiTheme="minorHAnsi" w:hAnsiTheme="minorHAnsi"/>
          <w:sz w:val="22"/>
          <w:szCs w:val="22"/>
          <w:lang w:val="en-GB"/>
        </w:rPr>
        <w:t xml:space="preserve"> lack of trust c</w:t>
      </w:r>
      <w:r w:rsidRPr="000B1449">
        <w:rPr>
          <w:rFonts w:asciiTheme="minorHAnsi" w:hAnsiTheme="minorHAnsi"/>
          <w:sz w:val="22"/>
          <w:szCs w:val="22"/>
          <w:lang w:val="en-GB"/>
        </w:rPr>
        <w:t>an</w:t>
      </w:r>
      <w:r w:rsidR="00B30C10" w:rsidRPr="000B1449">
        <w:rPr>
          <w:rFonts w:asciiTheme="minorHAnsi" w:hAnsiTheme="minorHAnsi"/>
          <w:sz w:val="22"/>
          <w:szCs w:val="22"/>
          <w:lang w:val="en-GB"/>
        </w:rPr>
        <w:t xml:space="preserve"> hinder the adoption of ICTs and minimize their positive impact in countries’ development process. </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Valuable lessons learned on eradicating poverty and promoting prosperity:</w:t>
      </w:r>
      <w:r w:rsidRPr="000B1449">
        <w:rPr>
          <w:rFonts w:asciiTheme="minorHAnsi" w:hAnsiTheme="minorHAnsi"/>
          <w:b/>
          <w:bCs/>
          <w:color w:val="202022"/>
          <w:szCs w:val="22"/>
          <w:lang w:val="en-GB"/>
        </w:rPr>
        <w:br/>
      </w:r>
    </w:p>
    <w:p w:rsidR="0034227B" w:rsidRPr="000B1449" w:rsidRDefault="0034227B" w:rsidP="004F5D63">
      <w:pPr>
        <w:pStyle w:val="NoSpacing"/>
        <w:rPr>
          <w:rFonts w:asciiTheme="minorHAnsi" w:hAnsiTheme="minorHAnsi"/>
          <w:sz w:val="22"/>
          <w:szCs w:val="22"/>
        </w:rPr>
      </w:pPr>
      <w:r w:rsidRPr="000B1449">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rsidR="0034227B" w:rsidRPr="000B1449" w:rsidRDefault="0034227B" w:rsidP="00B30C10">
      <w:pPr>
        <w:pStyle w:val="NoSpacing"/>
        <w:rPr>
          <w:rFonts w:asciiTheme="minorHAnsi" w:hAnsiTheme="minorHAnsi" w:cs="Calibri"/>
          <w:color w:val="000000"/>
          <w:sz w:val="22"/>
          <w:szCs w:val="22"/>
        </w:rPr>
      </w:pPr>
    </w:p>
    <w:p w:rsidR="00B30C10" w:rsidRPr="000B1449" w:rsidRDefault="00B30C10" w:rsidP="00F709B0">
      <w:pPr>
        <w:pStyle w:val="NoSpacing"/>
        <w:rPr>
          <w:rFonts w:asciiTheme="minorHAnsi" w:hAnsiTheme="minorHAnsi"/>
          <w:sz w:val="22"/>
          <w:szCs w:val="22"/>
        </w:rPr>
      </w:pPr>
      <w:r w:rsidRPr="000B1449">
        <w:rPr>
          <w:rFonts w:asciiTheme="minorHAnsi" w:hAnsiTheme="minorHAnsi" w:cs="Calibri"/>
          <w:color w:val="000000"/>
          <w:sz w:val="22"/>
          <w:szCs w:val="22"/>
        </w:rPr>
        <w:t>Today,</w:t>
      </w:r>
      <w:r w:rsidR="00472B70" w:rsidRPr="000B1449">
        <w:rPr>
          <w:rFonts w:asciiTheme="minorHAnsi" w:hAnsiTheme="minorHAnsi" w:cs="Calibri"/>
          <w:color w:val="000000"/>
          <w:sz w:val="22"/>
          <w:szCs w:val="22"/>
        </w:rPr>
        <w:t xml:space="preserve"> more than</w:t>
      </w:r>
      <w:r w:rsidR="00706E86" w:rsidRPr="00706E86">
        <w:rPr>
          <w:rFonts w:asciiTheme="minorHAnsi" w:hAnsiTheme="minorHAnsi" w:cs="Calibri"/>
          <w:color w:val="000000"/>
          <w:sz w:val="22"/>
          <w:szCs w:val="22"/>
        </w:rPr>
        <w:t xml:space="preserve"> </w:t>
      </w:r>
      <w:r w:rsidRPr="000B1449">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B1449">
        <w:rPr>
          <w:rFonts w:asciiTheme="minorHAnsi" w:hAnsiTheme="minorHAnsi"/>
          <w:sz w:val="22"/>
          <w:szCs w:val="22"/>
        </w:rPr>
        <w:t xml:space="preserve">In telecommunications, the marginal costs of connecting the last subscribers to be connected escalate quickly, as these include people living in remote and hard-to-reach areas. The key to unlocking UAS lies in innovative investment and partnership solutions to connect the last 5-10% of subscribers. </w:t>
      </w:r>
    </w:p>
    <w:p w:rsidR="00B30C10" w:rsidRPr="000B1449" w:rsidRDefault="00B30C10" w:rsidP="00B30C10">
      <w:pPr>
        <w:pStyle w:val="NoSpacing"/>
        <w:rPr>
          <w:rFonts w:asciiTheme="minorHAnsi" w:hAnsiTheme="minorHAnsi"/>
          <w:sz w:val="22"/>
          <w:szCs w:val="22"/>
        </w:rPr>
      </w:pPr>
    </w:p>
    <w:p w:rsidR="00B30C10" w:rsidRPr="000B1449" w:rsidRDefault="00B30C10" w:rsidP="00B30C10">
      <w:pPr>
        <w:rPr>
          <w:rFonts w:asciiTheme="minorHAnsi" w:hAnsiTheme="minorHAnsi"/>
          <w:szCs w:val="22"/>
          <w:lang w:val="en-GB"/>
        </w:rPr>
      </w:pPr>
      <w:r w:rsidRPr="000B1449">
        <w:rPr>
          <w:rFonts w:asciiTheme="minorHAnsi" w:hAnsiTheme="minorHAnsi"/>
          <w:szCs w:val="22"/>
          <w:lang w:val="en-GB"/>
        </w:rPr>
        <w:t>A</w:t>
      </w:r>
      <w:r w:rsidRPr="000B1449">
        <w:rPr>
          <w:rFonts w:asciiTheme="minorHAnsi" w:eastAsia="Malgun Gothic" w:hAnsiTheme="minorHAnsi"/>
          <w:szCs w:val="22"/>
          <w:lang w:val="en-GB" w:eastAsia="en-US"/>
        </w:rPr>
        <w:t xml:space="preserve">ffordable access and availability of communications services requires an interplay between interdependent elements, including cross-sectoral collaboration focusing on supply as well as demand-side measures. </w:t>
      </w:r>
      <w:r w:rsidRPr="000B1449">
        <w:rPr>
          <w:rFonts w:asciiTheme="minorHAnsi" w:hAnsiTheme="minorHAnsi"/>
          <w:szCs w:val="22"/>
          <w:lang w:val="en-GB"/>
        </w:rPr>
        <w:t xml:space="preserve">According to ITU data, </w:t>
      </w:r>
      <w:r w:rsidRPr="000B1449">
        <w:rPr>
          <w:rFonts w:asciiTheme="minorHAnsi" w:eastAsia="Malgun Gothic" w:hAnsiTheme="minorHAnsi"/>
          <w:szCs w:val="22"/>
          <w:lang w:val="en-GB" w:eastAsia="en-US"/>
        </w:rPr>
        <w:t>75 percent of ITU Member States have some kind of UAS policy and regulations in place</w:t>
      </w:r>
      <w:r w:rsidRPr="000B1449">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rsidR="00F709B0" w:rsidRPr="000B1449" w:rsidRDefault="00F709B0" w:rsidP="004F5D63">
      <w:pPr>
        <w:pStyle w:val="Default"/>
        <w:rPr>
          <w:rFonts w:asciiTheme="minorHAnsi" w:hAnsiTheme="minorHAnsi" w:cstheme="minorBidi"/>
          <w:color w:val="auto"/>
          <w:sz w:val="22"/>
          <w:szCs w:val="22"/>
          <w:lang w:val="en-GB"/>
        </w:rPr>
      </w:pPr>
    </w:p>
    <w:p w:rsidR="00B30C10" w:rsidRPr="000B1449" w:rsidRDefault="00F709B0" w:rsidP="004F5D63">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rsidR="00F709B0" w:rsidRPr="000B1449" w:rsidRDefault="00F709B0" w:rsidP="00B30C10">
      <w:pPr>
        <w:pStyle w:val="NoSpacing"/>
        <w:rPr>
          <w:rFonts w:asciiTheme="minorHAnsi" w:hAnsiTheme="minorHAnsi"/>
          <w:sz w:val="22"/>
          <w:szCs w:val="22"/>
        </w:rPr>
      </w:pPr>
    </w:p>
    <w:p w:rsidR="00B30C10" w:rsidRPr="000B1449" w:rsidRDefault="00B30C10" w:rsidP="00B30C10">
      <w:pPr>
        <w:pStyle w:val="NoSpacing"/>
        <w:rPr>
          <w:rFonts w:asciiTheme="minorHAnsi" w:hAnsiTheme="minorHAnsi" w:cstheme="minorBidi"/>
          <w:sz w:val="22"/>
          <w:szCs w:val="22"/>
        </w:rPr>
      </w:pPr>
      <w:r w:rsidRPr="000B1449">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rsidR="00235E90" w:rsidRPr="000B1449" w:rsidRDefault="00235E90" w:rsidP="00F709B0">
      <w:pPr>
        <w:pStyle w:val="NoSpacing"/>
        <w:rPr>
          <w:rFonts w:asciiTheme="minorHAnsi" w:hAnsiTheme="minorHAnsi"/>
          <w:sz w:val="22"/>
          <w:szCs w:val="22"/>
        </w:rPr>
      </w:pPr>
    </w:p>
    <w:p w:rsidR="00F709B0" w:rsidRPr="000B1449" w:rsidRDefault="00F709B0" w:rsidP="00F709B0">
      <w:pPr>
        <w:pStyle w:val="NoSpacing"/>
        <w:rPr>
          <w:rFonts w:asciiTheme="minorHAnsi" w:hAnsiTheme="minorHAnsi"/>
          <w:sz w:val="22"/>
          <w:szCs w:val="22"/>
        </w:rPr>
      </w:pPr>
      <w:r w:rsidRPr="000B1449">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rsidR="00F709B0" w:rsidRPr="000B1449" w:rsidRDefault="00F709B0" w:rsidP="00F709B0">
      <w:pPr>
        <w:pStyle w:val="NoSpacing"/>
        <w:rPr>
          <w:rFonts w:asciiTheme="minorHAnsi" w:hAnsiTheme="minorHAnsi"/>
          <w:sz w:val="22"/>
          <w:szCs w:val="22"/>
        </w:rPr>
      </w:pPr>
    </w:p>
    <w:p w:rsidR="00F709B0" w:rsidRPr="000B1449" w:rsidRDefault="00F709B0">
      <w:pPr>
        <w:pStyle w:val="NoSpacing"/>
        <w:rPr>
          <w:rFonts w:asciiTheme="minorHAnsi" w:hAnsiTheme="minorHAnsi"/>
          <w:sz w:val="22"/>
          <w:szCs w:val="22"/>
        </w:rPr>
      </w:pPr>
      <w:r w:rsidRPr="000B1449">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rsidR="00B30C10" w:rsidRPr="000B1449" w:rsidRDefault="00B30C10" w:rsidP="00B30C10">
      <w:pPr>
        <w:pStyle w:val="Default"/>
        <w:ind w:left="360"/>
        <w:rPr>
          <w:rFonts w:asciiTheme="minorHAnsi" w:hAnsiTheme="minorHAnsi" w:cstheme="minorBidi"/>
          <w:color w:val="auto"/>
          <w:sz w:val="22"/>
          <w:szCs w:val="22"/>
          <w:lang w:val="en-GB"/>
        </w:rPr>
      </w:pPr>
    </w:p>
    <w:p w:rsidR="00B30C10" w:rsidRPr="000B1449" w:rsidRDefault="00B30C10" w:rsidP="00B30C10">
      <w:pPr>
        <w:pStyle w:val="NoSpacing"/>
        <w:rPr>
          <w:rFonts w:asciiTheme="minorHAnsi" w:hAnsiTheme="minorHAnsi" w:cs="Arial"/>
          <w:spacing w:val="2"/>
          <w:sz w:val="22"/>
          <w:szCs w:val="22"/>
        </w:rPr>
      </w:pPr>
      <w:r w:rsidRPr="000B1449">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rsidR="00B30C10" w:rsidRPr="000B1449" w:rsidRDefault="00B30C10" w:rsidP="00B30C10">
      <w:pPr>
        <w:pStyle w:val="NoSpacing"/>
        <w:rPr>
          <w:rFonts w:asciiTheme="minorHAnsi" w:hAnsiTheme="minorHAnsi" w:cstheme="minorBidi"/>
          <w:sz w:val="22"/>
          <w:szCs w:val="22"/>
        </w:rPr>
      </w:pPr>
    </w:p>
    <w:p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 xml:space="preserve">Emerging issues likely to affect the realization of poverty eradication and achieving prosperity: </w:t>
      </w:r>
    </w:p>
    <w:p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rsidR="0066437B" w:rsidRPr="000B1449" w:rsidRDefault="0066437B" w:rsidP="0066437B">
      <w:pPr>
        <w:pStyle w:val="Default"/>
        <w:rPr>
          <w:rFonts w:asciiTheme="minorHAnsi" w:hAnsiTheme="minorHAnsi"/>
          <w:b/>
          <w:bCs/>
          <w:sz w:val="22"/>
          <w:szCs w:val="22"/>
          <w:lang w:val="en-GB"/>
        </w:rPr>
      </w:pPr>
      <w:r w:rsidRPr="000B1449">
        <w:rPr>
          <w:rFonts w:asciiTheme="minorHAnsi" w:hAnsiTheme="minorHAnsi"/>
          <w:b/>
          <w:bCs/>
          <w:sz w:val="22"/>
          <w:szCs w:val="22"/>
          <w:lang w:val="en-GB"/>
        </w:rPr>
        <w:t>Digital Financial Services</w:t>
      </w:r>
    </w:p>
    <w:p w:rsidR="0066437B" w:rsidRPr="000B1449" w:rsidRDefault="0066437B" w:rsidP="0066437B">
      <w:pPr>
        <w:pStyle w:val="Default"/>
        <w:rPr>
          <w:rFonts w:asciiTheme="minorHAnsi" w:hAnsiTheme="minorHAnsi"/>
          <w:sz w:val="22"/>
          <w:szCs w:val="22"/>
          <w:lang w:val="en-GB"/>
        </w:rPr>
      </w:pPr>
    </w:p>
    <w:p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rsidR="0066437B" w:rsidRPr="000B1449" w:rsidRDefault="0066437B">
      <w:pPr>
        <w:pStyle w:val="Default"/>
        <w:rPr>
          <w:rFonts w:asciiTheme="minorHAnsi" w:hAnsiTheme="minorHAnsi"/>
          <w:sz w:val="22"/>
          <w:szCs w:val="22"/>
          <w:lang w:val="en-GB"/>
        </w:rPr>
      </w:pPr>
    </w:p>
    <w:p w:rsidR="0066437B" w:rsidRPr="000B1449" w:rsidRDefault="0066437B">
      <w:pPr>
        <w:pStyle w:val="Default"/>
        <w:rPr>
          <w:rFonts w:asciiTheme="minorHAnsi" w:hAnsiTheme="minorHAnsi"/>
          <w:b/>
          <w:bCs/>
          <w:sz w:val="22"/>
          <w:szCs w:val="22"/>
          <w:lang w:val="en-GB"/>
        </w:rPr>
      </w:pPr>
      <w:r w:rsidRPr="000B1449">
        <w:rPr>
          <w:rFonts w:asciiTheme="minorHAnsi" w:hAnsiTheme="minorHAnsi"/>
          <w:b/>
          <w:bCs/>
          <w:sz w:val="22"/>
          <w:szCs w:val="22"/>
          <w:lang w:val="en-GB"/>
        </w:rPr>
        <w:t>Artificial intelligence (AI)</w:t>
      </w:r>
    </w:p>
    <w:p w:rsidR="0066437B" w:rsidRPr="000B1449" w:rsidRDefault="0066437B">
      <w:pPr>
        <w:pStyle w:val="Default"/>
        <w:rPr>
          <w:rFonts w:asciiTheme="minorHAnsi" w:hAnsiTheme="minorHAnsi"/>
          <w:sz w:val="22"/>
          <w:szCs w:val="22"/>
          <w:lang w:val="en-GB"/>
        </w:rPr>
      </w:pPr>
    </w:p>
    <w:p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Artificial </w:t>
      </w:r>
      <w:r w:rsidR="00472B70" w:rsidRPr="000B1449">
        <w:rPr>
          <w:rFonts w:asciiTheme="minorHAnsi" w:hAnsiTheme="minorHAnsi"/>
          <w:sz w:val="22"/>
          <w:szCs w:val="22"/>
          <w:lang w:val="en-GB"/>
        </w:rPr>
        <w:t>I</w:t>
      </w:r>
      <w:r w:rsidRPr="000B1449">
        <w:rPr>
          <w:rFonts w:asciiTheme="minorHAnsi" w:hAnsiTheme="minorHAnsi"/>
          <w:sz w:val="22"/>
          <w:szCs w:val="22"/>
          <w:lang w:val="en-GB"/>
        </w:rPr>
        <w:t>ntelligence</w:t>
      </w:r>
      <w:r w:rsidR="00472B70" w:rsidRPr="000B1449">
        <w:rPr>
          <w:rFonts w:asciiTheme="minorHAnsi" w:hAnsiTheme="minorHAnsi"/>
          <w:sz w:val="22"/>
          <w:szCs w:val="22"/>
          <w:lang w:val="en-GB"/>
        </w:rPr>
        <w:t xml:space="preserve"> (AI</w:t>
      </w:r>
      <w:r w:rsidR="004F5D63" w:rsidRPr="00706E86">
        <w:rPr>
          <w:rFonts w:asciiTheme="minorHAnsi" w:hAnsiTheme="minorHAnsi"/>
          <w:sz w:val="22"/>
          <w:szCs w:val="22"/>
          <w:lang w:val="en-GB"/>
        </w:rPr>
        <w:t>) is</w:t>
      </w:r>
      <w:r w:rsidRPr="000B1449">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B1449">
        <w:rPr>
          <w:rFonts w:asciiTheme="minorHAnsi" w:hAnsiTheme="minorHAnsi"/>
          <w:sz w:val="22"/>
          <w:szCs w:val="22"/>
          <w:lang w:val="en-GB"/>
        </w:rPr>
        <w:t>.</w:t>
      </w:r>
    </w:p>
    <w:p w:rsidR="0066437B" w:rsidRPr="000B1449" w:rsidRDefault="0066437B">
      <w:pPr>
        <w:pStyle w:val="Default"/>
        <w:rPr>
          <w:rFonts w:asciiTheme="minorHAnsi" w:hAnsiTheme="minorHAnsi"/>
          <w:sz w:val="22"/>
          <w:szCs w:val="22"/>
          <w:lang w:val="en-GB"/>
        </w:rPr>
      </w:pPr>
    </w:p>
    <w:p w:rsidR="009E5D6F" w:rsidRPr="000B1449" w:rsidRDefault="00D66914">
      <w:pPr>
        <w:pStyle w:val="Default"/>
        <w:rPr>
          <w:rFonts w:asciiTheme="minorHAnsi" w:hAnsiTheme="minorHAnsi"/>
          <w:b/>
          <w:bCs/>
          <w:sz w:val="22"/>
          <w:szCs w:val="22"/>
          <w:lang w:val="en-GB"/>
        </w:rPr>
      </w:pPr>
      <w:r w:rsidRPr="000B1449">
        <w:rPr>
          <w:rFonts w:asciiTheme="minorHAnsi" w:hAnsiTheme="minorHAnsi"/>
          <w:b/>
          <w:bCs/>
          <w:sz w:val="22"/>
          <w:szCs w:val="22"/>
          <w:lang w:val="en-GB"/>
        </w:rPr>
        <w:t>The Internet of Things (</w:t>
      </w:r>
      <w:proofErr w:type="spellStart"/>
      <w:r w:rsidR="009E5D6F" w:rsidRPr="000B1449">
        <w:rPr>
          <w:rFonts w:asciiTheme="minorHAnsi" w:hAnsiTheme="minorHAnsi"/>
          <w:b/>
          <w:bCs/>
          <w:sz w:val="22"/>
          <w:szCs w:val="22"/>
          <w:lang w:val="en-GB"/>
        </w:rPr>
        <w:t>IoTs</w:t>
      </w:r>
      <w:proofErr w:type="spellEnd"/>
      <w:r w:rsidRPr="000B1449">
        <w:rPr>
          <w:rFonts w:asciiTheme="minorHAnsi" w:hAnsiTheme="minorHAnsi"/>
          <w:b/>
          <w:bCs/>
          <w:sz w:val="22"/>
          <w:szCs w:val="22"/>
          <w:lang w:val="en-GB"/>
        </w:rPr>
        <w:t>)</w:t>
      </w:r>
    </w:p>
    <w:p w:rsidR="009E5D6F" w:rsidRPr="000B1449" w:rsidRDefault="009E5D6F">
      <w:pPr>
        <w:pStyle w:val="Default"/>
        <w:rPr>
          <w:rFonts w:asciiTheme="minorHAnsi" w:hAnsiTheme="minorHAnsi"/>
          <w:b/>
          <w:bCs/>
          <w:sz w:val="22"/>
          <w:szCs w:val="22"/>
          <w:lang w:val="en-GB"/>
        </w:rPr>
      </w:pPr>
    </w:p>
    <w:p w:rsidR="00C66D0B" w:rsidRPr="000B1449" w:rsidRDefault="00C66D0B">
      <w:pPr>
        <w:pStyle w:val="Default"/>
        <w:rPr>
          <w:rFonts w:asciiTheme="minorHAnsi" w:hAnsiTheme="minorHAnsi"/>
          <w:sz w:val="22"/>
          <w:szCs w:val="22"/>
          <w:lang w:val="en-GB"/>
        </w:rPr>
      </w:pPr>
      <w:r w:rsidRPr="000B1449">
        <w:rPr>
          <w:rFonts w:asciiTheme="minorHAnsi" w:hAnsiTheme="minorHAnsi"/>
          <w:sz w:val="22"/>
          <w:szCs w:val="22"/>
          <w:lang w:val="en-GB"/>
        </w:rPr>
        <w:t>The Internet of Things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provide both and opportunity and challenge to </w:t>
      </w:r>
      <w:r w:rsidR="004F5D63" w:rsidRPr="00706E86">
        <w:rPr>
          <w:rFonts w:asciiTheme="minorHAnsi" w:hAnsiTheme="minorHAnsi"/>
          <w:sz w:val="22"/>
          <w:szCs w:val="22"/>
          <w:lang w:val="en-GB"/>
        </w:rPr>
        <w:t>fulfil</w:t>
      </w:r>
      <w:r w:rsidRPr="000B1449">
        <w:rPr>
          <w:rFonts w:asciiTheme="minorHAnsi" w:hAnsiTheme="minorHAnsi"/>
          <w:sz w:val="22"/>
          <w:szCs w:val="22"/>
          <w:lang w:val="en-GB"/>
        </w:rPr>
        <w:t xml:space="preserve"> the expectations of the new global development agenda.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a core set of emerging technologies which have great potential to improve connectivity by connecting smart devices, applications, services, and even people over the Internet network.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can also greatly benefit populations in regions in developing countries: specifically impactful applications of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could facilitate -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is expected to connect an estimated 50 billion devices to the network by year 2020. For the effective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standards are required to enable interoperability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and datasets employed by various vertically oriented industry sectors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systems. </w:t>
      </w:r>
      <w:r w:rsidR="0066437B" w:rsidRPr="000B1449">
        <w:rPr>
          <w:rFonts w:asciiTheme="minorHAnsi" w:hAnsiTheme="minorHAnsi"/>
          <w:sz w:val="22"/>
          <w:szCs w:val="22"/>
          <w:lang w:val="en-GB"/>
        </w:rPr>
        <w:t xml:space="preserve"> </w:t>
      </w:r>
    </w:p>
    <w:p w:rsidR="00231E46" w:rsidRPr="000B1449" w:rsidRDefault="00231E46">
      <w:pPr>
        <w:pStyle w:val="Default"/>
        <w:rPr>
          <w:rFonts w:asciiTheme="minorHAnsi" w:hAnsiTheme="minorHAnsi"/>
          <w:sz w:val="22"/>
          <w:szCs w:val="22"/>
          <w:lang w:val="en-GB"/>
        </w:rPr>
      </w:pPr>
    </w:p>
    <w:p w:rsidR="00B30C10" w:rsidRPr="000B1449" w:rsidRDefault="00B30C10" w:rsidP="00B30C10">
      <w:pPr>
        <w:autoSpaceDE w:val="0"/>
        <w:autoSpaceDN w:val="0"/>
        <w:adjustRightInd w:val="0"/>
        <w:rPr>
          <w:rFonts w:asciiTheme="minorHAnsi" w:hAnsiTheme="minorHAnsi"/>
          <w:color w:val="202022"/>
          <w:szCs w:val="22"/>
          <w:lang w:val="en-GB"/>
        </w:rPr>
      </w:pPr>
    </w:p>
    <w:p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Areas where political guidance by the high-level political forum is required:</w:t>
      </w:r>
    </w:p>
    <w:p w:rsidR="00B30C10" w:rsidRPr="000B1449" w:rsidRDefault="00B30C10" w:rsidP="00B30C10">
      <w:pPr>
        <w:autoSpaceDE w:val="0"/>
        <w:autoSpaceDN w:val="0"/>
        <w:adjustRightInd w:val="0"/>
        <w:rPr>
          <w:rFonts w:asciiTheme="minorHAnsi" w:hAnsiTheme="minorHAnsi"/>
          <w:color w:val="202022"/>
          <w:szCs w:val="22"/>
          <w:lang w:val="en-GB"/>
        </w:rPr>
      </w:pPr>
    </w:p>
    <w:p w:rsidR="00B30C10" w:rsidRPr="000B1449" w:rsidRDefault="0066437B">
      <w:pPr>
        <w:pStyle w:val="Default"/>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T</w:t>
      </w:r>
      <w:r w:rsidR="00B30C10" w:rsidRPr="000B1449">
        <w:rPr>
          <w:rFonts w:asciiTheme="minorHAnsi" w:hAnsiTheme="minorHAnsi"/>
          <w:sz w:val="22"/>
          <w:szCs w:val="22"/>
          <w:lang w:val="en-GB"/>
        </w:rPr>
        <w:t xml:space="preserve">he following key </w:t>
      </w:r>
      <w:r w:rsidR="00231E46" w:rsidRPr="000B1449">
        <w:rPr>
          <w:rFonts w:asciiTheme="minorHAnsi" w:hAnsiTheme="minorHAnsi"/>
          <w:sz w:val="22"/>
          <w:szCs w:val="22"/>
          <w:lang w:val="en-GB"/>
        </w:rPr>
        <w:t xml:space="preserve">areas </w:t>
      </w:r>
      <w:r w:rsidR="00B30C10" w:rsidRPr="000B1449">
        <w:rPr>
          <w:rFonts w:asciiTheme="minorHAnsi" w:hAnsiTheme="minorHAnsi"/>
          <w:sz w:val="22"/>
          <w:szCs w:val="22"/>
          <w:lang w:val="en-GB"/>
        </w:rPr>
        <w:t xml:space="preserve">as a means of promoting access and use of ICTs, and in particular broadband, as a foundation for sustainable development: </w:t>
      </w:r>
    </w:p>
    <w:p w:rsidR="004B6ED5" w:rsidRPr="000B1449" w:rsidRDefault="004B6ED5" w:rsidP="004B6ED5">
      <w:pPr>
        <w:pStyle w:val="Default"/>
        <w:shd w:val="clear" w:color="auto" w:fill="FFFFFF" w:themeFill="background1"/>
        <w:rPr>
          <w:rFonts w:asciiTheme="minorHAnsi" w:hAnsiTheme="minorHAnsi"/>
          <w:sz w:val="22"/>
          <w:szCs w:val="22"/>
          <w:lang w:val="en-GB"/>
        </w:rPr>
      </w:pPr>
    </w:p>
    <w:p w:rsidR="004B6ED5" w:rsidRPr="000B1449" w:rsidRDefault="004B6ED5" w:rsidP="00706E86">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 xml:space="preserve">How to build </w:t>
      </w:r>
      <w:r w:rsidR="00706E86" w:rsidRPr="000B1449">
        <w:rPr>
          <w:rFonts w:asciiTheme="minorHAnsi" w:hAnsiTheme="minorHAnsi"/>
          <w:sz w:val="22"/>
          <w:szCs w:val="22"/>
          <w:lang w:val="en-GB"/>
        </w:rPr>
        <w:t>enabling environment fo</w:t>
      </w:r>
      <w:r w:rsidR="00706E86" w:rsidRPr="00706E86">
        <w:rPr>
          <w:rFonts w:asciiTheme="minorHAnsi" w:hAnsiTheme="minorHAnsi"/>
          <w:sz w:val="22"/>
          <w:szCs w:val="22"/>
          <w:lang w:val="en-GB"/>
        </w:rPr>
        <w:t>r e</w:t>
      </w:r>
      <w:r w:rsidRPr="000B1449">
        <w:rPr>
          <w:rFonts w:asciiTheme="minorHAnsi" w:hAnsiTheme="minorHAnsi"/>
          <w:sz w:val="22"/>
          <w:szCs w:val="22"/>
          <w:lang w:val="en-GB"/>
        </w:rPr>
        <w:t>ffective public/private partnerships</w:t>
      </w:r>
      <w:r w:rsidR="007A0ED9" w:rsidRPr="000B1449">
        <w:rPr>
          <w:rFonts w:asciiTheme="minorHAnsi" w:hAnsiTheme="minorHAnsi"/>
          <w:sz w:val="22"/>
          <w:szCs w:val="22"/>
          <w:lang w:val="en-GB"/>
        </w:rPr>
        <w:t xml:space="preserve"> for financing and investment in ICT infrastructure and upgrading</w:t>
      </w:r>
      <w:r w:rsidRPr="000B1449">
        <w:rPr>
          <w:rFonts w:asciiTheme="minorHAnsi" w:hAnsiTheme="minorHAnsi"/>
          <w:sz w:val="22"/>
          <w:szCs w:val="22"/>
          <w:lang w:val="en-GB"/>
        </w:rPr>
        <w:t>;</w:t>
      </w:r>
    </w:p>
    <w:p w:rsidR="004B6ED5"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How to recognise and harness the role of ICTs as cross-cutting enablers for sustainable development;</w:t>
      </w:r>
    </w:p>
    <w:p w:rsidR="007A0ED9"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Closing the digital divides, including the gender divide</w:t>
      </w:r>
      <w:r w:rsidR="007A0ED9" w:rsidRPr="000B1449">
        <w:rPr>
          <w:rFonts w:asciiTheme="minorHAnsi" w:hAnsiTheme="minorHAnsi"/>
          <w:sz w:val="22"/>
          <w:szCs w:val="22"/>
          <w:lang w:val="en-GB"/>
        </w:rPr>
        <w:t xml:space="preserve"> </w:t>
      </w:r>
    </w:p>
    <w:p w:rsidR="007A0ED9" w:rsidRPr="000B1449" w:rsidRDefault="007A0ED9"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Prioritization ICT/Broadband and the Internet as a global public utility.  ICTs need to be on par with roads, bridges and other basic services and utilities, as recognized in the Istanbul Programme of Action for Least Developed Countries and SDG9 Target 9.c</w:t>
      </w:r>
      <w:r w:rsidR="00706E86" w:rsidRPr="00706E86">
        <w:rPr>
          <w:rFonts w:asciiTheme="minorHAnsi" w:hAnsiTheme="minorHAnsi"/>
          <w:sz w:val="22"/>
          <w:szCs w:val="22"/>
          <w:lang w:val="en-GB"/>
        </w:rPr>
        <w:t>.</w:t>
      </w:r>
    </w:p>
    <w:p w:rsidR="004B6ED5" w:rsidRPr="000B1449" w:rsidRDefault="004B6ED5" w:rsidP="004F5D63">
      <w:pPr>
        <w:pStyle w:val="Default"/>
        <w:shd w:val="clear" w:color="auto" w:fill="FFFFFF" w:themeFill="background1"/>
        <w:ind w:left="720"/>
        <w:rPr>
          <w:rFonts w:asciiTheme="minorHAnsi" w:hAnsiTheme="minorHAnsi"/>
          <w:sz w:val="22"/>
          <w:szCs w:val="22"/>
          <w:lang w:val="en-GB"/>
        </w:rPr>
      </w:pPr>
    </w:p>
    <w:p w:rsidR="00B30C10" w:rsidRPr="000B1449" w:rsidRDefault="00B30C10" w:rsidP="00BB0A22">
      <w:pPr>
        <w:pStyle w:val="ListParagraph"/>
        <w:keepNext/>
        <w:keepLines/>
        <w:numPr>
          <w:ilvl w:val="0"/>
          <w:numId w:val="22"/>
        </w:numPr>
        <w:autoSpaceDE w:val="0"/>
        <w:autoSpaceDN w:val="0"/>
        <w:adjustRightInd w:val="0"/>
        <w:ind w:left="567" w:hanging="567"/>
        <w:contextualSpacing/>
        <w:rPr>
          <w:rFonts w:asciiTheme="minorHAnsi" w:eastAsiaTheme="minorEastAsia" w:hAnsiTheme="minorHAnsi" w:cstheme="minorBidi"/>
          <w:b/>
          <w:bCs/>
          <w:color w:val="202022"/>
          <w:szCs w:val="22"/>
          <w:lang w:val="en-GB"/>
        </w:rPr>
      </w:pPr>
      <w:r w:rsidRPr="000B1449">
        <w:rPr>
          <w:rFonts w:asciiTheme="minorHAnsi" w:hAnsiTheme="minorHAnsi"/>
          <w:b/>
          <w:bCs/>
          <w:color w:val="202022"/>
          <w:szCs w:val="22"/>
          <w:lang w:val="en-GB"/>
        </w:rPr>
        <w:t>Policy recommendations on ways to accelerate progress in poverty eradication:</w:t>
      </w:r>
    </w:p>
    <w:p w:rsidR="00B30C10" w:rsidRPr="000B1449" w:rsidRDefault="00B30C10" w:rsidP="00BB0A22">
      <w:pPr>
        <w:keepNext/>
        <w:keepLines/>
        <w:autoSpaceDE w:val="0"/>
        <w:autoSpaceDN w:val="0"/>
        <w:adjustRightInd w:val="0"/>
        <w:rPr>
          <w:rFonts w:asciiTheme="minorHAnsi" w:hAnsiTheme="minorHAnsi"/>
          <w:b/>
          <w:bCs/>
          <w:color w:val="202022"/>
          <w:szCs w:val="22"/>
          <w:lang w:val="en-GB"/>
        </w:rPr>
      </w:pPr>
    </w:p>
    <w:p w:rsidR="0098049C" w:rsidRPr="000B1449" w:rsidRDefault="0098049C" w:rsidP="00BB0A22">
      <w:pPr>
        <w:keepNext/>
        <w:keepLines/>
        <w:rPr>
          <w:rFonts w:asciiTheme="minorHAnsi" w:hAnsiTheme="minorHAnsi"/>
          <w:szCs w:val="22"/>
          <w:lang w:val="en-GB"/>
        </w:rPr>
      </w:pPr>
      <w:r w:rsidRPr="000B1449">
        <w:rPr>
          <w:rFonts w:asciiTheme="minorHAnsi" w:hAnsiTheme="minorHAnsi"/>
          <w:szCs w:val="22"/>
          <w:lang w:val="en-GB"/>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rsidR="0098049C" w:rsidRPr="00BB0A22" w:rsidRDefault="0098049C" w:rsidP="0098049C">
      <w:pPr>
        <w:autoSpaceDE w:val="0"/>
        <w:autoSpaceDN w:val="0"/>
        <w:adjustRightInd w:val="0"/>
        <w:rPr>
          <w:rStyle w:val="Hyperlink"/>
          <w:rFonts w:asciiTheme="minorHAnsi" w:hAnsiTheme="minorHAnsi"/>
          <w:bCs/>
          <w:color w:val="auto"/>
          <w:szCs w:val="22"/>
          <w:lang w:val="en-GB"/>
        </w:rPr>
      </w:pPr>
    </w:p>
    <w:p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eastAsia="Malgun Gothic" w:hAnsiTheme="minorHAnsi" w:cs="Times New Roman"/>
          <w:sz w:val="22"/>
          <w:szCs w:val="22"/>
          <w:lang w:val="en-GB" w:eastAsia="en-US"/>
        </w:rPr>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rsidR="0098049C" w:rsidRPr="000B1449" w:rsidRDefault="0098049C" w:rsidP="004F5D63">
      <w:pPr>
        <w:pStyle w:val="Default"/>
        <w:rPr>
          <w:rFonts w:asciiTheme="minorHAnsi" w:hAnsiTheme="minorHAnsi"/>
          <w:sz w:val="22"/>
          <w:szCs w:val="22"/>
          <w:lang w:val="en-GB"/>
        </w:rPr>
      </w:pPr>
    </w:p>
    <w:p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0B1449">
        <w:rPr>
          <w:rFonts w:asciiTheme="minorHAnsi" w:eastAsia="Malgun Gothic" w:hAnsiTheme="minorHAnsi" w:cs="Times New Roman"/>
          <w:sz w:val="22"/>
          <w:szCs w:val="22"/>
          <w:lang w:val="en-GB" w:eastAsia="en-US"/>
        </w:rPr>
        <w:t>From the supply side, predictable and stable regulations are needed to maintain effective competition and drive the dev</w:t>
      </w:r>
      <w:r w:rsidR="007A0ED9" w:rsidRPr="000B1449">
        <w:rPr>
          <w:rFonts w:asciiTheme="minorHAnsi" w:eastAsia="Malgun Gothic" w:hAnsiTheme="minorHAnsi" w:cs="Times New Roman"/>
          <w:sz w:val="22"/>
          <w:szCs w:val="22"/>
          <w:lang w:val="en-GB" w:eastAsia="en-US"/>
        </w:rPr>
        <w:t>elopment of innovative services; the availability of</w:t>
      </w:r>
      <w:r w:rsidRPr="000B1449">
        <w:rPr>
          <w:rFonts w:asciiTheme="minorHAnsi" w:eastAsia="Malgun Gothic" w:hAnsiTheme="minorHAnsi" w:cs="Times New Roman"/>
          <w:sz w:val="22"/>
          <w:szCs w:val="22"/>
          <w:lang w:val="en-GB" w:eastAsia="en-US"/>
        </w:rPr>
        <w:t xml:space="preserve"> </w:t>
      </w:r>
      <w:r w:rsidR="007A0ED9" w:rsidRPr="000B1449">
        <w:rPr>
          <w:rFonts w:asciiTheme="minorHAnsi" w:hAnsiTheme="minorHAnsi"/>
          <w:sz w:val="22"/>
          <w:szCs w:val="22"/>
          <w:lang w:val="en-GB"/>
        </w:rPr>
        <w:t>relevant digital content, including in local languages</w:t>
      </w:r>
    </w:p>
    <w:p w:rsidR="0098049C" w:rsidRPr="000B1449" w:rsidRDefault="0098049C" w:rsidP="004F5D63">
      <w:pPr>
        <w:pStyle w:val="Default"/>
        <w:rPr>
          <w:rFonts w:asciiTheme="minorHAnsi" w:eastAsia="Malgun Gothic" w:hAnsiTheme="minorHAnsi" w:cs="Times New Roman"/>
          <w:sz w:val="22"/>
          <w:szCs w:val="22"/>
          <w:lang w:val="en-GB" w:eastAsia="en-US"/>
        </w:rPr>
      </w:pPr>
    </w:p>
    <w:p w:rsidR="0098049C" w:rsidRPr="000B1449" w:rsidRDefault="0098049C" w:rsidP="004F5D63">
      <w:pPr>
        <w:rPr>
          <w:rFonts w:asciiTheme="minorHAnsi" w:eastAsia="Malgun Gothic" w:hAnsiTheme="minorHAnsi"/>
          <w:szCs w:val="22"/>
          <w:lang w:val="en-GB" w:eastAsia="en-US"/>
        </w:rPr>
      </w:pPr>
      <w:r w:rsidRPr="000B1449">
        <w:rPr>
          <w:rFonts w:asciiTheme="minorHAnsi" w:eastAsia="Malgun Gothic" w:hAnsiTheme="minorHAnsi"/>
          <w:szCs w:val="22"/>
          <w:lang w:val="en-GB" w:eastAsia="en-US"/>
        </w:rPr>
        <w:t xml:space="preserve">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r w:rsidR="007A0ED9" w:rsidRPr="000B1449">
        <w:rPr>
          <w:rFonts w:asciiTheme="minorHAnsi" w:eastAsia="Malgun Gothic" w:hAnsiTheme="minorHAnsi"/>
          <w:szCs w:val="22"/>
          <w:lang w:val="en-GB" w:eastAsia="en-US"/>
        </w:rPr>
        <w:t>e</w:t>
      </w:r>
      <w:r w:rsidR="007A0ED9" w:rsidRPr="000B1449">
        <w:rPr>
          <w:rFonts w:asciiTheme="minorHAnsi" w:hAnsiTheme="minorHAnsi"/>
          <w:szCs w:val="22"/>
          <w:lang w:val="en-GB"/>
        </w:rPr>
        <w:t>nhance technology security and privacy</w:t>
      </w:r>
      <w:r w:rsidR="004F5D63" w:rsidRPr="00706E86">
        <w:rPr>
          <w:rFonts w:asciiTheme="minorHAnsi" w:hAnsiTheme="minorHAnsi"/>
          <w:szCs w:val="22"/>
          <w:lang w:val="en-GB"/>
        </w:rPr>
        <w:t xml:space="preserve"> </w:t>
      </w:r>
      <w:r w:rsidRPr="000B1449">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rsidR="0098049C" w:rsidRPr="000B1449" w:rsidRDefault="0098049C" w:rsidP="004F5D63">
      <w:pPr>
        <w:pStyle w:val="Default"/>
        <w:rPr>
          <w:rFonts w:asciiTheme="minorHAnsi" w:eastAsia="Malgun Gothic" w:hAnsiTheme="minorHAnsi" w:cs="Times New Roman"/>
          <w:sz w:val="22"/>
          <w:szCs w:val="22"/>
          <w:lang w:val="en-GB" w:eastAsia="en-US"/>
        </w:rPr>
      </w:pPr>
    </w:p>
    <w:p w:rsidR="00A46DB0" w:rsidRPr="000B1449" w:rsidRDefault="0098049C" w:rsidP="004F5D63">
      <w:pPr>
        <w:pStyle w:val="Default"/>
        <w:rPr>
          <w:rFonts w:asciiTheme="minorHAnsi" w:hAnsiTheme="minorHAnsi"/>
          <w:sz w:val="22"/>
          <w:szCs w:val="22"/>
          <w:lang w:val="en-GB"/>
        </w:rPr>
      </w:pPr>
      <w:r w:rsidRPr="000B1449">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B1449">
        <w:rPr>
          <w:rStyle w:val="FootnoteReference"/>
          <w:rFonts w:asciiTheme="minorHAnsi" w:eastAsia="Malgun Gothic" w:hAnsiTheme="minorHAnsi" w:cs="Times New Roman"/>
          <w:sz w:val="22"/>
          <w:szCs w:val="22"/>
          <w:lang w:val="en-GB" w:eastAsia="en-US"/>
        </w:rPr>
        <w:footnoteReference w:id="2"/>
      </w:r>
      <w:r w:rsidRPr="000B1449">
        <w:rPr>
          <w:rFonts w:asciiTheme="minorHAnsi" w:eastAsia="Malgun Gothic" w:hAnsiTheme="minorHAnsi" w:cs="Times New Roman"/>
          <w:sz w:val="22"/>
          <w:szCs w:val="22"/>
          <w:lang w:val="en-GB" w:eastAsia="en-US"/>
        </w:rPr>
        <w:t>.</w:t>
      </w:r>
      <w:r w:rsidRPr="000B1449">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B1449">
        <w:rPr>
          <w:rFonts w:asciiTheme="minorHAnsi" w:hAnsiTheme="minorHAnsi"/>
          <w:sz w:val="22"/>
          <w:szCs w:val="22"/>
          <w:lang w:val="en-GB"/>
        </w:rPr>
        <w:t xml:space="preserve">Also, for example, to </w:t>
      </w:r>
      <w:r w:rsidRPr="000B1449">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rsidR="0098049C" w:rsidRPr="000B1449" w:rsidRDefault="0098049C">
      <w:pPr>
        <w:rPr>
          <w:rFonts w:asciiTheme="minorHAnsi" w:hAnsiTheme="minorHAnsi"/>
          <w:szCs w:val="22"/>
          <w:lang w:val="en-GB"/>
        </w:rPr>
      </w:pPr>
    </w:p>
    <w:p w:rsidR="0098049C" w:rsidRPr="000B1449" w:rsidRDefault="004B6ED5">
      <w:pPr>
        <w:rPr>
          <w:rFonts w:asciiTheme="minorHAnsi" w:hAnsiTheme="minorHAnsi"/>
          <w:szCs w:val="22"/>
          <w:lang w:val="en-GB"/>
        </w:rPr>
      </w:pPr>
      <w:r w:rsidRPr="000B1449">
        <w:rPr>
          <w:rFonts w:asciiTheme="minorHAnsi" w:hAnsiTheme="minorHAnsi"/>
          <w:szCs w:val="22"/>
          <w:lang w:val="en-GB"/>
        </w:rPr>
        <w:t>ITU</w:t>
      </w:r>
      <w:r w:rsidR="00A46DB0" w:rsidRPr="000B1449">
        <w:rPr>
          <w:rFonts w:asciiTheme="minorHAnsi" w:hAnsiTheme="minorHAnsi"/>
          <w:szCs w:val="22"/>
          <w:lang w:val="en-GB"/>
        </w:rPr>
        <w:t xml:space="preserve"> activities across all three sectors of – </w:t>
      </w:r>
      <w:proofErr w:type="spellStart"/>
      <w:r w:rsidR="00A46DB0" w:rsidRPr="000B1449">
        <w:rPr>
          <w:rFonts w:asciiTheme="minorHAnsi" w:hAnsiTheme="minorHAnsi"/>
          <w:szCs w:val="22"/>
          <w:lang w:val="en-GB"/>
        </w:rPr>
        <w:t>radiocommunications</w:t>
      </w:r>
      <w:proofErr w:type="spellEnd"/>
      <w:r w:rsidR="00A46DB0" w:rsidRPr="000B1449">
        <w:rPr>
          <w:rFonts w:asciiTheme="minorHAnsi" w:hAnsiTheme="minorHAnsi"/>
          <w:szCs w:val="22"/>
          <w:lang w:val="en-GB"/>
        </w:rPr>
        <w:t>, standardization and development – can contribute to the achievement of the SDGs, linking these activities closely to the ITU</w:t>
      </w:r>
      <w:r w:rsidR="007A0ED9" w:rsidRPr="000B1449">
        <w:rPr>
          <w:rFonts w:asciiTheme="minorHAnsi" w:hAnsiTheme="minorHAnsi"/>
          <w:szCs w:val="22"/>
          <w:lang w:val="en-GB"/>
        </w:rPr>
        <w:t>’s Strategic Plan;</w:t>
      </w:r>
      <w:r w:rsidR="00A46DB0" w:rsidRPr="000B1449">
        <w:rPr>
          <w:rFonts w:asciiTheme="minorHAnsi" w:hAnsiTheme="minorHAnsi"/>
          <w:szCs w:val="22"/>
          <w:lang w:val="en-GB"/>
        </w:rPr>
        <w:t xml:space="preserve"> Connect 2020 Age</w:t>
      </w:r>
      <w:r w:rsidR="00235E90" w:rsidRPr="000B1449">
        <w:rPr>
          <w:rFonts w:asciiTheme="minorHAnsi" w:hAnsiTheme="minorHAnsi"/>
          <w:szCs w:val="22"/>
          <w:lang w:val="en-GB"/>
        </w:rPr>
        <w:t>nda, and the WSIS Action Lines, by:</w:t>
      </w:r>
    </w:p>
    <w:p w:rsidR="00235E90" w:rsidRPr="000B1449" w:rsidRDefault="00235E90">
      <w:pPr>
        <w:rPr>
          <w:rFonts w:asciiTheme="minorHAnsi" w:hAnsiTheme="minorHAnsi"/>
          <w:szCs w:val="22"/>
          <w:lang w:val="en-GB"/>
        </w:rPr>
      </w:pPr>
    </w:p>
    <w:p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spectrum allocations, especially for future mobile services;</w:t>
      </w:r>
    </w:p>
    <w:p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technical standards for networks and applications;</w:t>
      </w:r>
    </w:p>
    <w:p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policy and regulatory environment – An enabling environment that faci</w:t>
      </w:r>
      <w:r w:rsidR="00235E90" w:rsidRPr="000B1449">
        <w:rPr>
          <w:rFonts w:asciiTheme="minorHAnsi" w:hAnsiTheme="minorHAnsi"/>
          <w:szCs w:val="22"/>
          <w:lang w:val="en-GB"/>
        </w:rPr>
        <w:t>litates and promotes innovation.</w:t>
      </w:r>
    </w:p>
    <w:p w:rsidR="0098049C" w:rsidRPr="000B1449" w:rsidRDefault="0098049C">
      <w:pPr>
        <w:rPr>
          <w:rFonts w:asciiTheme="minorHAnsi" w:hAnsiTheme="minorHAnsi"/>
          <w:szCs w:val="22"/>
          <w:lang w:val="en-GB"/>
        </w:rPr>
      </w:pPr>
    </w:p>
    <w:p w:rsidR="006732E0" w:rsidRDefault="006732E0">
      <w:pPr>
        <w:rPr>
          <w:rFonts w:asciiTheme="minorHAnsi" w:hAnsiTheme="minorHAnsi"/>
          <w:szCs w:val="22"/>
          <w:lang w:val="en-GB"/>
        </w:rPr>
      </w:pPr>
    </w:p>
    <w:p w:rsidR="006732E0" w:rsidRPr="006732E0" w:rsidRDefault="006732E0" w:rsidP="00A847FE">
      <w:pPr>
        <w:autoSpaceDE w:val="0"/>
        <w:autoSpaceDN w:val="0"/>
        <w:adjustRightInd w:val="0"/>
        <w:rPr>
          <w:rFonts w:asciiTheme="minorHAnsi" w:hAnsiTheme="minorHAnsi"/>
          <w:b/>
          <w:bCs/>
          <w:szCs w:val="22"/>
          <w:lang w:val="en-GB"/>
        </w:rPr>
      </w:pPr>
      <w:r w:rsidRPr="006732E0">
        <w:rPr>
          <w:rFonts w:asciiTheme="minorHAnsi" w:hAnsiTheme="minorHAnsi"/>
          <w:b/>
          <w:bCs/>
          <w:szCs w:val="22"/>
          <w:lang w:val="en-GB"/>
        </w:rPr>
        <w:t xml:space="preserve">ANNEX 1: </w:t>
      </w:r>
      <w:r w:rsidR="00A847FE">
        <w:rPr>
          <w:rFonts w:asciiTheme="minorHAnsi" w:hAnsiTheme="minorHAnsi"/>
          <w:b/>
          <w:bCs/>
          <w:szCs w:val="22"/>
          <w:lang w:val="en-GB"/>
        </w:rPr>
        <w:t>IN-</w:t>
      </w:r>
      <w:r w:rsidRPr="006732E0">
        <w:rPr>
          <w:rFonts w:asciiTheme="minorHAnsi" w:hAnsiTheme="minorHAnsi"/>
          <w:b/>
          <w:bCs/>
          <w:szCs w:val="22"/>
          <w:lang w:val="en-GB"/>
        </w:rPr>
        <w:t xml:space="preserve">DEPTH VIEW OF </w:t>
      </w:r>
      <w:r w:rsidR="00A847FE" w:rsidRPr="006732E0">
        <w:rPr>
          <w:rFonts w:asciiTheme="minorHAnsi" w:hAnsiTheme="minorHAnsi"/>
          <w:b/>
          <w:bCs/>
          <w:szCs w:val="22"/>
          <w:lang w:val="en-GB"/>
        </w:rPr>
        <w:t xml:space="preserve">THE ROLE OF ICTS AND ITU’S CONTRIBUTIONS </w:t>
      </w:r>
      <w:r w:rsidR="00A847FE">
        <w:rPr>
          <w:rFonts w:asciiTheme="minorHAnsi" w:hAnsiTheme="minorHAnsi"/>
          <w:b/>
          <w:bCs/>
          <w:szCs w:val="22"/>
          <w:lang w:val="en-GB"/>
        </w:rPr>
        <w:t xml:space="preserve">TO </w:t>
      </w:r>
      <w:r w:rsidRPr="006732E0">
        <w:rPr>
          <w:rFonts w:asciiTheme="minorHAnsi" w:hAnsiTheme="minorHAnsi"/>
          <w:b/>
          <w:bCs/>
          <w:szCs w:val="22"/>
          <w:lang w:val="en-GB"/>
        </w:rPr>
        <w:t xml:space="preserve">GOALS 1, 2, 3, 5, 9, 14 &amp; 17 TO BE REVIEWED AT HLPF 2017 </w:t>
      </w:r>
      <w:hyperlink r:id="rId13" w:anchor="/home/home-page" w:history="1">
        <w:r w:rsidRPr="006732E0">
          <w:rPr>
            <w:rStyle w:val="Hyperlink"/>
            <w:rFonts w:asciiTheme="minorHAnsi" w:hAnsiTheme="minorHAnsi"/>
            <w:b/>
            <w:bCs/>
            <w:szCs w:val="22"/>
            <w:lang w:val="en-GB"/>
          </w:rPr>
          <w:t>(</w:t>
        </w:r>
        <w:r>
          <w:rPr>
            <w:rStyle w:val="Hyperlink"/>
            <w:rFonts w:asciiTheme="minorHAnsi" w:hAnsiTheme="minorHAnsi"/>
            <w:b/>
            <w:bCs/>
          </w:rPr>
          <w:t>SDG</w:t>
        </w:r>
        <w:r w:rsidRPr="006732E0">
          <w:rPr>
            <w:rStyle w:val="Hyperlink"/>
            <w:rFonts w:asciiTheme="minorHAnsi" w:hAnsiTheme="minorHAnsi"/>
            <w:b/>
            <w:bCs/>
          </w:rPr>
          <w:t xml:space="preserve"> MAPPING</w:t>
        </w:r>
        <w:r>
          <w:rPr>
            <w:rStyle w:val="Hyperlink"/>
            <w:rFonts w:asciiTheme="minorHAnsi" w:hAnsiTheme="minorHAnsi"/>
            <w:b/>
            <w:bCs/>
          </w:rPr>
          <w:t xml:space="preserve"> </w:t>
        </w:r>
        <w:r w:rsidRPr="006732E0">
          <w:rPr>
            <w:rStyle w:val="Hyperlink"/>
            <w:rFonts w:asciiTheme="minorHAnsi" w:hAnsiTheme="minorHAnsi"/>
            <w:b/>
            <w:bCs/>
          </w:rPr>
          <w:t xml:space="preserve">OF </w:t>
        </w:r>
        <w:r>
          <w:rPr>
            <w:rStyle w:val="Hyperlink"/>
            <w:rFonts w:asciiTheme="minorHAnsi" w:hAnsiTheme="minorHAnsi"/>
            <w:b/>
            <w:bCs/>
          </w:rPr>
          <w:t>ITU</w:t>
        </w:r>
        <w:r w:rsidR="00A847FE">
          <w:rPr>
            <w:rStyle w:val="Hyperlink"/>
            <w:rFonts w:asciiTheme="minorHAnsi" w:hAnsiTheme="minorHAnsi"/>
            <w:b/>
            <w:bCs/>
          </w:rPr>
          <w:t>’S</w:t>
        </w:r>
        <w:r w:rsidRPr="006732E0">
          <w:rPr>
            <w:rStyle w:val="Hyperlink"/>
            <w:rFonts w:asciiTheme="minorHAnsi" w:hAnsiTheme="minorHAnsi"/>
            <w:b/>
            <w:bCs/>
          </w:rPr>
          <w:t xml:space="preserve"> STRATEGIC AND OPERATIONAL PLANS</w:t>
        </w:r>
      </w:hyperlink>
      <w:r>
        <w:rPr>
          <w:rFonts w:asciiTheme="minorHAnsi" w:hAnsiTheme="minorHAnsi"/>
          <w:b/>
          <w:bCs/>
          <w:szCs w:val="22"/>
          <w:lang w:val="en-GB"/>
        </w:rPr>
        <w:t>)</w:t>
      </w:r>
    </w:p>
    <w:tbl>
      <w:tblPr>
        <w:tblStyle w:val="TableGrid"/>
        <w:tblW w:w="0" w:type="auto"/>
        <w:shd w:val="clear" w:color="auto" w:fill="F2F2F2" w:themeFill="background1" w:themeFillShade="F2"/>
        <w:tblLook w:val="04A0" w:firstRow="1" w:lastRow="0" w:firstColumn="1" w:lastColumn="0" w:noHBand="0" w:noVBand="1"/>
      </w:tblPr>
      <w:tblGrid>
        <w:gridCol w:w="8636"/>
      </w:tblGrid>
      <w:tr w:rsidR="006732E0" w:rsidRPr="00706E86" w:rsidTr="002A781D">
        <w:tc>
          <w:tcPr>
            <w:tcW w:w="8636" w:type="dxa"/>
            <w:shd w:val="clear" w:color="auto" w:fill="F2F2F2" w:themeFill="background1" w:themeFillShade="F2"/>
          </w:tcPr>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 End poverty in all its forms everywhere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 Targets 1.4, 1.5 and 1.a:</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2"/>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 </w:t>
            </w:r>
            <w:r>
              <w:rPr>
                <w:rFonts w:asciiTheme="minorHAnsi" w:hAnsiTheme="minorHAnsi"/>
                <w:szCs w:val="22"/>
                <w:lang w:val="en-GB"/>
              </w:rPr>
              <w:t xml:space="preserve">- </w:t>
            </w:r>
            <w:r w:rsidRPr="000B1449">
              <w:rPr>
                <w:rFonts w:asciiTheme="minorHAnsi" w:hAnsiTheme="minorHAnsi"/>
                <w:szCs w:val="22"/>
                <w:lang w:val="en-GB"/>
              </w:rPr>
              <w:t>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rsidR="006732E0" w:rsidRPr="000B1449" w:rsidRDefault="006732E0" w:rsidP="002A781D">
            <w:pPr>
              <w:pStyle w:val="ListParagraph"/>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0"/>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1.5 </w:t>
            </w:r>
            <w:r>
              <w:rPr>
                <w:rFonts w:asciiTheme="minorHAnsi" w:hAnsiTheme="minorHAnsi"/>
                <w:szCs w:val="22"/>
                <w:lang w:val="en-GB"/>
              </w:rPr>
              <w:t xml:space="preserve">- </w:t>
            </w:r>
            <w:r w:rsidRPr="000B1449">
              <w:rPr>
                <w:rFonts w:asciiTheme="minorHAnsi" w:hAnsiTheme="minorHAnsi"/>
                <w:szCs w:val="22"/>
                <w:lang w:val="en-GB"/>
              </w:rPr>
              <w:t xml:space="preserve">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w:t>
            </w:r>
            <w:proofErr w:type="spellStart"/>
            <w:r w:rsidRPr="000B1449">
              <w:rPr>
                <w:rFonts w:asciiTheme="minorHAnsi" w:hAnsiTheme="minorHAnsi"/>
                <w:szCs w:val="22"/>
                <w:lang w:val="en-GB"/>
              </w:rPr>
              <w:t>radiocommunications</w:t>
            </w:r>
            <w:proofErr w:type="spellEnd"/>
            <w:r w:rsidRPr="000B1449">
              <w:rPr>
                <w:rFonts w:asciiTheme="minorHAnsi" w:hAnsiTheme="minorHAnsi"/>
                <w:szCs w:val="22"/>
                <w:lang w:val="en-GB"/>
              </w:rPr>
              <w:t xml:space="preserve"> and disseminating the related information and know-how, ensuring more accurate weather predictions, climate change monitoring and mitigation, public protection and disaster relief, as well as search and rescue;</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1.a</w:t>
            </w:r>
            <w:r>
              <w:rPr>
                <w:rFonts w:asciiTheme="minorHAnsi" w:hAnsiTheme="minorHAnsi"/>
                <w:szCs w:val="22"/>
                <w:lang w:val="en-GB"/>
              </w:rPr>
              <w:t xml:space="preserve"> </w:t>
            </w:r>
            <w:proofErr w:type="gramStart"/>
            <w:r>
              <w:rPr>
                <w:rFonts w:asciiTheme="minorHAnsi" w:hAnsiTheme="minorHAnsi"/>
                <w:szCs w:val="22"/>
                <w:lang w:val="en-GB"/>
              </w:rPr>
              <w:t xml:space="preserve">- </w:t>
            </w:r>
            <w:r w:rsidRPr="000B1449">
              <w:rPr>
                <w:rFonts w:asciiTheme="minorHAnsi" w:hAnsiTheme="minorHAnsi"/>
                <w:szCs w:val="22"/>
                <w:lang w:val="en-GB"/>
              </w:rPr>
              <w:t xml:space="preserve"> By</w:t>
            </w:r>
            <w:proofErr w:type="gramEnd"/>
            <w:r w:rsidRPr="000B1449">
              <w:rPr>
                <w:rFonts w:asciiTheme="minorHAnsi" w:hAnsiTheme="minorHAnsi"/>
                <w:szCs w:val="22"/>
                <w:lang w:val="en-GB"/>
              </w:rPr>
              <w:t xml:space="preserve">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2. End hunger, achieve food security and improved nutrition and promote sustainable agriculture</w:t>
            </w:r>
          </w:p>
          <w:p w:rsidR="006732E0" w:rsidRPr="000B1449" w:rsidRDefault="006732E0" w:rsidP="002A781D">
            <w:pPr>
              <w:autoSpaceDE w:val="0"/>
              <w:autoSpaceDN w:val="0"/>
              <w:adjustRightInd w:val="0"/>
              <w:rPr>
                <w:rFonts w:asciiTheme="minorHAnsi" w:hAnsiTheme="minorHAnsi"/>
                <w:b/>
                <w:bCs/>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SDG2 Targets 2.1, 2.3, 2.4, 2.5 and 2.a:</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rsidR="006732E0" w:rsidRPr="000B1449" w:rsidRDefault="006732E0" w:rsidP="002A781D">
            <w:pPr>
              <w:pStyle w:val="ListParagraph"/>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providing spectrum and standards and the dissemination of the related information and know-how for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 xml:space="preserve">, drones,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meteorology and Earth-exploration satellite systems, for the development and sustainability of e-agriculture.</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BB0A22">
            <w:pPr>
              <w:keepNext/>
              <w:keepLines/>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3. Ensure healthy lives and promote well-being for all at all ages</w:t>
            </w:r>
          </w:p>
          <w:p w:rsidR="006732E0" w:rsidRPr="000B1449" w:rsidRDefault="006732E0" w:rsidP="00BB0A22">
            <w:pPr>
              <w:keepNext/>
              <w:keepLines/>
              <w:autoSpaceDE w:val="0"/>
              <w:autoSpaceDN w:val="0"/>
              <w:adjustRightInd w:val="0"/>
              <w:rPr>
                <w:rFonts w:asciiTheme="minorHAnsi" w:hAnsiTheme="minorHAnsi"/>
                <w:szCs w:val="22"/>
                <w:lang w:val="en-GB"/>
              </w:rPr>
            </w:pPr>
          </w:p>
          <w:p w:rsidR="006732E0" w:rsidRPr="000B1449" w:rsidRDefault="006732E0" w:rsidP="00BB0A22">
            <w:pPr>
              <w:keepNext/>
              <w:keepLines/>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w:t>
            </w:r>
            <w:r w:rsidRPr="00706E86">
              <w:rPr>
                <w:rFonts w:asciiTheme="minorHAnsi" w:hAnsiTheme="minorHAnsi"/>
                <w:szCs w:val="22"/>
                <w:lang w:val="en-GB"/>
              </w:rPr>
              <w:t>analyse</w:t>
            </w:r>
            <w:r w:rsidRPr="000B1449">
              <w:rPr>
                <w:rFonts w:asciiTheme="minorHAnsi" w:hAnsiTheme="minorHAnsi"/>
                <w:szCs w:val="22"/>
                <w:lang w:val="en-GB"/>
              </w:rPr>
              <w:t xml:space="preserve"> trends, and make projections about disease outbreaks, health service usage, and patient knowledge, attitudes, and practices regarding their health – all within time frames critical to eradicating disease and reducing mortality rates</w:t>
            </w:r>
            <w:r w:rsidRPr="000B1449">
              <w:rPr>
                <w:rFonts w:asciiTheme="minorHAnsi" w:hAnsiTheme="minorHAnsi" w:cs="Segoe UI"/>
                <w:szCs w:val="22"/>
                <w:lang w:val="en-GB"/>
              </w:rPr>
              <w: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SDG3 Targets 3.1, 3.2, 3.3, 3.4, 3.5, 3.6, 3.7, 3.8, 3.9, 3.a, 3.d: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combating diseases through the establishment of monitoring systems using mobile networks;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3.1, 3.2, 3.7 and 3.8 </w:t>
            </w:r>
            <w:r>
              <w:rPr>
                <w:rFonts w:asciiTheme="minorHAnsi" w:hAnsiTheme="minorHAnsi"/>
                <w:szCs w:val="22"/>
                <w:lang w:val="en-GB"/>
              </w:rPr>
              <w:t xml:space="preserve">- </w:t>
            </w:r>
            <w:r w:rsidRPr="000B1449">
              <w:rPr>
                <w:rFonts w:asciiTheme="minorHAnsi" w:hAnsiTheme="minorHAnsi"/>
                <w:szCs w:val="22"/>
                <w:lang w:val="en-GB"/>
              </w:rPr>
              <w:t>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3.3 and 3.d </w:t>
            </w:r>
            <w:r>
              <w:rPr>
                <w:rFonts w:asciiTheme="minorHAnsi" w:hAnsiTheme="minorHAnsi"/>
                <w:szCs w:val="22"/>
                <w:lang w:val="en-GB"/>
              </w:rPr>
              <w:t xml:space="preserve">- </w:t>
            </w:r>
            <w:r w:rsidRPr="000B1449">
              <w:rPr>
                <w:rFonts w:asciiTheme="minorHAnsi" w:hAnsiTheme="minorHAnsi"/>
                <w:szCs w:val="22"/>
                <w:lang w:val="en-GB"/>
              </w:rPr>
              <w:t>Through its ongoing project on ICT Applications Against Ebola Disease (being implemented in West Africa);</w:t>
            </w:r>
          </w:p>
          <w:p w:rsidR="006732E0" w:rsidRPr="000B1449" w:rsidRDefault="006732E0" w:rsidP="002A781D">
            <w:pPr>
              <w:pStyle w:val="ListParagraph"/>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rsidR="006732E0" w:rsidRPr="000B1449" w:rsidRDefault="006732E0" w:rsidP="002A781D">
            <w:pPr>
              <w:pStyle w:val="ListParagraph"/>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rsidR="006732E0" w:rsidRPr="000B1449" w:rsidRDefault="006732E0" w:rsidP="002A781D">
            <w:pPr>
              <w:pStyle w:val="ListParagraph"/>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3.4, 3.5, 3.6 and 3.a </w:t>
            </w:r>
            <w:r>
              <w:rPr>
                <w:rFonts w:asciiTheme="minorHAnsi" w:hAnsiTheme="minorHAnsi"/>
                <w:szCs w:val="22"/>
                <w:lang w:val="en-GB"/>
              </w:rPr>
              <w:t xml:space="preserve">- </w:t>
            </w:r>
            <w:r w:rsidRPr="000B1449">
              <w:rPr>
                <w:rFonts w:asciiTheme="minorHAnsi" w:hAnsiTheme="minorHAnsi"/>
                <w:szCs w:val="22"/>
                <w:lang w:val="en-GB"/>
              </w:rPr>
              <w:t xml:space="preserve">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w:t>
            </w:r>
            <w:proofErr w:type="spellStart"/>
            <w:r w:rsidRPr="000B1449">
              <w:rPr>
                <w:rFonts w:asciiTheme="minorHAnsi" w:hAnsiTheme="minorHAnsi"/>
                <w:szCs w:val="22"/>
                <w:lang w:val="en-GB"/>
              </w:rPr>
              <w:t>multisectoral</w:t>
            </w:r>
            <w:proofErr w:type="spellEnd"/>
            <w:r w:rsidRPr="000B1449">
              <w:rPr>
                <w:rFonts w:asciiTheme="minorHAnsi" w:hAnsiTheme="minorHAnsi"/>
                <w:szCs w:val="22"/>
                <w:lang w:val="en-GB"/>
              </w:rPr>
              <w:t xml:space="preserve"> approach to ensure that the programmes are sustainable. The initiative has established partnerships with its target 8 countries from a range of low-, middle- and high-income countries;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3.6 </w:t>
            </w:r>
            <w:r>
              <w:rPr>
                <w:rFonts w:asciiTheme="minorHAnsi" w:hAnsiTheme="minorHAnsi"/>
                <w:szCs w:val="22"/>
                <w:lang w:val="en-GB"/>
              </w:rPr>
              <w:t xml:space="preserve">- </w:t>
            </w:r>
            <w:r w:rsidRPr="000B1449">
              <w:rPr>
                <w:rFonts w:asciiTheme="minorHAnsi" w:hAnsiTheme="minorHAnsi"/>
                <w:szCs w:val="22"/>
                <w:lang w:val="en-GB"/>
              </w:rPr>
              <w:t xml:space="preserve">By providing spectrum and standards and disseminating the related information and know-how for Intelligent Transport Systems (ITS),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xml:space="preserve">-satellite systems and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3.8, 3.9, 3.d </w:t>
            </w:r>
            <w:r>
              <w:rPr>
                <w:rFonts w:asciiTheme="minorHAnsi" w:hAnsiTheme="minorHAnsi"/>
                <w:szCs w:val="22"/>
                <w:lang w:val="en-GB"/>
              </w:rPr>
              <w:t xml:space="preserve">- </w:t>
            </w:r>
            <w:r w:rsidRPr="000B1449">
              <w:rPr>
                <w:rFonts w:asciiTheme="minorHAnsi" w:hAnsiTheme="minorHAnsi"/>
                <w:szCs w:val="22"/>
                <w:lang w:val="en-GB"/>
              </w:rPr>
              <w:t>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6732E0" w:rsidRDefault="006732E0" w:rsidP="002A781D">
            <w:pPr>
              <w:pStyle w:val="ListParagraph"/>
              <w:numPr>
                <w:ilvl w:val="0"/>
                <w:numId w:val="11"/>
              </w:numPr>
              <w:autoSpaceDE w:val="0"/>
              <w:autoSpaceDN w:val="0"/>
              <w:adjustRightInd w:val="0"/>
              <w:rPr>
                <w:rFonts w:asciiTheme="minorHAnsi" w:hAnsiTheme="minorHAnsi"/>
                <w:szCs w:val="22"/>
                <w:lang w:val="en-GB"/>
              </w:rPr>
            </w:pPr>
            <w:r w:rsidRPr="006732E0">
              <w:rPr>
                <w:rFonts w:asciiTheme="minorHAnsi" w:hAnsiTheme="minorHAnsi"/>
                <w:szCs w:val="22"/>
                <w:lang w:val="en-GB"/>
              </w:rPr>
              <w:t>Technical standardization of multimedia systems and capabilities for e-health applications.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5. Achieve gender equality and empower all women and girls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SDG5 Targets 5.5 and 5.b:</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providing globally harmonized spectrum and standards, ITU enables the development of mobile broadband and its wider penetration, thus permitting E-education to become available throughout the world. By disseminating its outputs through on-line publications, seminars and workshops, ITU contributes to capacity building on information and communication technologies throughout the World;</w:t>
            </w:r>
          </w:p>
          <w:p w:rsidR="006732E0" w:rsidRPr="000B1449" w:rsidRDefault="006732E0" w:rsidP="002A781D">
            <w:pPr>
              <w:pStyle w:val="ListParagraph"/>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9. Build resilient infrastructure, promote inclusive and sustainable industrialization and foster innovation</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SDG9 Targets 9.1, 9.3, 9.5, 9.a, 9.c:</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9.1 and 9.3 </w:t>
            </w:r>
            <w:r>
              <w:rPr>
                <w:rFonts w:asciiTheme="minorHAnsi" w:hAnsiTheme="minorHAnsi"/>
                <w:szCs w:val="22"/>
                <w:lang w:val="en-GB"/>
              </w:rPr>
              <w:t xml:space="preserve">- </w:t>
            </w:r>
            <w:r w:rsidRPr="000B1449">
              <w:rPr>
                <w:rFonts w:asciiTheme="minorHAnsi" w:hAnsiTheme="minorHAnsi"/>
                <w:szCs w:val="22"/>
                <w:lang w:val="en-GB"/>
              </w:rPr>
              <w:t xml:space="preserve">By providing globally harmonized spectrum and standards, ITU enables the development of high quality, reliable, sustainable and resilient infrastructures accessible to all under affordable and equitable conditions;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9.5. and 9.c </w:t>
            </w:r>
            <w:r>
              <w:rPr>
                <w:rFonts w:asciiTheme="minorHAnsi" w:hAnsiTheme="minorHAnsi"/>
                <w:szCs w:val="22"/>
                <w:lang w:val="en-GB"/>
              </w:rPr>
              <w:t>-</w:t>
            </w:r>
            <w:r w:rsidRPr="000B1449">
              <w:rPr>
                <w:rFonts w:asciiTheme="minorHAnsi" w:hAnsiTheme="minorHAnsi"/>
                <w:szCs w:val="22"/>
                <w:lang w:val="en-GB"/>
              </w:rPr>
              <w:t xml:space="preserve"> Space, mobile, transport industries benefit from ITU activities, which encourage investments by maintaining a stable and predictable regulatory environment, and promoting an efficient and sustainable use of spectrum resources;</w:t>
            </w:r>
          </w:p>
          <w:p w:rsidR="006732E0" w:rsidRPr="000B1449" w:rsidRDefault="006732E0" w:rsidP="002A781D">
            <w:pPr>
              <w:autoSpaceDE w:val="0"/>
              <w:autoSpaceDN w:val="0"/>
              <w:adjustRightInd w:val="0"/>
              <w:ind w:firstLine="45"/>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constantly promoting affordable access to ICT and Internet, through the development of standards and also within the following contexts:</w:t>
            </w:r>
          </w:p>
          <w:p w:rsidR="006732E0" w:rsidRPr="00706E86" w:rsidRDefault="006732E0" w:rsidP="002A781D">
            <w:pPr>
              <w:pStyle w:val="NoSpacing"/>
              <w:rPr>
                <w:rFonts w:asciiTheme="minorHAnsi" w:hAnsiTheme="minorHAnsi"/>
                <w:sz w:val="22"/>
                <w:szCs w:val="22"/>
              </w:rPr>
            </w:pP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IMT 2020/5G, smart and future networks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Broadband access and affordable optical networks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Tariffs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Consideration of Cost of implementation/complexity during development of recommendations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 xml:space="preserve">Policy/governance: cooperation with WSIS process, ISOC etc. </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Workshops and tutorial</w:t>
            </w:r>
          </w:p>
          <w:p w:rsidR="006732E0" w:rsidRPr="000B1449" w:rsidRDefault="006732E0" w:rsidP="002A781D">
            <w:pPr>
              <w:autoSpaceDE w:val="0"/>
              <w:autoSpaceDN w:val="0"/>
              <w:adjustRightInd w:val="0"/>
              <w:ind w:firstLine="45"/>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Through the establishment of </w:t>
            </w:r>
            <w:r w:rsidRPr="00706E86">
              <w:rPr>
                <w:rFonts w:asciiTheme="minorHAnsi" w:hAnsiTheme="minorHAnsi"/>
                <w:szCs w:val="22"/>
                <w:lang w:val="en-GB"/>
              </w:rPr>
              <w:t>telecentres</w:t>
            </w:r>
            <w:r w:rsidRPr="000B1449">
              <w:rPr>
                <w:rFonts w:asciiTheme="minorHAnsi" w:hAnsiTheme="minorHAnsi"/>
                <w:szCs w:val="22"/>
                <w:lang w:val="en-GB"/>
              </w:rPr>
              <w:t xml:space="preserve"> that will provide connectivity to remote and rural areas, which will also serve to reduce vulnerability to disasters;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makes use of transmission links, together with data related to traffic, exchanged between countries for identifying missing links on regional/</w:t>
            </w:r>
            <w:proofErr w:type="spellStart"/>
            <w:r w:rsidRPr="000B1449">
              <w:rPr>
                <w:rFonts w:asciiTheme="minorHAnsi" w:hAnsiTheme="minorHAnsi"/>
                <w:szCs w:val="22"/>
                <w:lang w:val="en-GB"/>
              </w:rPr>
              <w:t>subregional</w:t>
            </w:r>
            <w:proofErr w:type="spellEnd"/>
            <w:r w:rsidRPr="000B1449">
              <w:rPr>
                <w:rFonts w:asciiTheme="minorHAnsi" w:hAnsiTheme="minorHAnsi"/>
                <w:szCs w:val="22"/>
                <w:lang w:val="en-GB"/>
              </w:rPr>
              <w:t xml:space="preserve"> basis and developing case studies for planning broadband infrastructures;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contributing to bridging the standardization gap needed to ensure that countries experience the economic benefits associated with technological development, and to better reflect requirements related to universal and affordable access to the Internet;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9.a </w:t>
            </w:r>
            <w:r>
              <w:rPr>
                <w:rFonts w:asciiTheme="minorHAnsi" w:hAnsiTheme="minorHAnsi"/>
                <w:szCs w:val="22"/>
                <w:lang w:val="en-GB"/>
              </w:rPr>
              <w:t xml:space="preserve">- </w:t>
            </w:r>
            <w:r w:rsidRPr="000B1449">
              <w:rPr>
                <w:rFonts w:asciiTheme="minorHAnsi" w:hAnsiTheme="minorHAnsi"/>
                <w:szCs w:val="22"/>
                <w:lang w:val="en-GB"/>
              </w:rPr>
              <w:t xml:space="preserve">Through the project "National Broadband Policies and Applications", implemented by ITU and the Ministry of Science, ICT and Future Planning (MSIP) of the Republic of Korea, ITU is providing technical assistance to developing countries;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9.1 and 9.c</w:t>
            </w:r>
            <w:r>
              <w:rPr>
                <w:rFonts w:asciiTheme="minorHAnsi" w:hAnsiTheme="minorHAnsi"/>
                <w:szCs w:val="22"/>
                <w:lang w:val="en-GB"/>
              </w:rPr>
              <w:t xml:space="preserve"> -</w:t>
            </w:r>
            <w:r w:rsidRPr="000B1449">
              <w:rPr>
                <w:rFonts w:asciiTheme="minorHAnsi" w:hAnsiTheme="minorHAnsi"/>
                <w:szCs w:val="22"/>
                <w:lang w:val="en-GB"/>
              </w:rPr>
              <w:t xml:space="preserve"> ITU also contributes to the monitoring of these targets by collecting and disseminating a number of relevant ICT indicators, including on broadband Internet access in urban and rural areas, mobile population coverage, and broadband Internet prices.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14. Conserve and sustainably use the oceans, seas and marine resources for sustainable development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SDG14 Targets 14.1, 14.2, 14.a:</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14.1 and 14.2 </w:t>
            </w:r>
            <w:r>
              <w:rPr>
                <w:rFonts w:asciiTheme="minorHAnsi" w:hAnsiTheme="minorHAnsi"/>
                <w:szCs w:val="22"/>
                <w:lang w:val="en-GB"/>
              </w:rPr>
              <w:t xml:space="preserve">- </w:t>
            </w:r>
            <w:r w:rsidRPr="000B1449">
              <w:rPr>
                <w:rFonts w:asciiTheme="minorHAnsi" w:hAnsiTheme="minorHAnsi"/>
                <w:szCs w:val="22"/>
                <w:lang w:val="en-GB"/>
              </w:rPr>
              <w:t xml:space="preserve">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w:t>
            </w:r>
            <w:r w:rsidRPr="00706E86">
              <w:rPr>
                <w:rFonts w:asciiTheme="minorHAnsi" w:hAnsiTheme="minorHAnsi"/>
                <w:szCs w:val="22"/>
                <w:lang w:val="en-GB"/>
              </w:rPr>
              <w:t>behaviour</w:t>
            </w:r>
            <w:r w:rsidRPr="000B1449">
              <w:rPr>
                <w:rFonts w:asciiTheme="minorHAnsi" w:hAnsiTheme="minorHAnsi"/>
                <w:szCs w:val="22"/>
                <w:lang w:val="en-GB"/>
              </w:rPr>
              <w: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14.a </w:t>
            </w:r>
            <w:r>
              <w:rPr>
                <w:rFonts w:asciiTheme="minorHAnsi" w:hAnsiTheme="minorHAnsi"/>
                <w:szCs w:val="22"/>
                <w:lang w:val="en-GB"/>
              </w:rPr>
              <w:t xml:space="preserve">- </w:t>
            </w:r>
            <w:r w:rsidRPr="000B1449">
              <w:rPr>
                <w:rFonts w:asciiTheme="minorHAnsi" w:hAnsiTheme="minorHAnsi"/>
                <w:szCs w:val="22"/>
                <w:lang w:val="en-GB"/>
              </w:rPr>
              <w:t>Spectrum and standards provided by ITU for GNSS, sea drones and satellite oceanic observations, are an essential enabler to Increase scientific knowledge on the state of oceans and marine resources;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17. Strengthen the means of implementation and revitalize the Global Partnership for Sustainable Development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rsidR="006732E0" w:rsidRPr="000B1449" w:rsidRDefault="006732E0" w:rsidP="002A781D">
            <w:pPr>
              <w:autoSpaceDE w:val="0"/>
              <w:autoSpaceDN w:val="0"/>
              <w:adjustRightInd w:val="0"/>
              <w:rPr>
                <w:rFonts w:asciiTheme="minorHAnsi" w:hAnsiTheme="minorHAnsi" w:cs="Calibri"/>
                <w:b/>
                <w:bCs/>
                <w:color w:val="000000"/>
                <w:szCs w:val="22"/>
                <w:lang w:val="en-GB" w:eastAsia="ja-JP"/>
              </w:rPr>
            </w:pPr>
          </w:p>
          <w:p w:rsidR="006732E0" w:rsidRPr="000B1449" w:rsidRDefault="006732E0" w:rsidP="002A781D">
            <w:pPr>
              <w:autoSpaceDE w:val="0"/>
              <w:autoSpaceDN w:val="0"/>
              <w:adjustRightInd w:val="0"/>
              <w:rPr>
                <w:rFonts w:asciiTheme="minorHAnsi" w:hAnsiTheme="minorHAnsi" w:cs="Calibri"/>
                <w:b/>
                <w:bCs/>
                <w:color w:val="000000"/>
                <w:szCs w:val="22"/>
                <w:lang w:val="en-GB" w:eastAsia="ja-JP"/>
              </w:rPr>
            </w:pPr>
            <w:r w:rsidRPr="000B1449">
              <w:rPr>
                <w:rFonts w:asciiTheme="minorHAnsi" w:hAnsiTheme="minorHAnsi" w:cs="Calibri"/>
                <w:b/>
                <w:bCs/>
                <w:color w:val="000000"/>
                <w:szCs w:val="22"/>
                <w:lang w:val="en-GB" w:eastAsia="ja-JP"/>
              </w:rPr>
              <w:t>ITU contributes to SDG17 Targets 17.3, 17.6, 17.7, 17.8, 17.9, 17.11, 17.16, 17.19:</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By developing and disseminating best practices on the use of </w:t>
            </w:r>
            <w:proofErr w:type="spellStart"/>
            <w:r w:rsidRPr="000B1449">
              <w:rPr>
                <w:rFonts w:asciiTheme="minorHAnsi" w:hAnsiTheme="minorHAnsi" w:cs="Calibri"/>
                <w:color w:val="000000"/>
                <w:szCs w:val="22"/>
                <w:lang w:val="en-GB" w:eastAsia="ja-JP"/>
              </w:rPr>
              <w:t>radiocommunications</w:t>
            </w:r>
            <w:proofErr w:type="spellEnd"/>
            <w:r w:rsidRPr="000B1449">
              <w:rPr>
                <w:rFonts w:asciiTheme="minorHAnsi" w:hAnsiTheme="minorHAnsi" w:cs="Calibri"/>
                <w:color w:val="000000"/>
                <w:szCs w:val="22"/>
                <w:lang w:val="en-GB" w:eastAsia="ja-JP"/>
              </w:rPr>
              <w:t xml:space="preserve"> and organizing seminars and workshops, ITU contributes to enhance the use of enabling technologies, in particular information and communications technologies;</w:t>
            </w:r>
          </w:p>
          <w:p w:rsidR="006732E0" w:rsidRPr="000B1449" w:rsidRDefault="006732E0" w:rsidP="002A781D">
            <w:pPr>
              <w:autoSpaceDE w:val="0"/>
              <w:autoSpaceDN w:val="0"/>
              <w:adjustRightInd w:val="0"/>
              <w:ind w:firstLine="45"/>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provides a neutral platform for international cooperation towards building a harmonized and coordinated approach to </w:t>
            </w:r>
            <w:r w:rsidRPr="00706E86">
              <w:rPr>
                <w:rFonts w:asciiTheme="minorHAnsi" w:hAnsiTheme="minorHAnsi" w:cs="Calibri"/>
                <w:color w:val="000000"/>
                <w:szCs w:val="22"/>
                <w:lang w:val="en-GB" w:eastAsia="ja-JP"/>
              </w:rPr>
              <w:t>fast-forward</w:t>
            </w:r>
            <w:r w:rsidRPr="000B1449">
              <w:rPr>
                <w:rFonts w:asciiTheme="minorHAnsi" w:hAnsiTheme="minorHAnsi" w:cs="Calibri"/>
                <w:color w:val="000000"/>
                <w:szCs w:val="22"/>
                <w:lang w:val="en-GB" w:eastAsia="ja-JP"/>
              </w:rPr>
              <w:t xml:space="preserve"> the evolution of the information society;</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p>
          <w:p w:rsidR="006732E0" w:rsidRPr="000B1449" w:rsidRDefault="006732E0" w:rsidP="002A781D">
            <w:pPr>
              <w:autoSpaceDE w:val="0"/>
              <w:autoSpaceDN w:val="0"/>
              <w:adjustRightInd w:val="0"/>
              <w:rPr>
                <w:rFonts w:asciiTheme="minorHAnsi" w:hAnsiTheme="minorHAnsi"/>
                <w:b/>
                <w:bCs/>
                <w:szCs w:val="22"/>
                <w:lang w:val="en-GB"/>
              </w:rPr>
            </w:pPr>
          </w:p>
        </w:tc>
      </w:tr>
    </w:tbl>
    <w:p w:rsidR="002A0B93" w:rsidRPr="000B1449" w:rsidRDefault="002A0B93" w:rsidP="00BB0A22">
      <w:pPr>
        <w:ind w:right="-573"/>
        <w:rPr>
          <w:rFonts w:asciiTheme="majorBidi" w:eastAsia="'宋体" w:hAnsiTheme="majorBidi" w:cstheme="majorBidi"/>
          <w:b/>
          <w:bCs/>
          <w:sz w:val="21"/>
          <w:szCs w:val="21"/>
          <w:lang w:val="en-GB"/>
        </w:rPr>
      </w:pPr>
      <w:bookmarkStart w:id="6" w:name="_GoBack"/>
      <w:bookmarkEnd w:id="6"/>
    </w:p>
    <w:sectPr w:rsidR="002A0B93" w:rsidRPr="000B1449" w:rsidSect="00BB0A22">
      <w:pgSz w:w="11901" w:h="16840" w:code="9"/>
      <w:pgMar w:top="1134" w:right="1695" w:bottom="1134" w:left="1559"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29" w:rsidRDefault="00EA4029">
      <w:r>
        <w:separator/>
      </w:r>
    </w:p>
  </w:endnote>
  <w:endnote w:type="continuationSeparator" w:id="0">
    <w:p w:rsidR="00EA4029" w:rsidRDefault="00EA4029">
      <w:r>
        <w:continuationSeparator/>
      </w:r>
    </w:p>
  </w:endnote>
  <w:endnote w:type="continuationNotice" w:id="1">
    <w:p w:rsidR="00EA4029" w:rsidRDefault="00EA4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29" w:rsidRDefault="00EA4029">
      <w:r>
        <w:separator/>
      </w:r>
    </w:p>
  </w:footnote>
  <w:footnote w:type="continuationSeparator" w:id="0">
    <w:p w:rsidR="00EA4029" w:rsidRDefault="00EA4029">
      <w:r>
        <w:continuationSeparator/>
      </w:r>
    </w:p>
  </w:footnote>
  <w:footnote w:type="continuationNotice" w:id="1">
    <w:p w:rsidR="00EA4029" w:rsidRDefault="00EA4029"/>
  </w:footnote>
  <w:footnote w:id="2">
    <w:p w:rsidR="006857C2" w:rsidRDefault="006857C2" w:rsidP="0098049C">
      <w:pPr>
        <w:pStyle w:val="FootnoteText"/>
      </w:pPr>
      <w:r>
        <w:rPr>
          <w:rStyle w:val="FootnoteReference"/>
        </w:rPr>
        <w:footnoteRef/>
      </w:r>
      <w:r>
        <w:t xml:space="preserve"> </w:t>
      </w:r>
      <w:hyperlink r:id="rId1" w:history="1">
        <w:r>
          <w:rPr>
            <w:rStyle w:val="Hyperlink"/>
          </w:rPr>
          <w:t>http://www.itu.int/en/ITU-D/Regulatory-Market/Documents/GSRBestPracticeGuidelines_2013.pdf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7459"/>
    <w:multiLevelType w:val="hybridMultilevel"/>
    <w:tmpl w:val="ADD096C2"/>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7"/>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4"/>
  </w:num>
  <w:num w:numId="12">
    <w:abstractNumId w:val="6"/>
  </w:num>
  <w:num w:numId="13">
    <w:abstractNumId w:val="1"/>
  </w:num>
  <w:num w:numId="14">
    <w:abstractNumId w:val="0"/>
  </w:num>
  <w:num w:numId="15">
    <w:abstractNumId w:val="11"/>
  </w:num>
  <w:num w:numId="16">
    <w:abstractNumId w:val="20"/>
  </w:num>
  <w:num w:numId="17">
    <w:abstractNumId w:val="10"/>
  </w:num>
  <w:num w:numId="18">
    <w:abstractNumId w:val="14"/>
  </w:num>
  <w:num w:numId="19">
    <w:abstractNumId w:val="8"/>
  </w:num>
  <w:num w:numId="20">
    <w:abstractNumId w:val="12"/>
  </w:num>
  <w:num w:numId="21">
    <w:abstractNumId w:val="9"/>
  </w:num>
  <w:num w:numId="22">
    <w:abstractNumId w:val="1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E0B2E"/>
    <w:rsid w:val="000E6F49"/>
    <w:rsid w:val="000E738E"/>
    <w:rsid w:val="000F366F"/>
    <w:rsid w:val="000F7587"/>
    <w:rsid w:val="0010077D"/>
    <w:rsid w:val="00100FFB"/>
    <w:rsid w:val="001012BC"/>
    <w:rsid w:val="00103434"/>
    <w:rsid w:val="0010361A"/>
    <w:rsid w:val="0010375B"/>
    <w:rsid w:val="001054A9"/>
    <w:rsid w:val="00106A94"/>
    <w:rsid w:val="00111A8A"/>
    <w:rsid w:val="001158FB"/>
    <w:rsid w:val="001164E6"/>
    <w:rsid w:val="001217CF"/>
    <w:rsid w:val="00121D0F"/>
    <w:rsid w:val="00122205"/>
    <w:rsid w:val="00130BEC"/>
    <w:rsid w:val="0014173E"/>
    <w:rsid w:val="00143AFF"/>
    <w:rsid w:val="00151F6B"/>
    <w:rsid w:val="00154373"/>
    <w:rsid w:val="001668F0"/>
    <w:rsid w:val="0017057A"/>
    <w:rsid w:val="001743A1"/>
    <w:rsid w:val="00193826"/>
    <w:rsid w:val="00194AC8"/>
    <w:rsid w:val="001962CD"/>
    <w:rsid w:val="001A1E52"/>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200CD5"/>
    <w:rsid w:val="0020692F"/>
    <w:rsid w:val="002070AD"/>
    <w:rsid w:val="00207123"/>
    <w:rsid w:val="002079BE"/>
    <w:rsid w:val="0021145F"/>
    <w:rsid w:val="00212BF7"/>
    <w:rsid w:val="00214150"/>
    <w:rsid w:val="0022078A"/>
    <w:rsid w:val="002228D5"/>
    <w:rsid w:val="0022556C"/>
    <w:rsid w:val="00231E1D"/>
    <w:rsid w:val="00231E46"/>
    <w:rsid w:val="00234D49"/>
    <w:rsid w:val="00235E90"/>
    <w:rsid w:val="00236174"/>
    <w:rsid w:val="0024200E"/>
    <w:rsid w:val="002427C0"/>
    <w:rsid w:val="00243040"/>
    <w:rsid w:val="00243DB0"/>
    <w:rsid w:val="00251AC8"/>
    <w:rsid w:val="00253185"/>
    <w:rsid w:val="00253744"/>
    <w:rsid w:val="0026019F"/>
    <w:rsid w:val="00260D49"/>
    <w:rsid w:val="00261ACE"/>
    <w:rsid w:val="0026646E"/>
    <w:rsid w:val="00266D8D"/>
    <w:rsid w:val="00271F2F"/>
    <w:rsid w:val="002773E1"/>
    <w:rsid w:val="0028438C"/>
    <w:rsid w:val="00287A13"/>
    <w:rsid w:val="00291555"/>
    <w:rsid w:val="00291F7C"/>
    <w:rsid w:val="002A09B4"/>
    <w:rsid w:val="002A0B93"/>
    <w:rsid w:val="002A173B"/>
    <w:rsid w:val="002A264E"/>
    <w:rsid w:val="002A6B9A"/>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73BA"/>
    <w:rsid w:val="00366DC6"/>
    <w:rsid w:val="00374C2C"/>
    <w:rsid w:val="0037552B"/>
    <w:rsid w:val="0038108B"/>
    <w:rsid w:val="003834F8"/>
    <w:rsid w:val="00383935"/>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12CB"/>
    <w:rsid w:val="004855FD"/>
    <w:rsid w:val="00486CB6"/>
    <w:rsid w:val="004944DB"/>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1BD2"/>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6A91"/>
    <w:rsid w:val="00A66CCC"/>
    <w:rsid w:val="00A70CB6"/>
    <w:rsid w:val="00A714BD"/>
    <w:rsid w:val="00A77A06"/>
    <w:rsid w:val="00A819C3"/>
    <w:rsid w:val="00A847FE"/>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3F99"/>
    <w:rsid w:val="00B915C1"/>
    <w:rsid w:val="00B921B1"/>
    <w:rsid w:val="00B92D6B"/>
    <w:rsid w:val="00B9352F"/>
    <w:rsid w:val="00B97A98"/>
    <w:rsid w:val="00BA02C1"/>
    <w:rsid w:val="00BA2D64"/>
    <w:rsid w:val="00BA4B96"/>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BC7"/>
    <w:rsid w:val="00BE5EDE"/>
    <w:rsid w:val="00BE71E9"/>
    <w:rsid w:val="00BE7737"/>
    <w:rsid w:val="00BF3543"/>
    <w:rsid w:val="00BF3A0C"/>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4744"/>
    <w:rsid w:val="00D15326"/>
    <w:rsid w:val="00D15F1E"/>
    <w:rsid w:val="00D1632D"/>
    <w:rsid w:val="00D202FC"/>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82F11"/>
    <w:rsid w:val="00D834CC"/>
    <w:rsid w:val="00D85060"/>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F7B4D"/>
    <w:rsid w:val="00E00223"/>
    <w:rsid w:val="00E023F8"/>
    <w:rsid w:val="00E02AF4"/>
    <w:rsid w:val="00E04BBC"/>
    <w:rsid w:val="00E0648E"/>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67D1"/>
    <w:rsid w:val="00EB7CDE"/>
    <w:rsid w:val="00EC7457"/>
    <w:rsid w:val="00EE27ED"/>
    <w:rsid w:val="00EE2DD2"/>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AF9"/>
    <w:rsid w:val="00F311CA"/>
    <w:rsid w:val="00F339FB"/>
    <w:rsid w:val="00F37B8E"/>
    <w:rsid w:val="00F40E12"/>
    <w:rsid w:val="00F47396"/>
    <w:rsid w:val="00F52927"/>
    <w:rsid w:val="00F55548"/>
    <w:rsid w:val="00F567E9"/>
    <w:rsid w:val="00F57E7D"/>
    <w:rsid w:val="00F60D6B"/>
    <w:rsid w:val="00F63237"/>
    <w:rsid w:val="00F63983"/>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E5034-1678-4284-8E36-2CA790C1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net4/CRM/SD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9030-4EAB-42D1-9DDC-81E9B2BD9F95}"/>
</file>

<file path=customXml/itemProps2.xml><?xml version="1.0" encoding="utf-8"?>
<ds:datastoreItem xmlns:ds="http://schemas.openxmlformats.org/officeDocument/2006/customXml" ds:itemID="{D4953B8A-51B0-421C-9219-ED12AB0ADFCF}"/>
</file>

<file path=customXml/itemProps3.xml><?xml version="1.0" encoding="utf-8"?>
<ds:datastoreItem xmlns:ds="http://schemas.openxmlformats.org/officeDocument/2006/customXml" ds:itemID="{0CBB7ADF-EB5F-4537-943F-279F722AEB45}"/>
</file>

<file path=customXml/itemProps4.xml><?xml version="1.0" encoding="utf-8"?>
<ds:datastoreItem xmlns:ds="http://schemas.openxmlformats.org/officeDocument/2006/customXml" ds:itemID="{BE4F819E-4E0E-4361-BD88-492AE4DB808E}"/>
</file>

<file path=customXml/itemProps5.xml><?xml version="1.0" encoding="utf-8"?>
<ds:datastoreItem xmlns:ds="http://schemas.openxmlformats.org/officeDocument/2006/customXml" ds:itemID="{9E3BB872-021C-4D10-8F02-BFEC6962CFE1}"/>
</file>

<file path=docProps/app.xml><?xml version="1.0" encoding="utf-8"?>
<Properties xmlns="http://schemas.openxmlformats.org/officeDocument/2006/extended-properties" xmlns:vt="http://schemas.openxmlformats.org/officeDocument/2006/docPropsVTypes">
  <Template>Normal.dotm</Template>
  <TotalTime>0</TotalTime>
  <Pages>14</Pages>
  <Words>6168</Words>
  <Characters>36670</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Gitanjali Sah</dc:creator>
  <cp:lastModifiedBy>Brouard, Ricarda</cp:lastModifiedBy>
  <cp:revision>2</cp:revision>
  <cp:lastPrinted>2017-02-21T15:39:00Z</cp:lastPrinted>
  <dcterms:created xsi:type="dcterms:W3CDTF">2017-02-28T11:32:00Z</dcterms:created>
  <dcterms:modified xsi:type="dcterms:W3CDTF">2017-02-28T11:32:00Z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0x010100114DFD771731994AB2F62D62A316FD23</vt:lpwstr>
  </property>
</Properties>
</file>