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3410F1AF" w14:textId="77777777" w:rsidTr="007513B7">
        <w:trPr>
          <w:cantSplit/>
        </w:trPr>
        <w:tc>
          <w:tcPr>
            <w:tcW w:w="6629" w:type="dxa"/>
          </w:tcPr>
          <w:p w14:paraId="1C634E89" w14:textId="77777777" w:rsidR="008A22C5" w:rsidRPr="00F02622" w:rsidRDefault="008A22C5" w:rsidP="000640E0">
            <w:pPr>
              <w:spacing w:before="360" w:after="48"/>
              <w:rPr>
                <w:rFonts w:asciiTheme="minorHAnsi" w:hAnsiTheme="minorHAnsi"/>
                <w:b/>
                <w:position w:val="6"/>
                <w:sz w:val="26"/>
                <w:szCs w:val="26"/>
              </w:rPr>
            </w:pPr>
            <w:bookmarkStart w:id="0" w:name="dc06"/>
            <w:bookmarkEnd w:id="0"/>
            <w:r w:rsidRPr="00F02622">
              <w:rPr>
                <w:rFonts w:asciiTheme="minorHAnsi" w:hAnsiTheme="minorHAnsi"/>
                <w:b/>
                <w:position w:val="6"/>
                <w:sz w:val="26"/>
                <w:szCs w:val="26"/>
                <w:lang w:val="en-US"/>
              </w:rPr>
              <w:t xml:space="preserve">COUNCIL WORKING GROUP ON </w:t>
            </w:r>
            <w:r w:rsidR="000568F5" w:rsidRPr="00F02622">
              <w:rPr>
                <w:rFonts w:asciiTheme="minorHAnsi" w:hAnsiTheme="minorHAnsi"/>
                <w:b/>
                <w:position w:val="6"/>
                <w:sz w:val="26"/>
                <w:szCs w:val="26"/>
                <w:lang w:val="en-US"/>
              </w:rPr>
              <w:t>CHILD ONLINE PROTECTION (RES</w:t>
            </w:r>
            <w:r w:rsidR="000640E0">
              <w:rPr>
                <w:rFonts w:asciiTheme="minorHAnsi" w:hAnsiTheme="minorHAnsi"/>
                <w:b/>
                <w:position w:val="6"/>
                <w:sz w:val="26"/>
                <w:szCs w:val="26"/>
                <w:lang w:val="en-US"/>
              </w:rPr>
              <w:t>OLUTION</w:t>
            </w:r>
            <w:r w:rsidR="000568F5" w:rsidRPr="00F02622">
              <w:rPr>
                <w:rFonts w:asciiTheme="minorHAnsi" w:hAnsiTheme="minorHAnsi"/>
                <w:b/>
                <w:position w:val="6"/>
                <w:sz w:val="26"/>
                <w:szCs w:val="26"/>
                <w:lang w:val="en-US"/>
              </w:rPr>
              <w:t xml:space="preserve"> 179</w:t>
            </w:r>
            <w:r w:rsidRPr="00F02622">
              <w:rPr>
                <w:rFonts w:asciiTheme="minorHAnsi" w:hAnsiTheme="minorHAnsi"/>
                <w:b/>
                <w:position w:val="6"/>
                <w:sz w:val="26"/>
                <w:szCs w:val="26"/>
                <w:lang w:val="en-US"/>
              </w:rPr>
              <w:t>)</w:t>
            </w:r>
            <w:r w:rsidR="0020628E" w:rsidRPr="00F02622">
              <w:rPr>
                <w:rFonts w:asciiTheme="minorHAnsi" w:hAnsiTheme="minorHAnsi"/>
                <w:b/>
                <w:position w:val="6"/>
                <w:sz w:val="26"/>
                <w:szCs w:val="26"/>
                <w:lang w:val="en-US"/>
              </w:rPr>
              <w:br/>
            </w:r>
            <w:r w:rsidR="000568F5" w:rsidRPr="00F02622">
              <w:rPr>
                <w:rFonts w:asciiTheme="minorHAnsi" w:hAnsiTheme="minorHAnsi" w:cs="Times New Roman Bold"/>
                <w:bCs/>
                <w:szCs w:val="24"/>
              </w:rPr>
              <w:t>9</w:t>
            </w:r>
            <w:r w:rsidR="0020628E" w:rsidRPr="00F02622">
              <w:rPr>
                <w:rFonts w:asciiTheme="minorHAnsi" w:hAnsiTheme="minorHAnsi" w:cs="Times New Roman Bold"/>
                <w:bCs/>
                <w:szCs w:val="24"/>
                <w:vertAlign w:val="superscript"/>
              </w:rPr>
              <w:t>th</w:t>
            </w:r>
            <w:r w:rsidR="0020628E" w:rsidRPr="00F02622">
              <w:rPr>
                <w:rFonts w:asciiTheme="minorHAnsi" w:hAnsiTheme="minorHAnsi" w:cs="Times New Roman Bold"/>
                <w:bCs/>
                <w:szCs w:val="24"/>
              </w:rPr>
              <w:t xml:space="preserve"> meeting, Geneva, 2</w:t>
            </w:r>
            <w:r w:rsidR="000568F5" w:rsidRPr="00F02622">
              <w:rPr>
                <w:rFonts w:asciiTheme="minorHAnsi" w:hAnsiTheme="minorHAnsi" w:cs="Times New Roman Bold"/>
                <w:bCs/>
                <w:szCs w:val="24"/>
              </w:rPr>
              <w:t>3</w:t>
            </w:r>
            <w:r w:rsidR="0020628E" w:rsidRPr="00F02622">
              <w:rPr>
                <w:rFonts w:asciiTheme="minorHAnsi" w:hAnsiTheme="minorHAnsi" w:cs="Times New Roman Bold"/>
                <w:bCs/>
                <w:szCs w:val="24"/>
              </w:rPr>
              <w:t xml:space="preserve"> January 2015</w:t>
            </w:r>
          </w:p>
        </w:tc>
        <w:tc>
          <w:tcPr>
            <w:tcW w:w="3685" w:type="dxa"/>
          </w:tcPr>
          <w:p w14:paraId="28C8A28E" w14:textId="77777777" w:rsidR="008A22C5" w:rsidRPr="00F02622" w:rsidRDefault="0020628E" w:rsidP="007513B7">
            <w:pPr>
              <w:spacing w:before="0" w:line="240" w:lineRule="atLeast"/>
            </w:pPr>
            <w:bookmarkStart w:id="1" w:name="ditulogo"/>
            <w:bookmarkEnd w:id="1"/>
            <w:r w:rsidRPr="00F02622">
              <w:rPr>
                <w:noProof/>
                <w:lang w:val="en-US" w:eastAsia="zh-CN"/>
              </w:rPr>
              <w:drawing>
                <wp:inline distT="0" distB="0" distL="0" distR="0" wp14:anchorId="680C98DB" wp14:editId="4650E92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8A22C5" w:rsidRPr="00617BE4" w14:paraId="4905925F" w14:textId="77777777" w:rsidTr="007513B7">
        <w:trPr>
          <w:cantSplit/>
        </w:trPr>
        <w:tc>
          <w:tcPr>
            <w:tcW w:w="6629" w:type="dxa"/>
            <w:tcBorders>
              <w:bottom w:val="single" w:sz="12" w:space="0" w:color="auto"/>
            </w:tcBorders>
          </w:tcPr>
          <w:p w14:paraId="0914A716" w14:textId="77777777" w:rsidR="008A22C5" w:rsidRPr="00F02622" w:rsidRDefault="0020628E" w:rsidP="007513B7">
            <w:pPr>
              <w:spacing w:before="0" w:after="48" w:line="240" w:lineRule="atLeast"/>
              <w:rPr>
                <w:rFonts w:asciiTheme="minorHAnsi" w:hAnsiTheme="minorHAnsi"/>
                <w:b/>
                <w:smallCaps/>
                <w:szCs w:val="24"/>
              </w:rPr>
            </w:pPr>
            <w:r w:rsidRPr="00F02622">
              <w:rPr>
                <w:rFonts w:asciiTheme="minorHAnsi" w:hAnsiTheme="minorHAnsi" w:cs="Times New Roman Bold"/>
                <w:bCs/>
                <w:szCs w:val="24"/>
              </w:rPr>
              <w:t>INTERNATIONAL TELECOMMUNICATION UNION</w:t>
            </w:r>
          </w:p>
        </w:tc>
        <w:tc>
          <w:tcPr>
            <w:tcW w:w="3685" w:type="dxa"/>
            <w:tcBorders>
              <w:bottom w:val="single" w:sz="12" w:space="0" w:color="auto"/>
            </w:tcBorders>
          </w:tcPr>
          <w:p w14:paraId="785AA8AB" w14:textId="77777777" w:rsidR="008A22C5" w:rsidRPr="00F02622" w:rsidRDefault="008A22C5" w:rsidP="007513B7">
            <w:pPr>
              <w:spacing w:before="0" w:line="240" w:lineRule="atLeast"/>
              <w:rPr>
                <w:rFonts w:ascii="Verdana" w:hAnsi="Verdana"/>
                <w:szCs w:val="24"/>
              </w:rPr>
            </w:pPr>
          </w:p>
        </w:tc>
      </w:tr>
      <w:tr w:rsidR="008A22C5" w:rsidRPr="00617BE4" w14:paraId="656865BD" w14:textId="77777777" w:rsidTr="007513B7">
        <w:trPr>
          <w:cantSplit/>
        </w:trPr>
        <w:tc>
          <w:tcPr>
            <w:tcW w:w="6629" w:type="dxa"/>
            <w:tcBorders>
              <w:top w:val="single" w:sz="12" w:space="0" w:color="auto"/>
            </w:tcBorders>
          </w:tcPr>
          <w:p w14:paraId="75CD0FDD" w14:textId="77777777" w:rsidR="008A22C5" w:rsidRPr="00F02622" w:rsidRDefault="008A22C5" w:rsidP="007513B7">
            <w:pPr>
              <w:spacing w:before="0" w:after="48" w:line="240" w:lineRule="atLeast"/>
              <w:rPr>
                <w:b/>
                <w:smallCaps/>
                <w:szCs w:val="24"/>
              </w:rPr>
            </w:pPr>
          </w:p>
        </w:tc>
        <w:tc>
          <w:tcPr>
            <w:tcW w:w="3685" w:type="dxa"/>
            <w:tcBorders>
              <w:top w:val="single" w:sz="12" w:space="0" w:color="auto"/>
            </w:tcBorders>
          </w:tcPr>
          <w:p w14:paraId="56E68AD1" w14:textId="77777777" w:rsidR="008A22C5" w:rsidRPr="00F02622" w:rsidRDefault="008A22C5" w:rsidP="007513B7">
            <w:pPr>
              <w:spacing w:before="0" w:line="240" w:lineRule="atLeast"/>
              <w:rPr>
                <w:rFonts w:ascii="Verdana" w:hAnsi="Verdana"/>
                <w:szCs w:val="24"/>
              </w:rPr>
            </w:pPr>
          </w:p>
        </w:tc>
      </w:tr>
      <w:tr w:rsidR="008A22C5" w:rsidRPr="00E544AC" w14:paraId="35E82164" w14:textId="77777777" w:rsidTr="007513B7">
        <w:trPr>
          <w:cantSplit/>
          <w:trHeight w:val="23"/>
        </w:trPr>
        <w:tc>
          <w:tcPr>
            <w:tcW w:w="6629" w:type="dxa"/>
            <w:vMerge w:val="restart"/>
          </w:tcPr>
          <w:p w14:paraId="7114007D" w14:textId="77777777" w:rsidR="008A22C5" w:rsidRPr="00F02622" w:rsidRDefault="008A22C5" w:rsidP="007513B7">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14:paraId="2763ACC7" w14:textId="77777777" w:rsidR="008A22C5" w:rsidRPr="00F02622" w:rsidRDefault="008A22C5" w:rsidP="007513B7">
            <w:pPr>
              <w:tabs>
                <w:tab w:val="left" w:pos="851"/>
              </w:tabs>
              <w:spacing w:before="0" w:line="240" w:lineRule="atLeast"/>
              <w:rPr>
                <w:rFonts w:asciiTheme="minorHAnsi" w:hAnsiTheme="minorHAnsi"/>
                <w:b/>
                <w:szCs w:val="24"/>
                <w:lang w:val="de-CH"/>
              </w:rPr>
            </w:pPr>
            <w:r w:rsidRPr="00F02622">
              <w:rPr>
                <w:rFonts w:asciiTheme="minorHAnsi" w:hAnsiTheme="minorHAnsi"/>
                <w:b/>
                <w:szCs w:val="24"/>
                <w:lang w:val="de-CH"/>
              </w:rPr>
              <w:t xml:space="preserve">Document </w:t>
            </w:r>
            <w:r w:rsidR="00F910A2" w:rsidRPr="00F02622">
              <w:rPr>
                <w:rFonts w:asciiTheme="minorHAnsi" w:hAnsiTheme="minorHAnsi"/>
                <w:b/>
                <w:szCs w:val="24"/>
                <w:lang w:val="de-CH"/>
              </w:rPr>
              <w:t>XXXX</w:t>
            </w:r>
            <w:r w:rsidRPr="00F02622">
              <w:rPr>
                <w:rFonts w:asciiTheme="minorHAnsi" w:hAnsiTheme="minorHAnsi"/>
                <w:b/>
                <w:szCs w:val="24"/>
                <w:lang w:val="de-CH"/>
              </w:rPr>
              <w:t>-E</w:t>
            </w:r>
          </w:p>
        </w:tc>
      </w:tr>
      <w:tr w:rsidR="008A22C5" w:rsidRPr="00E544AC" w14:paraId="46426204" w14:textId="77777777" w:rsidTr="007513B7">
        <w:trPr>
          <w:cantSplit/>
          <w:trHeight w:val="23"/>
        </w:trPr>
        <w:tc>
          <w:tcPr>
            <w:tcW w:w="6629" w:type="dxa"/>
            <w:vMerge/>
          </w:tcPr>
          <w:p w14:paraId="2555BDAA" w14:textId="77777777" w:rsidR="008A22C5" w:rsidRPr="00F02622" w:rsidRDefault="008A22C5" w:rsidP="007513B7">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14:paraId="6559EF68" w14:textId="77777777" w:rsidR="008A22C5" w:rsidRPr="00F02622" w:rsidRDefault="00F02622" w:rsidP="007513B7">
            <w:pPr>
              <w:tabs>
                <w:tab w:val="left" w:pos="993"/>
              </w:tabs>
              <w:spacing w:before="0"/>
              <w:rPr>
                <w:rFonts w:asciiTheme="minorHAnsi" w:hAnsiTheme="minorHAnsi"/>
                <w:b/>
                <w:szCs w:val="24"/>
              </w:rPr>
            </w:pPr>
            <w:r w:rsidRPr="00F02622">
              <w:rPr>
                <w:rFonts w:asciiTheme="minorHAnsi" w:hAnsiTheme="minorHAnsi"/>
                <w:b/>
                <w:szCs w:val="24"/>
              </w:rPr>
              <w:t>19</w:t>
            </w:r>
            <w:r w:rsidR="00E544AC" w:rsidRPr="00F02622">
              <w:rPr>
                <w:rFonts w:asciiTheme="minorHAnsi" w:hAnsiTheme="minorHAnsi"/>
                <w:b/>
                <w:szCs w:val="24"/>
              </w:rPr>
              <w:t xml:space="preserve"> </w:t>
            </w:r>
            <w:r w:rsidR="00F910A2" w:rsidRPr="00F02622">
              <w:rPr>
                <w:rFonts w:asciiTheme="minorHAnsi" w:hAnsiTheme="minorHAnsi"/>
                <w:b/>
                <w:szCs w:val="24"/>
              </w:rPr>
              <w:t>January</w:t>
            </w:r>
            <w:r w:rsidR="008A22C5" w:rsidRPr="00F02622">
              <w:rPr>
                <w:rFonts w:asciiTheme="minorHAnsi" w:hAnsiTheme="minorHAnsi"/>
                <w:b/>
                <w:szCs w:val="24"/>
              </w:rPr>
              <w:t xml:space="preserve"> 20</w:t>
            </w:r>
            <w:r w:rsidR="00370861" w:rsidRPr="00F02622">
              <w:rPr>
                <w:rFonts w:asciiTheme="minorHAnsi" w:hAnsiTheme="minorHAnsi"/>
                <w:b/>
                <w:szCs w:val="24"/>
              </w:rPr>
              <w:t>1</w:t>
            </w:r>
            <w:r w:rsidR="00F910A2" w:rsidRPr="00F02622">
              <w:rPr>
                <w:rFonts w:asciiTheme="minorHAnsi" w:hAnsiTheme="minorHAnsi"/>
                <w:b/>
                <w:szCs w:val="24"/>
              </w:rPr>
              <w:t>5</w:t>
            </w:r>
          </w:p>
        </w:tc>
      </w:tr>
      <w:tr w:rsidR="008A22C5" w:rsidRPr="00E544AC" w14:paraId="3C7905AA" w14:textId="77777777" w:rsidTr="007513B7">
        <w:trPr>
          <w:cantSplit/>
          <w:trHeight w:val="80"/>
        </w:trPr>
        <w:tc>
          <w:tcPr>
            <w:tcW w:w="6629" w:type="dxa"/>
            <w:vMerge/>
          </w:tcPr>
          <w:p w14:paraId="7BB7093E" w14:textId="77777777" w:rsidR="008A22C5" w:rsidRPr="00E544AC" w:rsidRDefault="008A22C5" w:rsidP="007513B7">
            <w:pPr>
              <w:tabs>
                <w:tab w:val="left" w:pos="851"/>
              </w:tabs>
              <w:spacing w:line="240" w:lineRule="atLeast"/>
              <w:rPr>
                <w:rFonts w:asciiTheme="minorHAnsi" w:hAnsiTheme="minorHAnsi"/>
                <w:b/>
                <w:szCs w:val="24"/>
              </w:rPr>
            </w:pPr>
            <w:bookmarkStart w:id="5" w:name="dorlang" w:colFirst="1" w:colLast="1"/>
            <w:bookmarkEnd w:id="4"/>
          </w:p>
        </w:tc>
        <w:tc>
          <w:tcPr>
            <w:tcW w:w="3685" w:type="dxa"/>
          </w:tcPr>
          <w:p w14:paraId="37EA8EE7" w14:textId="77777777" w:rsidR="00B25B41" w:rsidRPr="00E544AC" w:rsidRDefault="008A22C5" w:rsidP="007513B7">
            <w:pPr>
              <w:tabs>
                <w:tab w:val="left" w:pos="993"/>
              </w:tabs>
              <w:spacing w:before="0"/>
              <w:rPr>
                <w:rFonts w:asciiTheme="minorHAnsi" w:hAnsiTheme="minorHAnsi"/>
                <w:b/>
                <w:szCs w:val="24"/>
              </w:rPr>
            </w:pPr>
            <w:r w:rsidRPr="00E544AC">
              <w:rPr>
                <w:rFonts w:asciiTheme="minorHAnsi" w:hAnsiTheme="minorHAnsi"/>
                <w:b/>
                <w:szCs w:val="24"/>
              </w:rPr>
              <w:t>English only</w:t>
            </w:r>
          </w:p>
        </w:tc>
      </w:tr>
      <w:tr w:rsidR="007513B7" w:rsidRPr="00E544AC" w14:paraId="38447B69" w14:textId="77777777" w:rsidTr="007513B7">
        <w:trPr>
          <w:cantSplit/>
          <w:trHeight w:val="1134"/>
        </w:trPr>
        <w:tc>
          <w:tcPr>
            <w:tcW w:w="10314" w:type="dxa"/>
            <w:gridSpan w:val="2"/>
          </w:tcPr>
          <w:p w14:paraId="09DB2B1F" w14:textId="77777777" w:rsidR="000568F5" w:rsidRDefault="000568F5" w:rsidP="007513B7">
            <w:pPr>
              <w:tabs>
                <w:tab w:val="left" w:pos="993"/>
              </w:tabs>
              <w:spacing w:before="240" w:after="240"/>
              <w:jc w:val="center"/>
              <w:rPr>
                <w:rFonts w:asciiTheme="minorHAnsi" w:hAnsiTheme="minorHAnsi"/>
                <w:b/>
                <w:bCs/>
                <w:szCs w:val="24"/>
              </w:rPr>
            </w:pPr>
            <w:r w:rsidRPr="000568F5">
              <w:rPr>
                <w:rFonts w:asciiTheme="minorHAnsi" w:hAnsiTheme="minorHAnsi"/>
                <w:b/>
                <w:bCs/>
                <w:szCs w:val="24"/>
              </w:rPr>
              <w:t>Update on the ITU Child Online Protection (COP) Initiative</w:t>
            </w:r>
          </w:p>
          <w:p w14:paraId="3811E801" w14:textId="77777777" w:rsidR="00F02622" w:rsidRPr="00F02622" w:rsidRDefault="00F02622" w:rsidP="00F02622">
            <w:pPr>
              <w:tabs>
                <w:tab w:val="left" w:pos="993"/>
              </w:tabs>
              <w:spacing w:before="240" w:after="240"/>
              <w:rPr>
                <w:rFonts w:asciiTheme="minorHAnsi" w:hAnsiTheme="minorHAnsi"/>
                <w:bCs/>
                <w:szCs w:val="24"/>
              </w:rPr>
            </w:pPr>
            <w:r w:rsidRPr="00F02622">
              <w:rPr>
                <w:rFonts w:asciiTheme="minorHAnsi" w:hAnsiTheme="minorHAnsi"/>
                <w:bCs/>
                <w:szCs w:val="24"/>
              </w:rPr>
              <w:t>1.</w:t>
            </w:r>
            <w:r w:rsidRPr="00F02622">
              <w:rPr>
                <w:rFonts w:asciiTheme="minorHAnsi" w:hAnsiTheme="minorHAnsi"/>
                <w:bCs/>
                <w:szCs w:val="24"/>
              </w:rPr>
              <w:tab/>
              <w:t xml:space="preserve">In line with Res. 179 (Busan, 2014), ITU is continuing to implement COP activities worldwide together with the partners of the COP Initiative. </w:t>
            </w:r>
          </w:p>
          <w:p w14:paraId="21FE3A7E" w14:textId="202AD15D" w:rsidR="00F02622" w:rsidRPr="00F02622" w:rsidRDefault="00F02622" w:rsidP="00F02622">
            <w:pPr>
              <w:tabs>
                <w:tab w:val="left" w:pos="993"/>
              </w:tabs>
              <w:spacing w:before="240" w:after="240"/>
              <w:rPr>
                <w:rFonts w:asciiTheme="minorHAnsi" w:hAnsiTheme="minorHAnsi"/>
                <w:bCs/>
                <w:szCs w:val="24"/>
              </w:rPr>
            </w:pPr>
            <w:r w:rsidRPr="00F02622">
              <w:rPr>
                <w:rFonts w:asciiTheme="minorHAnsi" w:hAnsiTheme="minorHAnsi"/>
                <w:bCs/>
                <w:szCs w:val="24"/>
              </w:rPr>
              <w:t>2.</w:t>
            </w:r>
            <w:r w:rsidRPr="00F02622">
              <w:rPr>
                <w:rFonts w:asciiTheme="minorHAnsi" w:hAnsiTheme="minorHAnsi"/>
                <w:bCs/>
                <w:szCs w:val="24"/>
              </w:rPr>
              <w:tab/>
              <w:t>In September 2014, on the occasion of the Open Forum held at the IGF in Istanbul, ITU and UNICEF</w:t>
            </w:r>
            <w:r w:rsidR="00B93256">
              <w:rPr>
                <w:rFonts w:asciiTheme="minorHAnsi" w:hAnsiTheme="minorHAnsi"/>
                <w:bCs/>
                <w:szCs w:val="24"/>
              </w:rPr>
              <w:t xml:space="preserve">, </w:t>
            </w:r>
            <w:r w:rsidR="00B93256" w:rsidRPr="00F02622">
              <w:rPr>
                <w:rFonts w:asciiTheme="minorHAnsi" w:hAnsiTheme="minorHAnsi"/>
                <w:bCs/>
                <w:szCs w:val="24"/>
              </w:rPr>
              <w:t>launched</w:t>
            </w:r>
            <w:r w:rsidRPr="00F02622">
              <w:rPr>
                <w:rFonts w:asciiTheme="minorHAnsi" w:hAnsiTheme="minorHAnsi"/>
                <w:bCs/>
                <w:szCs w:val="24"/>
              </w:rPr>
              <w:t xml:space="preserve"> the updated version of the </w:t>
            </w:r>
            <w:hyperlink r:id="rId11" w:history="1">
              <w:r w:rsidRPr="00B93256">
                <w:rPr>
                  <w:rStyle w:val="Hyperlink"/>
                  <w:rFonts w:asciiTheme="minorHAnsi" w:hAnsiTheme="minorHAnsi"/>
                  <w:bCs/>
                  <w:szCs w:val="24"/>
                </w:rPr>
                <w:t>COP Guidelines on Industry</w:t>
              </w:r>
            </w:hyperlink>
            <w:r w:rsidRPr="00F02622">
              <w:rPr>
                <w:rFonts w:asciiTheme="minorHAnsi" w:hAnsiTheme="minorHAnsi"/>
                <w:bCs/>
                <w:szCs w:val="24"/>
              </w:rPr>
              <w:t xml:space="preserve">. </w:t>
            </w:r>
            <w:r w:rsidR="00B85FBB">
              <w:rPr>
                <w:rFonts w:asciiTheme="minorHAnsi" w:hAnsiTheme="minorHAnsi"/>
                <w:bCs/>
                <w:szCs w:val="24"/>
              </w:rPr>
              <w:t xml:space="preserve">Some of the key contributing organizations such as GSMA --- </w:t>
            </w:r>
            <w:r w:rsidR="00B93256">
              <w:rPr>
                <w:rFonts w:asciiTheme="minorHAnsi" w:hAnsiTheme="minorHAnsi"/>
                <w:bCs/>
                <w:szCs w:val="24"/>
              </w:rPr>
              <w:t>also</w:t>
            </w:r>
            <w:r w:rsidR="00B85FBB">
              <w:rPr>
                <w:rFonts w:asciiTheme="minorHAnsi" w:hAnsiTheme="minorHAnsi"/>
                <w:bCs/>
                <w:szCs w:val="24"/>
              </w:rPr>
              <w:t xml:space="preserve"> participated in the launch. </w:t>
            </w:r>
            <w:r w:rsidRPr="00F02622">
              <w:rPr>
                <w:rFonts w:asciiTheme="minorHAnsi" w:hAnsiTheme="minorHAnsi"/>
                <w:bCs/>
                <w:szCs w:val="24"/>
              </w:rPr>
              <w:t>The new version provides advice on how the ICT industry can help promote safety for children using the Internet or any technologies or devices that can connect to it, as well as guidance on how to enable responsible digital citizenship, learning and civic participation. The updated version provides guidance specifically aimed at companies that develop, provide or make use of information and communication technologies.</w:t>
            </w:r>
          </w:p>
          <w:p w14:paraId="3116BC3B" w14:textId="58317A18"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t>3.</w:t>
            </w:r>
            <w:r w:rsidRPr="00F02622">
              <w:rPr>
                <w:rFonts w:asciiTheme="minorHAnsi" w:hAnsiTheme="minorHAnsi"/>
                <w:bCs/>
                <w:szCs w:val="24"/>
              </w:rPr>
              <w:tab/>
              <w:t xml:space="preserve">In addition, ITU and UNICEF published an </w:t>
            </w:r>
            <w:hyperlink r:id="rId12" w:history="1">
              <w:r w:rsidRPr="00B93256">
                <w:rPr>
                  <w:rStyle w:val="Hyperlink"/>
                  <w:rFonts w:asciiTheme="minorHAnsi" w:hAnsiTheme="minorHAnsi"/>
                  <w:bCs/>
                  <w:szCs w:val="24"/>
                </w:rPr>
                <w:t>online platform</w:t>
              </w:r>
            </w:hyperlink>
            <w:r w:rsidRPr="00F02622">
              <w:rPr>
                <w:rFonts w:asciiTheme="minorHAnsi" w:hAnsiTheme="minorHAnsi"/>
                <w:bCs/>
                <w:szCs w:val="24"/>
              </w:rPr>
              <w:t xml:space="preserve"> of case studies: this platform hosts a variety of case studies providing detailed information on policies, best practices, as well as other actions and processes that the broader ICT Industry has implemented to ensure that children enjoy the benefits of the digital technology within a safe online environment. </w:t>
            </w:r>
          </w:p>
          <w:p w14:paraId="503FEFB6" w14:textId="448D0B61"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t>4.</w:t>
            </w:r>
            <w:r w:rsidRPr="00F02622">
              <w:rPr>
                <w:rFonts w:asciiTheme="minorHAnsi" w:hAnsiTheme="minorHAnsi"/>
                <w:bCs/>
                <w:szCs w:val="24"/>
              </w:rPr>
              <w:tab/>
              <w:t xml:space="preserve">The guidelines are already at its implementation stage: </w:t>
            </w:r>
            <w:r w:rsidR="00B85FBB">
              <w:rPr>
                <w:rFonts w:asciiTheme="minorHAnsi" w:hAnsiTheme="minorHAnsi"/>
                <w:bCs/>
                <w:szCs w:val="24"/>
              </w:rPr>
              <w:t xml:space="preserve">For example, </w:t>
            </w:r>
            <w:r w:rsidRPr="00F02622">
              <w:rPr>
                <w:rFonts w:asciiTheme="minorHAnsi" w:hAnsiTheme="minorHAnsi"/>
                <w:bCs/>
                <w:szCs w:val="24"/>
              </w:rPr>
              <w:t xml:space="preserve">GSMA together with UNICEF </w:t>
            </w:r>
            <w:r w:rsidR="00B85FBB">
              <w:rPr>
                <w:rFonts w:asciiTheme="minorHAnsi" w:hAnsiTheme="minorHAnsi"/>
                <w:bCs/>
                <w:szCs w:val="24"/>
              </w:rPr>
              <w:t>are working with</w:t>
            </w:r>
            <w:r w:rsidRPr="00F02622">
              <w:rPr>
                <w:rFonts w:asciiTheme="minorHAnsi" w:hAnsiTheme="minorHAnsi"/>
                <w:bCs/>
                <w:szCs w:val="24"/>
              </w:rPr>
              <w:t xml:space="preserve"> national mobile operators and other relevant stakeholders in </w:t>
            </w:r>
            <w:r w:rsidR="00B85FBB">
              <w:rPr>
                <w:rFonts w:asciiTheme="minorHAnsi" w:hAnsiTheme="minorHAnsi"/>
                <w:bCs/>
                <w:szCs w:val="24"/>
              </w:rPr>
              <w:t xml:space="preserve">various </w:t>
            </w:r>
            <w:r w:rsidRPr="00F02622">
              <w:rPr>
                <w:rFonts w:asciiTheme="minorHAnsi" w:hAnsiTheme="minorHAnsi"/>
                <w:bCs/>
                <w:szCs w:val="24"/>
              </w:rPr>
              <w:t xml:space="preserve">countries </w:t>
            </w:r>
            <w:r w:rsidR="00B85FBB">
              <w:rPr>
                <w:rFonts w:asciiTheme="minorHAnsi" w:hAnsiTheme="minorHAnsi"/>
                <w:bCs/>
                <w:szCs w:val="24"/>
              </w:rPr>
              <w:t>in</w:t>
            </w:r>
            <w:r w:rsidR="00B85FBB" w:rsidRPr="00F02622">
              <w:rPr>
                <w:rFonts w:asciiTheme="minorHAnsi" w:hAnsiTheme="minorHAnsi"/>
                <w:bCs/>
                <w:szCs w:val="24"/>
              </w:rPr>
              <w:t xml:space="preserve"> </w:t>
            </w:r>
            <w:r w:rsidRPr="00F02622">
              <w:rPr>
                <w:rFonts w:asciiTheme="minorHAnsi" w:hAnsiTheme="minorHAnsi"/>
                <w:bCs/>
                <w:szCs w:val="24"/>
              </w:rPr>
              <w:t>Latin America with the aim to translate the guidelines into practice.</w:t>
            </w:r>
          </w:p>
          <w:p w14:paraId="3FDBEF83" w14:textId="181A2F6B"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t>5.</w:t>
            </w:r>
            <w:r w:rsidRPr="00F02622">
              <w:rPr>
                <w:rFonts w:asciiTheme="minorHAnsi" w:hAnsiTheme="minorHAnsi"/>
                <w:bCs/>
                <w:szCs w:val="24"/>
              </w:rPr>
              <w:tab/>
            </w:r>
            <w:r w:rsidR="00B85FBB">
              <w:rPr>
                <w:rFonts w:asciiTheme="minorHAnsi" w:hAnsiTheme="minorHAnsi"/>
                <w:bCs/>
                <w:szCs w:val="24"/>
              </w:rPr>
              <w:t>F</w:t>
            </w:r>
            <w:r w:rsidRPr="00F02622">
              <w:rPr>
                <w:rFonts w:asciiTheme="minorHAnsi" w:hAnsiTheme="minorHAnsi"/>
                <w:bCs/>
                <w:szCs w:val="24"/>
              </w:rPr>
              <w:t xml:space="preserve">ollowing the Memorandum of Understanding (MoU) signed between ITU and Trend Micro, ITU is distributing regular infographics and reports to </w:t>
            </w:r>
            <w:r w:rsidR="00B85FBB">
              <w:rPr>
                <w:rFonts w:asciiTheme="minorHAnsi" w:hAnsiTheme="minorHAnsi"/>
                <w:bCs/>
                <w:szCs w:val="24"/>
              </w:rPr>
              <w:t>M</w:t>
            </w:r>
            <w:r w:rsidR="00B85FBB" w:rsidRPr="00F02622">
              <w:rPr>
                <w:rFonts w:asciiTheme="minorHAnsi" w:hAnsiTheme="minorHAnsi"/>
                <w:bCs/>
                <w:szCs w:val="24"/>
              </w:rPr>
              <w:t xml:space="preserve">ember </w:t>
            </w:r>
            <w:r w:rsidR="00B85FBB">
              <w:rPr>
                <w:rFonts w:asciiTheme="minorHAnsi" w:hAnsiTheme="minorHAnsi"/>
                <w:bCs/>
                <w:szCs w:val="24"/>
              </w:rPr>
              <w:t>S</w:t>
            </w:r>
            <w:r w:rsidR="00B85FBB" w:rsidRPr="00F02622">
              <w:rPr>
                <w:rFonts w:asciiTheme="minorHAnsi" w:hAnsiTheme="minorHAnsi"/>
                <w:bCs/>
                <w:szCs w:val="24"/>
              </w:rPr>
              <w:t xml:space="preserve">tates </w:t>
            </w:r>
            <w:r w:rsidRPr="00F02622">
              <w:rPr>
                <w:rFonts w:asciiTheme="minorHAnsi" w:hAnsiTheme="minorHAnsi"/>
                <w:bCs/>
                <w:szCs w:val="24"/>
              </w:rPr>
              <w:t xml:space="preserve">on issues related to child online safety. </w:t>
            </w:r>
            <w:r w:rsidR="00B85FBB">
              <w:rPr>
                <w:rFonts w:asciiTheme="minorHAnsi" w:hAnsiTheme="minorHAnsi"/>
                <w:bCs/>
                <w:szCs w:val="24"/>
              </w:rPr>
              <w:t>In addition,</w:t>
            </w:r>
            <w:r w:rsidRPr="00F02622">
              <w:rPr>
                <w:rFonts w:asciiTheme="minorHAnsi" w:hAnsiTheme="minorHAnsi"/>
                <w:bCs/>
                <w:szCs w:val="24"/>
              </w:rPr>
              <w:t xml:space="preserve"> ITU and Trend Micro organized an online training for different stakeholders during </w:t>
            </w:r>
            <w:r w:rsidR="00B85FBB">
              <w:rPr>
                <w:rFonts w:asciiTheme="minorHAnsi" w:hAnsiTheme="minorHAnsi"/>
                <w:bCs/>
                <w:szCs w:val="24"/>
              </w:rPr>
              <w:t xml:space="preserve">the 2014 </w:t>
            </w:r>
            <w:r w:rsidRPr="00F02622">
              <w:rPr>
                <w:rFonts w:asciiTheme="minorHAnsi" w:hAnsiTheme="minorHAnsi"/>
                <w:bCs/>
                <w:szCs w:val="24"/>
              </w:rPr>
              <w:t xml:space="preserve">WSIS </w:t>
            </w:r>
            <w:r w:rsidR="00B85FBB">
              <w:rPr>
                <w:rFonts w:asciiTheme="minorHAnsi" w:hAnsiTheme="minorHAnsi"/>
                <w:bCs/>
                <w:szCs w:val="24"/>
              </w:rPr>
              <w:t>Forum</w:t>
            </w:r>
            <w:r w:rsidRPr="00F02622">
              <w:rPr>
                <w:rFonts w:asciiTheme="minorHAnsi" w:hAnsiTheme="minorHAnsi"/>
                <w:bCs/>
                <w:szCs w:val="24"/>
              </w:rPr>
              <w:t>.</w:t>
            </w:r>
          </w:p>
          <w:p w14:paraId="7380389F" w14:textId="0E6EB012"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t>6.</w:t>
            </w:r>
            <w:r w:rsidRPr="00F02622">
              <w:rPr>
                <w:rFonts w:asciiTheme="minorHAnsi" w:hAnsiTheme="minorHAnsi"/>
                <w:bCs/>
                <w:szCs w:val="24"/>
              </w:rPr>
              <w:tab/>
            </w:r>
            <w:r w:rsidR="00B85FBB">
              <w:rPr>
                <w:rFonts w:asciiTheme="minorHAnsi" w:hAnsiTheme="minorHAnsi"/>
                <w:bCs/>
                <w:szCs w:val="24"/>
              </w:rPr>
              <w:t>W</w:t>
            </w:r>
            <w:r w:rsidRPr="00F02622">
              <w:rPr>
                <w:rFonts w:asciiTheme="minorHAnsi" w:hAnsiTheme="minorHAnsi"/>
                <w:bCs/>
                <w:szCs w:val="24"/>
              </w:rPr>
              <w:t xml:space="preserve">ith the goal to set global targets on child online protection, ITU organized a COP partners meeting </w:t>
            </w:r>
            <w:r w:rsidR="00B85FBB">
              <w:rPr>
                <w:rFonts w:asciiTheme="minorHAnsi" w:hAnsiTheme="minorHAnsi"/>
                <w:bCs/>
                <w:szCs w:val="24"/>
              </w:rPr>
              <w:t>during the 2014 WSIS Forum</w:t>
            </w:r>
            <w:r w:rsidRPr="00F02622">
              <w:rPr>
                <w:rFonts w:asciiTheme="minorHAnsi" w:hAnsiTheme="minorHAnsi"/>
                <w:bCs/>
                <w:szCs w:val="24"/>
              </w:rPr>
              <w:t xml:space="preserve">. Participants agreed on the need to work towards global targets to maximize the impact of COP activities at the international level. Discussion on the elaboration of specific indicators along with measurement procedures is ongoing with the several members of the initiative. </w:t>
            </w:r>
          </w:p>
          <w:p w14:paraId="19092945" w14:textId="778AB3DD"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t>7.</w:t>
            </w:r>
            <w:r w:rsidRPr="00F02622">
              <w:rPr>
                <w:rFonts w:asciiTheme="minorHAnsi" w:hAnsiTheme="minorHAnsi"/>
                <w:bCs/>
                <w:szCs w:val="24"/>
              </w:rPr>
              <w:tab/>
            </w:r>
            <w:r w:rsidR="00B85FBB">
              <w:rPr>
                <w:rFonts w:asciiTheme="minorHAnsi" w:hAnsiTheme="minorHAnsi"/>
                <w:bCs/>
                <w:szCs w:val="24"/>
              </w:rPr>
              <w:t>In the last quarter of 2014</w:t>
            </w:r>
            <w:r w:rsidRPr="00F02622">
              <w:rPr>
                <w:rFonts w:asciiTheme="minorHAnsi" w:hAnsiTheme="minorHAnsi"/>
                <w:bCs/>
                <w:szCs w:val="24"/>
              </w:rPr>
              <w:t xml:space="preserve">, ITU continued to provide assistance to countries such as Oman, Zambia, Bahrain and Vanuatu, with the aim to support national stakeholders in planning and deploying an effective and practical approach to COP that can be implemented in the </w:t>
            </w:r>
            <w:r w:rsidR="00B85FBB">
              <w:rPr>
                <w:rFonts w:asciiTheme="minorHAnsi" w:hAnsiTheme="minorHAnsi"/>
                <w:bCs/>
                <w:szCs w:val="24"/>
              </w:rPr>
              <w:t xml:space="preserve">respective </w:t>
            </w:r>
            <w:r w:rsidR="00B85FBB" w:rsidRPr="00F02622">
              <w:rPr>
                <w:rFonts w:asciiTheme="minorHAnsi" w:hAnsiTheme="minorHAnsi"/>
                <w:bCs/>
                <w:szCs w:val="24"/>
              </w:rPr>
              <w:t>countr</w:t>
            </w:r>
            <w:r w:rsidR="00B85FBB">
              <w:rPr>
                <w:rFonts w:asciiTheme="minorHAnsi" w:hAnsiTheme="minorHAnsi"/>
                <w:bCs/>
                <w:szCs w:val="24"/>
              </w:rPr>
              <w:t>ies</w:t>
            </w:r>
            <w:r w:rsidRPr="00F02622">
              <w:rPr>
                <w:rFonts w:asciiTheme="minorHAnsi" w:hAnsiTheme="minorHAnsi"/>
                <w:bCs/>
                <w:szCs w:val="24"/>
              </w:rPr>
              <w:t>.</w:t>
            </w:r>
          </w:p>
          <w:p w14:paraId="0F80F923" w14:textId="1F230B57" w:rsidR="00F02622" w:rsidRPr="00F02622" w:rsidRDefault="00F02622" w:rsidP="00B85FBB">
            <w:pPr>
              <w:tabs>
                <w:tab w:val="left" w:pos="993"/>
              </w:tabs>
              <w:spacing w:before="240" w:after="240"/>
              <w:rPr>
                <w:rFonts w:asciiTheme="minorHAnsi" w:hAnsiTheme="minorHAnsi"/>
                <w:bCs/>
                <w:szCs w:val="24"/>
              </w:rPr>
            </w:pPr>
            <w:r w:rsidRPr="00F02622">
              <w:rPr>
                <w:rFonts w:asciiTheme="minorHAnsi" w:hAnsiTheme="minorHAnsi"/>
                <w:bCs/>
                <w:szCs w:val="24"/>
              </w:rPr>
              <w:lastRenderedPageBreak/>
              <w:t>8.</w:t>
            </w:r>
            <w:r w:rsidRPr="00F02622">
              <w:rPr>
                <w:rFonts w:asciiTheme="minorHAnsi" w:hAnsiTheme="minorHAnsi"/>
                <w:bCs/>
                <w:szCs w:val="24"/>
              </w:rPr>
              <w:tab/>
              <w:t>Furthermore, with the aim to harmonize regional approaches on Child Online Protection</w:t>
            </w:r>
            <w:r>
              <w:rPr>
                <w:rFonts w:asciiTheme="minorHAnsi" w:hAnsiTheme="minorHAnsi"/>
                <w:bCs/>
                <w:szCs w:val="24"/>
              </w:rPr>
              <w:t>,</w:t>
            </w:r>
            <w:r w:rsidRPr="00F02622">
              <w:rPr>
                <w:rFonts w:asciiTheme="minorHAnsi" w:hAnsiTheme="minorHAnsi"/>
                <w:bCs/>
                <w:szCs w:val="24"/>
              </w:rPr>
              <w:t xml:space="preserve"> ITU organize</w:t>
            </w:r>
            <w:r>
              <w:rPr>
                <w:rFonts w:asciiTheme="minorHAnsi" w:hAnsiTheme="minorHAnsi"/>
                <w:bCs/>
                <w:szCs w:val="24"/>
              </w:rPr>
              <w:t>d</w:t>
            </w:r>
            <w:r w:rsidRPr="00F02622">
              <w:rPr>
                <w:rFonts w:asciiTheme="minorHAnsi" w:hAnsiTheme="minorHAnsi"/>
                <w:bCs/>
                <w:szCs w:val="24"/>
              </w:rPr>
              <w:t xml:space="preserve"> two </w:t>
            </w:r>
            <w:r w:rsidR="00B85FBB">
              <w:rPr>
                <w:rFonts w:asciiTheme="minorHAnsi" w:hAnsiTheme="minorHAnsi"/>
                <w:bCs/>
                <w:szCs w:val="24"/>
              </w:rPr>
              <w:t>major</w:t>
            </w:r>
            <w:r w:rsidR="00B85FBB" w:rsidRPr="00F02622">
              <w:rPr>
                <w:rFonts w:asciiTheme="minorHAnsi" w:hAnsiTheme="minorHAnsi"/>
                <w:bCs/>
                <w:szCs w:val="24"/>
              </w:rPr>
              <w:t xml:space="preserve"> </w:t>
            </w:r>
            <w:r w:rsidRPr="00F02622">
              <w:rPr>
                <w:rFonts w:asciiTheme="minorHAnsi" w:hAnsiTheme="minorHAnsi"/>
                <w:bCs/>
                <w:szCs w:val="24"/>
              </w:rPr>
              <w:t>regional events in the South Pacific Islands and African countries:</w:t>
            </w:r>
          </w:p>
          <w:p w14:paraId="61E2689D" w14:textId="2082E254" w:rsidR="00F02622" w:rsidRPr="00F02622" w:rsidRDefault="00F02622" w:rsidP="00F02622">
            <w:pPr>
              <w:tabs>
                <w:tab w:val="left" w:pos="993"/>
              </w:tabs>
              <w:spacing w:before="240" w:after="240"/>
              <w:rPr>
                <w:rFonts w:asciiTheme="minorHAnsi" w:hAnsiTheme="minorHAnsi"/>
                <w:bCs/>
                <w:szCs w:val="24"/>
              </w:rPr>
            </w:pPr>
            <w:r w:rsidRPr="00F02622">
              <w:rPr>
                <w:rFonts w:asciiTheme="minorHAnsi" w:hAnsiTheme="minorHAnsi"/>
                <w:bCs/>
                <w:szCs w:val="24"/>
              </w:rPr>
              <w:t>-</w:t>
            </w:r>
            <w:r w:rsidRPr="00F02622">
              <w:rPr>
                <w:rFonts w:asciiTheme="minorHAnsi" w:hAnsiTheme="minorHAnsi"/>
                <w:bCs/>
                <w:szCs w:val="24"/>
              </w:rPr>
              <w:tab/>
              <w:t xml:space="preserve">In September 2014, ITU together with CTO, in collaboration with the International Multilateral Partnership against Cyberthreats (IMPACT) and the Telecommunications and Radiocommunications Regulator of Vanuatu (TRR), Office of the Government Chief Information Officer of Vanuatu (OGCIO), and with support from the Department of Communications, Australia, organised the First Pacific Islands Capacity Building Workshop on Child Online Protection. </w:t>
            </w:r>
            <w:r w:rsidR="00B93256">
              <w:t xml:space="preserve"> </w:t>
            </w:r>
            <w:r w:rsidR="00B93256" w:rsidRPr="00B93256">
              <w:rPr>
                <w:rFonts w:asciiTheme="minorHAnsi" w:hAnsiTheme="minorHAnsi"/>
                <w:bCs/>
                <w:szCs w:val="24"/>
              </w:rPr>
              <w:t>Almost 100 participants, to include delegates from the Pacific Islands states comprising of policymakers, business leaders and representatives from civil society, attended the event to share information on existing activities within the Pacific Islands states and define a way forward to consolidate the activities towards a regional framework for cooperation.</w:t>
            </w:r>
            <w:r w:rsidR="00B93256">
              <w:rPr>
                <w:rFonts w:asciiTheme="minorHAnsi" w:hAnsiTheme="minorHAnsi"/>
                <w:bCs/>
                <w:szCs w:val="24"/>
              </w:rPr>
              <w:t xml:space="preserve"> </w:t>
            </w:r>
            <w:r w:rsidRPr="00F02622">
              <w:rPr>
                <w:rFonts w:asciiTheme="minorHAnsi" w:hAnsiTheme="minorHAnsi"/>
                <w:bCs/>
                <w:szCs w:val="24"/>
              </w:rPr>
              <w:t xml:space="preserve">The workshop aimed to raise awareness on COP at the regional level and identified strategies/policies that can help the Pacific Islands to build a harmonized framework related to child online safety; addressed human and technical capacity challenges and identified strategic partnerships; and identified efficient reporting mechanisms. </w:t>
            </w:r>
          </w:p>
          <w:p w14:paraId="45D43204" w14:textId="77777777" w:rsidR="00F02622" w:rsidRPr="00F02622" w:rsidRDefault="00F02622" w:rsidP="00F02622">
            <w:pPr>
              <w:tabs>
                <w:tab w:val="left" w:pos="993"/>
              </w:tabs>
              <w:spacing w:before="240" w:after="240"/>
              <w:rPr>
                <w:rFonts w:asciiTheme="minorHAnsi" w:hAnsiTheme="minorHAnsi"/>
                <w:bCs/>
                <w:szCs w:val="24"/>
              </w:rPr>
            </w:pPr>
            <w:r w:rsidRPr="00F02622">
              <w:rPr>
                <w:rFonts w:asciiTheme="minorHAnsi" w:hAnsiTheme="minorHAnsi"/>
                <w:bCs/>
                <w:szCs w:val="24"/>
              </w:rPr>
              <w:t>-</w:t>
            </w:r>
            <w:r w:rsidRPr="00F02622">
              <w:rPr>
                <w:rFonts w:asciiTheme="minorHAnsi" w:hAnsiTheme="minorHAnsi"/>
                <w:bCs/>
                <w:szCs w:val="24"/>
              </w:rPr>
              <w:tab/>
              <w:t>ITU together with the Uganda Communications Commission (UCC) organized the Regional Conference on Africa Child Online Protection (ACOP): Empowering the Future Digital citizens which took place from 15-16 December 2015 in Kampala, Uganda. Several sessions were co-organized by Facebook, UNICEF, UNODC and ECPAT International. The Regional Workshop was the first international event of its nature, focusing on Child Online Protection in the African region. More than 200 participants from 21 African countries, comprising of policymakers, business leaders and representatives from civil society, attended the event to share information on existing activities within the African countries and define a way forward to consolidate the activities towards a regional framework for cooperation. In addition, the workshop helped regional stakeholders to further discuss the risks and points of weakness, and evaluate appropriate tools and approaches to promote growth of a safe and responsible young population online.</w:t>
            </w:r>
          </w:p>
          <w:p w14:paraId="2C0D8102" w14:textId="55180443" w:rsidR="000568F5" w:rsidRDefault="00F02622" w:rsidP="006B63B8">
            <w:pPr>
              <w:tabs>
                <w:tab w:val="left" w:pos="993"/>
              </w:tabs>
              <w:spacing w:before="240" w:after="240"/>
              <w:rPr>
                <w:rFonts w:asciiTheme="minorHAnsi" w:hAnsiTheme="minorHAnsi"/>
                <w:bCs/>
                <w:szCs w:val="24"/>
              </w:rPr>
            </w:pPr>
            <w:r w:rsidRPr="00F02622">
              <w:rPr>
                <w:rFonts w:asciiTheme="minorHAnsi" w:hAnsiTheme="minorHAnsi"/>
                <w:bCs/>
                <w:szCs w:val="24"/>
              </w:rPr>
              <w:t>9.</w:t>
            </w:r>
            <w:r w:rsidRPr="00F02622">
              <w:rPr>
                <w:rFonts w:asciiTheme="minorHAnsi" w:hAnsiTheme="minorHAnsi"/>
                <w:bCs/>
                <w:szCs w:val="24"/>
              </w:rPr>
              <w:tab/>
            </w:r>
            <w:r w:rsidR="00101554">
              <w:rPr>
                <w:rFonts w:asciiTheme="minorHAnsi" w:hAnsiTheme="minorHAnsi"/>
                <w:bCs/>
                <w:szCs w:val="24"/>
              </w:rPr>
              <w:t>O</w:t>
            </w:r>
            <w:r w:rsidR="00101554" w:rsidRPr="00F02622">
              <w:rPr>
                <w:rFonts w:asciiTheme="minorHAnsi" w:hAnsiTheme="minorHAnsi"/>
                <w:bCs/>
                <w:szCs w:val="24"/>
              </w:rPr>
              <w:t xml:space="preserve">n </w:t>
            </w:r>
            <w:r w:rsidRPr="00F02622">
              <w:rPr>
                <w:rFonts w:asciiTheme="minorHAnsi" w:hAnsiTheme="minorHAnsi"/>
                <w:bCs/>
                <w:szCs w:val="24"/>
              </w:rPr>
              <w:t xml:space="preserve">the occasion of the celebration of the Convention of Children’s </w:t>
            </w:r>
            <w:r w:rsidR="006B63B8">
              <w:rPr>
                <w:rFonts w:asciiTheme="minorHAnsi" w:hAnsiTheme="minorHAnsi"/>
                <w:bCs/>
                <w:szCs w:val="24"/>
              </w:rPr>
              <w:t>R</w:t>
            </w:r>
            <w:bookmarkStart w:id="6" w:name="_GoBack"/>
            <w:bookmarkEnd w:id="6"/>
            <w:r w:rsidRPr="00F02622">
              <w:rPr>
                <w:rFonts w:asciiTheme="minorHAnsi" w:hAnsiTheme="minorHAnsi"/>
                <w:bCs/>
                <w:szCs w:val="24"/>
              </w:rPr>
              <w:t xml:space="preserve">ights, ITU and IMPACT organized the </w:t>
            </w:r>
            <w:hyperlink r:id="rId13" w:anchor=".VL-tH9LF_Ak" w:history="1">
              <w:r w:rsidRPr="00B93256">
                <w:rPr>
                  <w:rStyle w:val="Hyperlink"/>
                  <w:rFonts w:asciiTheme="minorHAnsi" w:hAnsiTheme="minorHAnsi"/>
                  <w:bCs/>
                  <w:szCs w:val="24"/>
                </w:rPr>
                <w:t>Child Online Protection Challenge</w:t>
              </w:r>
            </w:hyperlink>
            <w:r w:rsidRPr="00F02622">
              <w:rPr>
                <w:rFonts w:asciiTheme="minorHAnsi" w:hAnsiTheme="minorHAnsi"/>
                <w:bCs/>
                <w:szCs w:val="24"/>
              </w:rPr>
              <w:t xml:space="preserve"> in Bahrain to address the issue of educating children by presenting an interactive platform where children, parents and educators can engage in fun activities to learn more about the risks the children face on the Internet and how these risks can be averted.</w:t>
            </w:r>
          </w:p>
          <w:p w14:paraId="05719268" w14:textId="170529DA" w:rsidR="00361956" w:rsidRDefault="00361956" w:rsidP="00361956">
            <w:pPr>
              <w:tabs>
                <w:tab w:val="clear" w:pos="794"/>
                <w:tab w:val="left" w:pos="0"/>
                <w:tab w:val="left" w:pos="34"/>
              </w:tabs>
              <w:spacing w:before="0"/>
              <w:ind w:left="885" w:hanging="885"/>
              <w:rPr>
                <w:rFonts w:asciiTheme="minorHAnsi" w:hAnsiTheme="minorHAnsi"/>
                <w:bCs/>
                <w:szCs w:val="24"/>
              </w:rPr>
            </w:pPr>
            <w:r>
              <w:rPr>
                <w:rFonts w:asciiTheme="minorHAnsi" w:hAnsiTheme="minorHAnsi"/>
                <w:bCs/>
                <w:szCs w:val="24"/>
              </w:rPr>
              <w:t xml:space="preserve">10.         Finally,  this week, ITU released </w:t>
            </w:r>
            <w:r w:rsidRPr="00361956">
              <w:rPr>
                <w:rFonts w:asciiTheme="minorHAnsi" w:hAnsiTheme="minorHAnsi"/>
                <w:bCs/>
                <w:szCs w:val="24"/>
              </w:rPr>
              <w:t xml:space="preserve">individual </w:t>
            </w:r>
            <w:hyperlink r:id="rId14" w:history="1">
              <w:r w:rsidRPr="00FB507E">
                <w:rPr>
                  <w:rStyle w:val="Hyperlink"/>
                  <w:rFonts w:asciiTheme="minorHAnsi" w:hAnsiTheme="minorHAnsi"/>
                  <w:bCs/>
                  <w:szCs w:val="24"/>
                </w:rPr>
                <w:t>country profiles</w:t>
              </w:r>
            </w:hyperlink>
            <w:r w:rsidRPr="00361956">
              <w:rPr>
                <w:rFonts w:asciiTheme="minorHAnsi" w:hAnsiTheme="minorHAnsi"/>
                <w:bCs/>
                <w:szCs w:val="24"/>
              </w:rPr>
              <w:t xml:space="preserve"> t</w:t>
            </w:r>
            <w:r>
              <w:rPr>
                <w:rFonts w:asciiTheme="minorHAnsi" w:hAnsiTheme="minorHAnsi"/>
                <w:bCs/>
                <w:szCs w:val="24"/>
              </w:rPr>
              <w:t>hat describe the current status</w:t>
            </w:r>
          </w:p>
          <w:p w14:paraId="788F9B44" w14:textId="212D1712" w:rsidR="00361956" w:rsidRPr="000568F5" w:rsidRDefault="00361956" w:rsidP="00FB507E">
            <w:pPr>
              <w:tabs>
                <w:tab w:val="clear" w:pos="794"/>
                <w:tab w:val="left" w:pos="0"/>
                <w:tab w:val="left" w:pos="34"/>
              </w:tabs>
              <w:spacing w:before="0"/>
              <w:ind w:left="34" w:hanging="34"/>
              <w:rPr>
                <w:rFonts w:asciiTheme="minorHAnsi" w:hAnsiTheme="minorHAnsi"/>
                <w:bCs/>
                <w:szCs w:val="24"/>
              </w:rPr>
            </w:pPr>
            <w:r w:rsidRPr="00361956">
              <w:rPr>
                <w:rFonts w:asciiTheme="minorHAnsi" w:hAnsiTheme="minorHAnsi"/>
                <w:bCs/>
                <w:szCs w:val="24"/>
              </w:rPr>
              <w:t>of Child Online Protection frameworks and policies at the national level.</w:t>
            </w:r>
            <w:r>
              <w:rPr>
                <w:rFonts w:asciiTheme="minorHAnsi" w:hAnsiTheme="minorHAnsi"/>
                <w:bCs/>
                <w:szCs w:val="24"/>
              </w:rPr>
              <w:t xml:space="preserve"> </w:t>
            </w:r>
            <w:r w:rsidR="00FB507E">
              <w:rPr>
                <w:rFonts w:asciiTheme="minorHAnsi" w:hAnsiTheme="minorHAnsi"/>
                <w:bCs/>
                <w:szCs w:val="24"/>
              </w:rPr>
              <w:t xml:space="preserve">During the last two sessions of the Council Working Group on COP, countries were asked to validate and approve their profile. The Secretariat remains available to amend/revise the profiles as necessary. </w:t>
            </w:r>
          </w:p>
        </w:tc>
      </w:tr>
      <w:tr w:rsidR="00361956" w:rsidRPr="00E544AC" w14:paraId="108A6C04" w14:textId="77777777" w:rsidTr="007513B7">
        <w:trPr>
          <w:cantSplit/>
          <w:trHeight w:val="1134"/>
        </w:trPr>
        <w:tc>
          <w:tcPr>
            <w:tcW w:w="10314" w:type="dxa"/>
            <w:gridSpan w:val="2"/>
          </w:tcPr>
          <w:p w14:paraId="288EFCF1" w14:textId="77777777" w:rsidR="00361956" w:rsidRPr="000568F5" w:rsidRDefault="00361956" w:rsidP="00361956">
            <w:pPr>
              <w:tabs>
                <w:tab w:val="left" w:pos="993"/>
              </w:tabs>
              <w:spacing w:before="240" w:after="240"/>
              <w:rPr>
                <w:rFonts w:asciiTheme="minorHAnsi" w:hAnsiTheme="minorHAnsi"/>
                <w:b/>
                <w:bCs/>
                <w:szCs w:val="24"/>
              </w:rPr>
            </w:pPr>
          </w:p>
        </w:tc>
      </w:tr>
      <w:bookmarkEnd w:id="5"/>
    </w:tbl>
    <w:p w14:paraId="363F40CA" w14:textId="77777777" w:rsidR="003A7BA2" w:rsidRPr="00E544AC" w:rsidRDefault="003A7BA2" w:rsidP="00BF2BF9">
      <w:pPr>
        <w:rPr>
          <w:rFonts w:asciiTheme="minorHAnsi" w:hAnsiTheme="minorHAnsi"/>
          <w:b/>
        </w:rPr>
      </w:pPr>
    </w:p>
    <w:p w14:paraId="33A55076" w14:textId="77777777" w:rsidR="00782AF6" w:rsidRPr="00E544AC" w:rsidRDefault="00782AF6" w:rsidP="00F910A2">
      <w:pPr>
        <w:tabs>
          <w:tab w:val="clear" w:pos="794"/>
          <w:tab w:val="clear" w:pos="1191"/>
          <w:tab w:val="clear" w:pos="1588"/>
          <w:tab w:val="clear" w:pos="1985"/>
          <w:tab w:val="left" w:pos="7088"/>
        </w:tabs>
        <w:rPr>
          <w:rFonts w:asciiTheme="minorHAnsi" w:hAnsiTheme="minorHAnsi"/>
        </w:rPr>
      </w:pPr>
    </w:p>
    <w:sectPr w:rsidR="00782AF6" w:rsidRPr="00E544AC" w:rsidSect="00525421">
      <w:headerReference w:type="default" r:id="rId15"/>
      <w:footerReference w:type="first" r:id="rId16"/>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4CA55" w14:textId="77777777" w:rsidR="00BE5C15" w:rsidRDefault="00BE5C15">
      <w:r>
        <w:separator/>
      </w:r>
    </w:p>
  </w:endnote>
  <w:endnote w:type="continuationSeparator" w:id="0">
    <w:p w14:paraId="3E253B69" w14:textId="77777777" w:rsidR="00BE5C15" w:rsidRDefault="00BE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79E26" w14:textId="77777777"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E90DA" w14:textId="77777777" w:rsidR="00BE5C15" w:rsidRDefault="00BE5C15">
      <w:r>
        <w:t>____________________</w:t>
      </w:r>
    </w:p>
    <w:p w14:paraId="0A87DF74" w14:textId="77777777" w:rsidR="00BE5C15" w:rsidRDefault="00BE5C15"/>
  </w:footnote>
  <w:footnote w:type="continuationSeparator" w:id="0">
    <w:p w14:paraId="61B4F4BE" w14:textId="77777777" w:rsidR="00BE5C15" w:rsidRDefault="00BE5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B275B" w14:textId="77777777" w:rsidR="00D7144D" w:rsidRDefault="00D7144D">
    <w:pPr>
      <w:pStyle w:val="Header"/>
    </w:pPr>
    <w:r>
      <w:t xml:space="preserve">- </w:t>
    </w:r>
    <w:r>
      <w:fldChar w:fldCharType="begin"/>
    </w:r>
    <w:r>
      <w:instrText>PAGE</w:instrText>
    </w:r>
    <w:r>
      <w:fldChar w:fldCharType="separate"/>
    </w:r>
    <w:r w:rsidR="006B63B8">
      <w:rPr>
        <w:noProof/>
      </w:rPr>
      <w:t>2</w:t>
    </w:r>
    <w:r>
      <w:fldChar w:fldCharType="end"/>
    </w:r>
    <w:r>
      <w:t xml:space="preserve"> -</w:t>
    </w:r>
  </w:p>
  <w:p w14:paraId="2801AD98" w14:textId="77777777"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5">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9">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5">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7"/>
  </w:num>
  <w:num w:numId="4">
    <w:abstractNumId w:val="22"/>
  </w:num>
  <w:num w:numId="5">
    <w:abstractNumId w:val="31"/>
  </w:num>
  <w:num w:numId="6">
    <w:abstractNumId w:val="42"/>
  </w:num>
  <w:num w:numId="7">
    <w:abstractNumId w:val="18"/>
  </w:num>
  <w:num w:numId="8">
    <w:abstractNumId w:val="38"/>
  </w:num>
  <w:num w:numId="9">
    <w:abstractNumId w:val="37"/>
  </w:num>
  <w:num w:numId="10">
    <w:abstractNumId w:val="34"/>
  </w:num>
  <w:num w:numId="11">
    <w:abstractNumId w:val="39"/>
  </w:num>
  <w:num w:numId="12">
    <w:abstractNumId w:val="25"/>
  </w:num>
  <w:num w:numId="13">
    <w:abstractNumId w:val="8"/>
  </w:num>
  <w:num w:numId="14">
    <w:abstractNumId w:val="5"/>
  </w:num>
  <w:num w:numId="15">
    <w:abstractNumId w:val="27"/>
  </w:num>
  <w:num w:numId="16">
    <w:abstractNumId w:val="40"/>
  </w:num>
  <w:num w:numId="17">
    <w:abstractNumId w:val="15"/>
  </w:num>
  <w:num w:numId="18">
    <w:abstractNumId w:val="41"/>
  </w:num>
  <w:num w:numId="19">
    <w:abstractNumId w:val="46"/>
  </w:num>
  <w:num w:numId="20">
    <w:abstractNumId w:val="45"/>
  </w:num>
  <w:num w:numId="21">
    <w:abstractNumId w:val="43"/>
  </w:num>
  <w:num w:numId="22">
    <w:abstractNumId w:val="33"/>
  </w:num>
  <w:num w:numId="23">
    <w:abstractNumId w:val="35"/>
  </w:num>
  <w:num w:numId="24">
    <w:abstractNumId w:val="7"/>
  </w:num>
  <w:num w:numId="25">
    <w:abstractNumId w:val="26"/>
  </w:num>
  <w:num w:numId="26">
    <w:abstractNumId w:val="23"/>
  </w:num>
  <w:num w:numId="27">
    <w:abstractNumId w:val="10"/>
  </w:num>
  <w:num w:numId="28">
    <w:abstractNumId w:val="20"/>
  </w:num>
  <w:num w:numId="29">
    <w:abstractNumId w:val="36"/>
  </w:num>
  <w:num w:numId="30">
    <w:abstractNumId w:val="19"/>
  </w:num>
  <w:num w:numId="31">
    <w:abstractNumId w:val="12"/>
  </w:num>
  <w:num w:numId="32">
    <w:abstractNumId w:val="9"/>
  </w:num>
  <w:num w:numId="33">
    <w:abstractNumId w:val="24"/>
  </w:num>
  <w:num w:numId="34">
    <w:abstractNumId w:val="16"/>
  </w:num>
  <w:num w:numId="35">
    <w:abstractNumId w:val="32"/>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0"/>
  </w:num>
  <w:num w:numId="39">
    <w:abstractNumId w:val="14"/>
  </w:num>
  <w:num w:numId="40">
    <w:abstractNumId w:val="6"/>
  </w:num>
  <w:num w:numId="41">
    <w:abstractNumId w:val="44"/>
  </w:num>
  <w:num w:numId="42">
    <w:abstractNumId w:val="21"/>
  </w:num>
  <w:num w:numId="43">
    <w:abstractNumId w:val="29"/>
  </w:num>
  <w:num w:numId="44">
    <w:abstractNumId w:val="3"/>
  </w:num>
  <w:num w:numId="45">
    <w:abstractNumId w:val="13"/>
  </w:num>
  <w:num w:numId="46">
    <w:abstractNumId w:val="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5E8E"/>
    <w:rsid w:val="0003367B"/>
    <w:rsid w:val="00033C1E"/>
    <w:rsid w:val="000363F6"/>
    <w:rsid w:val="000406CF"/>
    <w:rsid w:val="000406DA"/>
    <w:rsid w:val="00044742"/>
    <w:rsid w:val="00050D23"/>
    <w:rsid w:val="0005330D"/>
    <w:rsid w:val="0005586D"/>
    <w:rsid w:val="000568F5"/>
    <w:rsid w:val="0006006C"/>
    <w:rsid w:val="00060490"/>
    <w:rsid w:val="00060642"/>
    <w:rsid w:val="000625EC"/>
    <w:rsid w:val="000640E0"/>
    <w:rsid w:val="00080890"/>
    <w:rsid w:val="00082487"/>
    <w:rsid w:val="00085CF2"/>
    <w:rsid w:val="00087BB2"/>
    <w:rsid w:val="00090DB1"/>
    <w:rsid w:val="000914EE"/>
    <w:rsid w:val="00096678"/>
    <w:rsid w:val="000A523E"/>
    <w:rsid w:val="000A6C3C"/>
    <w:rsid w:val="000B1705"/>
    <w:rsid w:val="000B1804"/>
    <w:rsid w:val="000C0550"/>
    <w:rsid w:val="000D034D"/>
    <w:rsid w:val="000D1B19"/>
    <w:rsid w:val="000E53E0"/>
    <w:rsid w:val="00101554"/>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9164E"/>
    <w:rsid w:val="00191F72"/>
    <w:rsid w:val="001947CC"/>
    <w:rsid w:val="00197BEB"/>
    <w:rsid w:val="001A258D"/>
    <w:rsid w:val="001A44BC"/>
    <w:rsid w:val="001A4F5D"/>
    <w:rsid w:val="001A5A86"/>
    <w:rsid w:val="001B1348"/>
    <w:rsid w:val="001B404B"/>
    <w:rsid w:val="001B731C"/>
    <w:rsid w:val="001C20D1"/>
    <w:rsid w:val="001C2533"/>
    <w:rsid w:val="001C628E"/>
    <w:rsid w:val="001D0282"/>
    <w:rsid w:val="001D311E"/>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23D03"/>
    <w:rsid w:val="00224812"/>
    <w:rsid w:val="00224F52"/>
    <w:rsid w:val="002323A7"/>
    <w:rsid w:val="0023345C"/>
    <w:rsid w:val="00233546"/>
    <w:rsid w:val="002372ED"/>
    <w:rsid w:val="00241C31"/>
    <w:rsid w:val="002461BA"/>
    <w:rsid w:val="002509C9"/>
    <w:rsid w:val="00252CDA"/>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B09AE"/>
    <w:rsid w:val="002B42B9"/>
    <w:rsid w:val="002C1C7A"/>
    <w:rsid w:val="002D3CA6"/>
    <w:rsid w:val="002D448E"/>
    <w:rsid w:val="002D47F7"/>
    <w:rsid w:val="002D7FCC"/>
    <w:rsid w:val="002E0872"/>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61956"/>
    <w:rsid w:val="0036205D"/>
    <w:rsid w:val="00362FE9"/>
    <w:rsid w:val="003642D8"/>
    <w:rsid w:val="00370861"/>
    <w:rsid w:val="00375038"/>
    <w:rsid w:val="00375CE5"/>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6D41"/>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7476"/>
    <w:rsid w:val="004B7CF2"/>
    <w:rsid w:val="004C1374"/>
    <w:rsid w:val="004C4CD5"/>
    <w:rsid w:val="004C581A"/>
    <w:rsid w:val="004C5F8D"/>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758B"/>
    <w:rsid w:val="00534E85"/>
    <w:rsid w:val="005352F1"/>
    <w:rsid w:val="00542420"/>
    <w:rsid w:val="005431C5"/>
    <w:rsid w:val="00546E2C"/>
    <w:rsid w:val="005546E9"/>
    <w:rsid w:val="00555654"/>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C11F1"/>
    <w:rsid w:val="005C68C8"/>
    <w:rsid w:val="005C7EFB"/>
    <w:rsid w:val="005D7471"/>
    <w:rsid w:val="005E1D6F"/>
    <w:rsid w:val="005E2754"/>
    <w:rsid w:val="005F0BF9"/>
    <w:rsid w:val="005F1DE7"/>
    <w:rsid w:val="0060217F"/>
    <w:rsid w:val="006025D3"/>
    <w:rsid w:val="006036D2"/>
    <w:rsid w:val="00605375"/>
    <w:rsid w:val="006061F6"/>
    <w:rsid w:val="0060738E"/>
    <w:rsid w:val="00607A8F"/>
    <w:rsid w:val="00611121"/>
    <w:rsid w:val="0061529A"/>
    <w:rsid w:val="006245BD"/>
    <w:rsid w:val="00625110"/>
    <w:rsid w:val="00631445"/>
    <w:rsid w:val="006353F4"/>
    <w:rsid w:val="00640350"/>
    <w:rsid w:val="00641642"/>
    <w:rsid w:val="00642818"/>
    <w:rsid w:val="00644588"/>
    <w:rsid w:val="006467EB"/>
    <w:rsid w:val="00651182"/>
    <w:rsid w:val="00654E72"/>
    <w:rsid w:val="006560E2"/>
    <w:rsid w:val="00662984"/>
    <w:rsid w:val="006664D0"/>
    <w:rsid w:val="00667AD7"/>
    <w:rsid w:val="00670161"/>
    <w:rsid w:val="006765A3"/>
    <w:rsid w:val="00676AC3"/>
    <w:rsid w:val="006808CF"/>
    <w:rsid w:val="00685352"/>
    <w:rsid w:val="00687324"/>
    <w:rsid w:val="006A0E9D"/>
    <w:rsid w:val="006A1507"/>
    <w:rsid w:val="006A5907"/>
    <w:rsid w:val="006B4A4B"/>
    <w:rsid w:val="006B4BB2"/>
    <w:rsid w:val="006B63B8"/>
    <w:rsid w:val="006B6DCC"/>
    <w:rsid w:val="006C1FE5"/>
    <w:rsid w:val="006C4D1A"/>
    <w:rsid w:val="006C6ECC"/>
    <w:rsid w:val="006C7C0C"/>
    <w:rsid w:val="006D0D77"/>
    <w:rsid w:val="006D55D4"/>
    <w:rsid w:val="006E05BC"/>
    <w:rsid w:val="006E1542"/>
    <w:rsid w:val="006E32FA"/>
    <w:rsid w:val="006E6810"/>
    <w:rsid w:val="006F199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73F"/>
    <w:rsid w:val="00743B89"/>
    <w:rsid w:val="0075057F"/>
    <w:rsid w:val="007513B7"/>
    <w:rsid w:val="0075359A"/>
    <w:rsid w:val="007579C3"/>
    <w:rsid w:val="00761159"/>
    <w:rsid w:val="00763AC3"/>
    <w:rsid w:val="0076793A"/>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7D3F"/>
    <w:rsid w:val="007D1B5F"/>
    <w:rsid w:val="007D5356"/>
    <w:rsid w:val="007E1756"/>
    <w:rsid w:val="007E73DD"/>
    <w:rsid w:val="007F0840"/>
    <w:rsid w:val="007F2124"/>
    <w:rsid w:val="007F3F26"/>
    <w:rsid w:val="00800FD3"/>
    <w:rsid w:val="00805138"/>
    <w:rsid w:val="00811C37"/>
    <w:rsid w:val="00831957"/>
    <w:rsid w:val="00833550"/>
    <w:rsid w:val="00835301"/>
    <w:rsid w:val="0083581B"/>
    <w:rsid w:val="00840993"/>
    <w:rsid w:val="0084140B"/>
    <w:rsid w:val="00841698"/>
    <w:rsid w:val="0084318B"/>
    <w:rsid w:val="00843FFC"/>
    <w:rsid w:val="00844A08"/>
    <w:rsid w:val="0086214B"/>
    <w:rsid w:val="00862A59"/>
    <w:rsid w:val="00870B34"/>
    <w:rsid w:val="008802BD"/>
    <w:rsid w:val="00880C96"/>
    <w:rsid w:val="00880F43"/>
    <w:rsid w:val="00882198"/>
    <w:rsid w:val="00887262"/>
    <w:rsid w:val="00893913"/>
    <w:rsid w:val="00894A8D"/>
    <w:rsid w:val="0089781C"/>
    <w:rsid w:val="008A22C5"/>
    <w:rsid w:val="008A453D"/>
    <w:rsid w:val="008A5FDD"/>
    <w:rsid w:val="008B1F57"/>
    <w:rsid w:val="008B1F62"/>
    <w:rsid w:val="008B2F6E"/>
    <w:rsid w:val="008C30F7"/>
    <w:rsid w:val="008C561E"/>
    <w:rsid w:val="008D2D0A"/>
    <w:rsid w:val="008D494D"/>
    <w:rsid w:val="008E5A16"/>
    <w:rsid w:val="008E6086"/>
    <w:rsid w:val="008E66A4"/>
    <w:rsid w:val="008F0498"/>
    <w:rsid w:val="008F3EA7"/>
    <w:rsid w:val="00902374"/>
    <w:rsid w:val="0090483B"/>
    <w:rsid w:val="0090693C"/>
    <w:rsid w:val="009108A1"/>
    <w:rsid w:val="00911F7D"/>
    <w:rsid w:val="00912C48"/>
    <w:rsid w:val="00912E33"/>
    <w:rsid w:val="00916E39"/>
    <w:rsid w:val="009173EF"/>
    <w:rsid w:val="00917ABA"/>
    <w:rsid w:val="00925131"/>
    <w:rsid w:val="00932906"/>
    <w:rsid w:val="0094130F"/>
    <w:rsid w:val="009419D1"/>
    <w:rsid w:val="00945D18"/>
    <w:rsid w:val="009539B3"/>
    <w:rsid w:val="00961B0B"/>
    <w:rsid w:val="00962938"/>
    <w:rsid w:val="00963226"/>
    <w:rsid w:val="009659F0"/>
    <w:rsid w:val="00966A1B"/>
    <w:rsid w:val="00972226"/>
    <w:rsid w:val="00981F5D"/>
    <w:rsid w:val="009821AE"/>
    <w:rsid w:val="00984458"/>
    <w:rsid w:val="00997952"/>
    <w:rsid w:val="009A069F"/>
    <w:rsid w:val="009A6F1D"/>
    <w:rsid w:val="009B048E"/>
    <w:rsid w:val="009B637E"/>
    <w:rsid w:val="009D3B98"/>
    <w:rsid w:val="009D6EA5"/>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7F92"/>
    <w:rsid w:val="00A305AA"/>
    <w:rsid w:val="00A32654"/>
    <w:rsid w:val="00A33971"/>
    <w:rsid w:val="00A35E16"/>
    <w:rsid w:val="00A44101"/>
    <w:rsid w:val="00A5383B"/>
    <w:rsid w:val="00A55622"/>
    <w:rsid w:val="00A556C2"/>
    <w:rsid w:val="00A602CD"/>
    <w:rsid w:val="00A63031"/>
    <w:rsid w:val="00A71E8E"/>
    <w:rsid w:val="00A77EA6"/>
    <w:rsid w:val="00A806F2"/>
    <w:rsid w:val="00A8261D"/>
    <w:rsid w:val="00A82D0D"/>
    <w:rsid w:val="00A87B50"/>
    <w:rsid w:val="00A91DE4"/>
    <w:rsid w:val="00AA5496"/>
    <w:rsid w:val="00AB0340"/>
    <w:rsid w:val="00AB42F6"/>
    <w:rsid w:val="00AC1E55"/>
    <w:rsid w:val="00AC2591"/>
    <w:rsid w:val="00AC6F74"/>
    <w:rsid w:val="00AD0AE5"/>
    <w:rsid w:val="00AD3E23"/>
    <w:rsid w:val="00AD5D3C"/>
    <w:rsid w:val="00AD7201"/>
    <w:rsid w:val="00AD7909"/>
    <w:rsid w:val="00AE26D6"/>
    <w:rsid w:val="00AF2963"/>
    <w:rsid w:val="00B024D2"/>
    <w:rsid w:val="00B13315"/>
    <w:rsid w:val="00B2270F"/>
    <w:rsid w:val="00B23E7E"/>
    <w:rsid w:val="00B25B41"/>
    <w:rsid w:val="00B27123"/>
    <w:rsid w:val="00B371AF"/>
    <w:rsid w:val="00B40A81"/>
    <w:rsid w:val="00B44910"/>
    <w:rsid w:val="00B54B8F"/>
    <w:rsid w:val="00B576FA"/>
    <w:rsid w:val="00B7000E"/>
    <w:rsid w:val="00B72267"/>
    <w:rsid w:val="00B750EB"/>
    <w:rsid w:val="00B76EB6"/>
    <w:rsid w:val="00B77B71"/>
    <w:rsid w:val="00B824C8"/>
    <w:rsid w:val="00B82A28"/>
    <w:rsid w:val="00B8318C"/>
    <w:rsid w:val="00B84652"/>
    <w:rsid w:val="00B8578D"/>
    <w:rsid w:val="00B85FBB"/>
    <w:rsid w:val="00B8714F"/>
    <w:rsid w:val="00B902F2"/>
    <w:rsid w:val="00B93256"/>
    <w:rsid w:val="00BA1CA1"/>
    <w:rsid w:val="00BA1CAA"/>
    <w:rsid w:val="00BA3A82"/>
    <w:rsid w:val="00BA7087"/>
    <w:rsid w:val="00BB0863"/>
    <w:rsid w:val="00BB0E88"/>
    <w:rsid w:val="00BC2C12"/>
    <w:rsid w:val="00BC5A8A"/>
    <w:rsid w:val="00BD032B"/>
    <w:rsid w:val="00BE012E"/>
    <w:rsid w:val="00BE02D1"/>
    <w:rsid w:val="00BE1922"/>
    <w:rsid w:val="00BE2640"/>
    <w:rsid w:val="00BE355F"/>
    <w:rsid w:val="00BE5C15"/>
    <w:rsid w:val="00BF1FFF"/>
    <w:rsid w:val="00BF2BF9"/>
    <w:rsid w:val="00BF370B"/>
    <w:rsid w:val="00C01189"/>
    <w:rsid w:val="00C03AD5"/>
    <w:rsid w:val="00C104DD"/>
    <w:rsid w:val="00C108D2"/>
    <w:rsid w:val="00C17270"/>
    <w:rsid w:val="00C17609"/>
    <w:rsid w:val="00C17AF8"/>
    <w:rsid w:val="00C301A8"/>
    <w:rsid w:val="00C33313"/>
    <w:rsid w:val="00C36D0F"/>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B1BB5"/>
    <w:rsid w:val="00CB45D7"/>
    <w:rsid w:val="00CB5846"/>
    <w:rsid w:val="00CB688A"/>
    <w:rsid w:val="00CC02B8"/>
    <w:rsid w:val="00CC2057"/>
    <w:rsid w:val="00CD0C08"/>
    <w:rsid w:val="00CD5BBD"/>
    <w:rsid w:val="00CD66E3"/>
    <w:rsid w:val="00CE222A"/>
    <w:rsid w:val="00CE554A"/>
    <w:rsid w:val="00CF203C"/>
    <w:rsid w:val="00CF33F3"/>
    <w:rsid w:val="00CF3EC3"/>
    <w:rsid w:val="00CF6AD5"/>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501A"/>
    <w:rsid w:val="00D76A33"/>
    <w:rsid w:val="00D9217C"/>
    <w:rsid w:val="00DA1A79"/>
    <w:rsid w:val="00DA313D"/>
    <w:rsid w:val="00DA3E70"/>
    <w:rsid w:val="00DA5B1F"/>
    <w:rsid w:val="00DB088B"/>
    <w:rsid w:val="00DB6388"/>
    <w:rsid w:val="00DC0E33"/>
    <w:rsid w:val="00DC429C"/>
    <w:rsid w:val="00DC4A08"/>
    <w:rsid w:val="00DC7F3A"/>
    <w:rsid w:val="00DD06C6"/>
    <w:rsid w:val="00DE06EB"/>
    <w:rsid w:val="00DE52D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544AC"/>
    <w:rsid w:val="00E55559"/>
    <w:rsid w:val="00E77551"/>
    <w:rsid w:val="00E828D5"/>
    <w:rsid w:val="00E8417D"/>
    <w:rsid w:val="00E849B4"/>
    <w:rsid w:val="00EB2232"/>
    <w:rsid w:val="00EB2ED4"/>
    <w:rsid w:val="00EB43C8"/>
    <w:rsid w:val="00EB4849"/>
    <w:rsid w:val="00EB66CD"/>
    <w:rsid w:val="00EC3551"/>
    <w:rsid w:val="00ED029B"/>
    <w:rsid w:val="00ED063D"/>
    <w:rsid w:val="00ED1BE1"/>
    <w:rsid w:val="00ED308F"/>
    <w:rsid w:val="00ED50E7"/>
    <w:rsid w:val="00ED6491"/>
    <w:rsid w:val="00ED6E70"/>
    <w:rsid w:val="00EE0185"/>
    <w:rsid w:val="00EE620A"/>
    <w:rsid w:val="00EF00BD"/>
    <w:rsid w:val="00EF7D55"/>
    <w:rsid w:val="00F01FC4"/>
    <w:rsid w:val="00F02622"/>
    <w:rsid w:val="00F02CE5"/>
    <w:rsid w:val="00F03FB0"/>
    <w:rsid w:val="00F046BB"/>
    <w:rsid w:val="00F07765"/>
    <w:rsid w:val="00F1489D"/>
    <w:rsid w:val="00F15957"/>
    <w:rsid w:val="00F17005"/>
    <w:rsid w:val="00F1776B"/>
    <w:rsid w:val="00F2150A"/>
    <w:rsid w:val="00F23CA9"/>
    <w:rsid w:val="00F33243"/>
    <w:rsid w:val="00F3600D"/>
    <w:rsid w:val="00F43265"/>
    <w:rsid w:val="00F5168B"/>
    <w:rsid w:val="00F523CD"/>
    <w:rsid w:val="00F524E4"/>
    <w:rsid w:val="00F6550B"/>
    <w:rsid w:val="00F6647A"/>
    <w:rsid w:val="00F70C1F"/>
    <w:rsid w:val="00F71EF8"/>
    <w:rsid w:val="00F73F0D"/>
    <w:rsid w:val="00F77CB0"/>
    <w:rsid w:val="00F83017"/>
    <w:rsid w:val="00F83B99"/>
    <w:rsid w:val="00F84005"/>
    <w:rsid w:val="00F910A2"/>
    <w:rsid w:val="00F915D8"/>
    <w:rsid w:val="00F96900"/>
    <w:rsid w:val="00FB3CFA"/>
    <w:rsid w:val="00FB4929"/>
    <w:rsid w:val="00FB4F5B"/>
    <w:rsid w:val="00FB507E"/>
    <w:rsid w:val="00FC4153"/>
    <w:rsid w:val="00FC4B12"/>
    <w:rsid w:val="00FD0557"/>
    <w:rsid w:val="00FD0BB9"/>
    <w:rsid w:val="00FD0E17"/>
    <w:rsid w:val="00FD3677"/>
    <w:rsid w:val="00FE12EA"/>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E5998"/>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semiHidden/>
    <w:unhideWhenUsed/>
    <w:rsid w:val="00B85FBB"/>
    <w:rPr>
      <w:sz w:val="16"/>
      <w:szCs w:val="16"/>
    </w:rPr>
  </w:style>
  <w:style w:type="paragraph" w:styleId="CommentText">
    <w:name w:val="annotation text"/>
    <w:basedOn w:val="Normal"/>
    <w:link w:val="CommentTextChar"/>
    <w:semiHidden/>
    <w:unhideWhenUsed/>
    <w:rsid w:val="00B85FBB"/>
    <w:rPr>
      <w:sz w:val="20"/>
    </w:rPr>
  </w:style>
  <w:style w:type="character" w:customStyle="1" w:styleId="CommentTextChar">
    <w:name w:val="Comment Text Char"/>
    <w:basedOn w:val="DefaultParagraphFont"/>
    <w:link w:val="CommentText"/>
    <w:semiHidden/>
    <w:rsid w:val="00B85FB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85FBB"/>
    <w:rPr>
      <w:b/>
      <w:bCs/>
    </w:rPr>
  </w:style>
  <w:style w:type="character" w:customStyle="1" w:styleId="CommentSubjectChar">
    <w:name w:val="Comment Subject Char"/>
    <w:basedOn w:val="CommentTextChar"/>
    <w:link w:val="CommentSubject"/>
    <w:semiHidden/>
    <w:rsid w:val="00B85FBB"/>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rt.gov.om/media_news_details.aspx?news=4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cop/case-studies/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cop/Pages/guidelines.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cop/countryprof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142A5-704D-4BF6-95F7-9A1695534401}"/>
</file>

<file path=customXml/itemProps2.xml><?xml version="1.0" encoding="utf-8"?>
<ds:datastoreItem xmlns:ds="http://schemas.openxmlformats.org/officeDocument/2006/customXml" ds:itemID="{8B6D89E4-4F8D-4E94-9019-69F1DDE7A6CC}"/>
</file>

<file path=customXml/itemProps3.xml><?xml version="1.0" encoding="utf-8"?>
<ds:datastoreItem xmlns:ds="http://schemas.openxmlformats.org/officeDocument/2006/customXml" ds:itemID="{FE57B879-BAF4-4E2A-A8E4-5D46110D705B}"/>
</file>

<file path=docProps/app.xml><?xml version="1.0" encoding="utf-8"?>
<Properties xmlns="http://schemas.openxmlformats.org/officeDocument/2006/extended-properties" xmlns:vt="http://schemas.openxmlformats.org/officeDocument/2006/docPropsVTypes">
  <Template>PE_C07.DOT</Template>
  <TotalTime>0</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Licciardello, Carla</cp:lastModifiedBy>
  <cp:revision>2</cp:revision>
  <cp:lastPrinted>2013-09-10T08:38:00Z</cp:lastPrinted>
  <dcterms:created xsi:type="dcterms:W3CDTF">2015-01-21T14:47:00Z</dcterms:created>
  <dcterms:modified xsi:type="dcterms:W3CDTF">2015-01-21T14:47:00Z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