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DD98B" w14:textId="77777777" w:rsidR="008549DB" w:rsidRDefault="000E3979" w:rsidP="008549DB">
      <w:pPr>
        <w:pStyle w:val="Ttulo1"/>
        <w:spacing w:before="120" w:after="120" w:line="240" w:lineRule="auto"/>
        <w:jc w:val="center"/>
        <w:rPr>
          <w:rFonts w:asciiTheme="minorHAnsi" w:hAnsiTheme="minorHAnsi"/>
          <w:b/>
          <w:bCs/>
          <w:color w:val="auto"/>
          <w:sz w:val="28"/>
          <w:szCs w:val="28"/>
        </w:rPr>
      </w:pPr>
      <w:bookmarkStart w:id="0" w:name="_GoBack"/>
      <w:bookmarkEnd w:id="0"/>
      <w:r w:rsidRPr="00C03E66">
        <w:rPr>
          <w:rFonts w:asciiTheme="minorHAnsi" w:hAnsiTheme="minorHAnsi"/>
          <w:b/>
          <w:bCs/>
          <w:color w:val="auto"/>
          <w:sz w:val="28"/>
          <w:szCs w:val="28"/>
        </w:rPr>
        <w:t xml:space="preserve">Online Open Consultations on </w:t>
      </w:r>
    </w:p>
    <w:p w14:paraId="2B8C177D" w14:textId="28AD84D8" w:rsidR="000E3979" w:rsidRDefault="008549DB" w:rsidP="008549DB">
      <w:pPr>
        <w:pStyle w:val="Ttulo1"/>
        <w:spacing w:before="120" w:after="120" w:line="240" w:lineRule="auto"/>
        <w:jc w:val="center"/>
        <w:rPr>
          <w:rFonts w:asciiTheme="minorHAnsi" w:hAnsiTheme="minorHAnsi"/>
          <w:b/>
          <w:bCs/>
          <w:color w:val="auto"/>
          <w:sz w:val="28"/>
          <w:szCs w:val="28"/>
        </w:rPr>
      </w:pPr>
      <w:r w:rsidRPr="008549DB">
        <w:rPr>
          <w:rFonts w:asciiTheme="minorHAnsi" w:hAnsiTheme="minorHAnsi"/>
          <w:b/>
          <w:bCs/>
          <w:color w:val="auto"/>
          <w:sz w:val="28"/>
          <w:szCs w:val="28"/>
        </w:rPr>
        <w:t>“Building an enabling environment for access to the Internet</w:t>
      </w:r>
      <w:r>
        <w:rPr>
          <w:rFonts w:asciiTheme="minorHAnsi" w:hAnsiTheme="minorHAnsi"/>
          <w:b/>
          <w:bCs/>
          <w:color w:val="auto"/>
          <w:sz w:val="28"/>
          <w:szCs w:val="28"/>
        </w:rPr>
        <w:t>”</w:t>
      </w:r>
    </w:p>
    <w:p w14:paraId="2B8C177F" w14:textId="77777777" w:rsidR="00877F47" w:rsidRDefault="00C03E66" w:rsidP="000E3979">
      <w:pPr>
        <w:jc w:val="center"/>
        <w:rPr>
          <w:b/>
          <w:bCs/>
          <w:sz w:val="28"/>
          <w:szCs w:val="28"/>
        </w:rPr>
      </w:pPr>
      <w:r w:rsidRPr="00C03E66">
        <w:rPr>
          <w:b/>
          <w:bCs/>
          <w:sz w:val="28"/>
          <w:szCs w:val="28"/>
        </w:rPr>
        <w:t xml:space="preserve">ITU </w:t>
      </w:r>
      <w:r w:rsidR="00877F47">
        <w:rPr>
          <w:b/>
          <w:bCs/>
          <w:sz w:val="28"/>
          <w:szCs w:val="28"/>
        </w:rPr>
        <w:t>COUNCIL WORKING GROUP</w:t>
      </w:r>
      <w:r>
        <w:rPr>
          <w:b/>
          <w:bCs/>
          <w:sz w:val="28"/>
          <w:szCs w:val="28"/>
        </w:rPr>
        <w:br/>
      </w:r>
      <w:r w:rsidRPr="00C03E66">
        <w:rPr>
          <w:b/>
          <w:bCs/>
          <w:sz w:val="28"/>
          <w:szCs w:val="28"/>
        </w:rPr>
        <w:t xml:space="preserve">ON INTERNATIONAL INTERNET-RELATED PUBLIC POLICY ISSUES </w:t>
      </w:r>
      <w:r>
        <w:rPr>
          <w:b/>
          <w:bCs/>
          <w:sz w:val="28"/>
          <w:szCs w:val="28"/>
        </w:rPr>
        <w:br/>
      </w:r>
      <w:r w:rsidRPr="00C03E66">
        <w:rPr>
          <w:b/>
          <w:bCs/>
          <w:sz w:val="28"/>
          <w:szCs w:val="28"/>
        </w:rPr>
        <w:t>(CWG-INTERNET)</w:t>
      </w:r>
    </w:p>
    <w:p w14:paraId="2B8C1780" w14:textId="5B6149CE" w:rsidR="009807AF" w:rsidRPr="00C03E66" w:rsidRDefault="009807AF" w:rsidP="008549DB">
      <w:pPr>
        <w:jc w:val="center"/>
        <w:rPr>
          <w:i/>
          <w:iCs/>
        </w:rPr>
      </w:pPr>
      <w:r w:rsidRPr="00C03E66">
        <w:rPr>
          <w:i/>
          <w:iCs/>
        </w:rPr>
        <w:t>(</w:t>
      </w:r>
      <w:r w:rsidR="008549DB">
        <w:rPr>
          <w:i/>
          <w:iCs/>
        </w:rPr>
        <w:t>February- September</w:t>
      </w:r>
      <w:r w:rsidRPr="00C03E66">
        <w:rPr>
          <w:i/>
          <w:iCs/>
        </w:rPr>
        <w:t xml:space="preserve"> 2016)</w:t>
      </w:r>
    </w:p>
    <w:p w14:paraId="2B8C1781" w14:textId="77777777" w:rsidR="009807AF" w:rsidRPr="00C03E66" w:rsidRDefault="00C03E66" w:rsidP="002B7C31">
      <w:pPr>
        <w:pStyle w:val="Ttulo2"/>
        <w:spacing w:before="120" w:after="120" w:line="240" w:lineRule="auto"/>
        <w:rPr>
          <w:rFonts w:asciiTheme="minorHAnsi" w:hAnsiTheme="minorHAnsi"/>
          <w:b/>
          <w:bCs/>
          <w:color w:val="auto"/>
          <w:sz w:val="22"/>
          <w:szCs w:val="22"/>
        </w:rPr>
      </w:pPr>
      <w:r w:rsidRPr="00C03E66">
        <w:rPr>
          <w:rFonts w:asciiTheme="minorHAnsi" w:hAnsiTheme="minorHAnsi"/>
          <w:b/>
          <w:bCs/>
          <w:color w:val="auto"/>
          <w:sz w:val="22"/>
          <w:szCs w:val="22"/>
        </w:rPr>
        <w:t xml:space="preserve">USEFUL INFORMATION AND INSTRUCTIONS </w:t>
      </w:r>
    </w:p>
    <w:p w14:paraId="2B8C1782" w14:textId="77777777" w:rsidR="009807AF" w:rsidRPr="00C03E66" w:rsidRDefault="009807AF" w:rsidP="002B7C31">
      <w:pPr>
        <w:pStyle w:val="Ttulo3"/>
        <w:spacing w:before="240" w:after="120" w:line="240" w:lineRule="auto"/>
        <w:rPr>
          <w:rFonts w:asciiTheme="minorHAnsi" w:hAnsiTheme="minorHAnsi"/>
          <w:b/>
          <w:bCs/>
          <w:color w:val="auto"/>
          <w:sz w:val="22"/>
          <w:szCs w:val="22"/>
        </w:rPr>
      </w:pPr>
      <w:r w:rsidRPr="00C03E66">
        <w:rPr>
          <w:rFonts w:asciiTheme="minorHAnsi" w:hAnsiTheme="minorHAnsi"/>
          <w:b/>
          <w:bCs/>
          <w:color w:val="auto"/>
          <w:sz w:val="22"/>
          <w:szCs w:val="22"/>
        </w:rPr>
        <w:t xml:space="preserve">Information on the Online Open Consultations </w:t>
      </w:r>
    </w:p>
    <w:p w14:paraId="2B8C1783" w14:textId="2A8D3DE5" w:rsidR="009807AF" w:rsidRPr="00C03E66" w:rsidRDefault="002805A8" w:rsidP="00DC7102">
      <w:pPr>
        <w:spacing w:before="120" w:after="120" w:line="240" w:lineRule="auto"/>
        <w:jc w:val="both"/>
      </w:pPr>
      <w:r w:rsidRPr="002805A8">
        <w:t xml:space="preserve">The online open consultations are held throughout the period between two successive meetings of the CWG-Internet. This process gives an opportunity to all stakeholders from all nations to express their views with regards to the topic(s) under discussion. As responses to the online open consultations can contain lengthy attachments, </w:t>
      </w:r>
      <w:r w:rsidRPr="002805A8">
        <w:rPr>
          <w:b/>
          <w:bCs/>
        </w:rPr>
        <w:t xml:space="preserve">submitters are kindly requested to additionally provide a </w:t>
      </w:r>
      <w:r w:rsidRPr="002805A8">
        <w:rPr>
          <w:b/>
          <w:bCs/>
          <w:u w:val="single"/>
        </w:rPr>
        <w:t>short summary</w:t>
      </w:r>
      <w:r w:rsidRPr="002805A8">
        <w:rPr>
          <w:u w:val="single"/>
        </w:rPr>
        <w:t xml:space="preserve"> </w:t>
      </w:r>
      <w:r w:rsidRPr="002805A8">
        <w:rPr>
          <w:b/>
          <w:bCs/>
          <w:u w:val="single"/>
        </w:rPr>
        <w:t>(2-3 paragraphs)</w:t>
      </w:r>
      <w:r w:rsidRPr="002805A8">
        <w:rPr>
          <w:u w:val="single"/>
        </w:rPr>
        <w:t xml:space="preserve"> </w:t>
      </w:r>
      <w:r w:rsidRPr="002805A8">
        <w:rPr>
          <w:b/>
          <w:bCs/>
          <w:u w:val="single"/>
        </w:rPr>
        <w:t>of their responses</w:t>
      </w:r>
      <w:r w:rsidRPr="002805A8">
        <w:rPr>
          <w:b/>
          <w:bCs/>
        </w:rPr>
        <w:t xml:space="preserve"> as part of their submission,</w:t>
      </w:r>
      <w:r>
        <w:rPr>
          <w:b/>
          <w:bCs/>
        </w:rPr>
        <w:t xml:space="preserve"> for the benefit of all readers</w:t>
      </w:r>
      <w:r w:rsidR="009807AF" w:rsidRPr="00C03E66">
        <w:t xml:space="preserve">. </w:t>
      </w:r>
    </w:p>
    <w:p w14:paraId="2B8C1784" w14:textId="1EDE65A8" w:rsidR="00C03E66" w:rsidRPr="00C03E66" w:rsidRDefault="009807AF" w:rsidP="00DC7102">
      <w:pPr>
        <w:pStyle w:val="Ttulo3"/>
        <w:spacing w:before="240" w:after="120" w:line="240" w:lineRule="auto"/>
        <w:jc w:val="both"/>
        <w:rPr>
          <w:rFonts w:asciiTheme="minorHAnsi" w:hAnsiTheme="minorHAnsi"/>
          <w:b/>
          <w:bCs/>
          <w:color w:val="auto"/>
          <w:sz w:val="22"/>
          <w:szCs w:val="22"/>
        </w:rPr>
      </w:pPr>
      <w:r w:rsidRPr="00C03E66">
        <w:rPr>
          <w:rFonts w:asciiTheme="minorHAnsi" w:hAnsiTheme="minorHAnsi"/>
          <w:b/>
          <w:bCs/>
          <w:color w:val="auto"/>
          <w:sz w:val="22"/>
          <w:szCs w:val="22"/>
        </w:rPr>
        <w:t>Information on the Physical Open Consultations</w:t>
      </w:r>
      <w:r w:rsidR="00946583">
        <w:rPr>
          <w:rFonts w:asciiTheme="minorHAnsi" w:hAnsiTheme="minorHAnsi"/>
          <w:b/>
          <w:bCs/>
          <w:color w:val="auto"/>
          <w:sz w:val="22"/>
          <w:szCs w:val="22"/>
        </w:rPr>
        <w:br/>
      </w:r>
      <w:r w:rsidR="00946583" w:rsidRPr="00946583">
        <w:rPr>
          <w:rFonts w:asciiTheme="minorHAnsi" w:eastAsiaTheme="minorEastAsia" w:hAnsiTheme="minorHAnsi" w:cstheme="minorBidi"/>
          <w:color w:val="auto"/>
          <w:sz w:val="22"/>
          <w:szCs w:val="22"/>
        </w:rPr>
        <w:t xml:space="preserve">A physical open consultation meeting is organized </w:t>
      </w:r>
      <w:r w:rsidR="00946583" w:rsidRPr="00946583">
        <w:rPr>
          <w:rFonts w:asciiTheme="minorHAnsi" w:eastAsiaTheme="minorEastAsia" w:hAnsiTheme="minorHAnsi" w:cstheme="minorBidi"/>
          <w:b/>
          <w:bCs/>
          <w:color w:val="auto"/>
          <w:sz w:val="22"/>
          <w:szCs w:val="22"/>
          <w:u w:val="single"/>
        </w:rPr>
        <w:t>30 days</w:t>
      </w:r>
      <w:r w:rsidR="00946583" w:rsidRPr="00946583">
        <w:rPr>
          <w:rFonts w:asciiTheme="minorHAnsi" w:eastAsiaTheme="minorEastAsia" w:hAnsiTheme="minorHAnsi" w:cstheme="minorBidi"/>
          <w:color w:val="auto"/>
          <w:sz w:val="22"/>
          <w:szCs w:val="22"/>
        </w:rPr>
        <w:t xml:space="preserve"> after the end of the online open consultation. </w:t>
      </w:r>
      <w:r w:rsidR="00946583" w:rsidRPr="00946583">
        <w:rPr>
          <w:rFonts w:asciiTheme="minorHAnsi" w:eastAsiaTheme="minorEastAsia" w:hAnsiTheme="minorHAnsi" w:cstheme="minorBidi"/>
          <w:b/>
          <w:bCs/>
          <w:color w:val="auto"/>
          <w:sz w:val="22"/>
          <w:szCs w:val="22"/>
        </w:rPr>
        <w:t>Discussions during the physical consultation meeting are based on the responses received during the online consultation process, which are consolidated in a single document by the ITU Secretariat.</w:t>
      </w:r>
      <w:r w:rsidR="00946583" w:rsidRPr="00946583">
        <w:rPr>
          <w:rFonts w:asciiTheme="minorHAnsi" w:eastAsiaTheme="minorEastAsia" w:hAnsiTheme="minorHAnsi" w:cstheme="minorBidi"/>
          <w:color w:val="auto"/>
          <w:sz w:val="22"/>
          <w:szCs w:val="22"/>
        </w:rPr>
        <w:t xml:space="preserve"> During this physical meeting, respondents to the online consultation have the opportunity to present their submitted views and to have a fruitful discussion with the other participants, including Members of the CWG-Internet. For those not in the position to participate on site, </w:t>
      </w:r>
      <w:r w:rsidR="00946583" w:rsidRPr="00946583">
        <w:rPr>
          <w:rFonts w:asciiTheme="minorHAnsi" w:eastAsiaTheme="minorEastAsia" w:hAnsiTheme="minorHAnsi" w:cstheme="minorBidi"/>
          <w:b/>
          <w:bCs/>
          <w:color w:val="auto"/>
          <w:sz w:val="22"/>
          <w:szCs w:val="22"/>
        </w:rPr>
        <w:t>remote participation is also available upon request</w:t>
      </w:r>
      <w:r w:rsidR="00946583" w:rsidRPr="00946583">
        <w:rPr>
          <w:rFonts w:asciiTheme="minorHAnsi" w:eastAsiaTheme="minorEastAsia" w:hAnsiTheme="minorHAnsi" w:cstheme="minorBidi"/>
          <w:color w:val="auto"/>
          <w:sz w:val="22"/>
          <w:szCs w:val="22"/>
        </w:rPr>
        <w:t>.</w:t>
      </w:r>
      <w:r w:rsidR="00946583">
        <w:rPr>
          <w:rFonts w:asciiTheme="minorHAnsi" w:eastAsiaTheme="minorEastAsia" w:hAnsiTheme="minorHAnsi" w:cstheme="minorBidi"/>
          <w:color w:val="auto"/>
          <w:sz w:val="22"/>
          <w:szCs w:val="22"/>
        </w:rPr>
        <w:br/>
      </w:r>
    </w:p>
    <w:p w14:paraId="10A47FEA" w14:textId="54EEA48A" w:rsidR="002805A8" w:rsidRDefault="002805A8" w:rsidP="00DC7102">
      <w:pPr>
        <w:spacing w:before="120" w:after="120" w:line="240" w:lineRule="auto"/>
        <w:jc w:val="both"/>
        <w:rPr>
          <w:rStyle w:val="Textoennegrita"/>
        </w:rPr>
      </w:pPr>
      <w:r w:rsidRPr="002805A8">
        <w:rPr>
          <w:b/>
          <w:bCs/>
        </w:rPr>
        <w:t xml:space="preserve">Information on the details of the physical open consultation meeting will be published in advance on the </w:t>
      </w:r>
      <w:hyperlink r:id="rId11" w:history="1">
        <w:r w:rsidRPr="002805A8">
          <w:rPr>
            <w:rStyle w:val="Hipervnculo"/>
            <w:b/>
            <w:bCs/>
          </w:rPr>
          <w:t>ITU Website</w:t>
        </w:r>
      </w:hyperlink>
      <w:r w:rsidRPr="002805A8">
        <w:rPr>
          <w:b/>
          <w:bCs/>
        </w:rPr>
        <w:t>.</w:t>
      </w:r>
      <w:r w:rsidR="00946583">
        <w:rPr>
          <w:b/>
          <w:bCs/>
        </w:rPr>
        <w:br/>
      </w:r>
    </w:p>
    <w:p w14:paraId="2B8C1786" w14:textId="77777777" w:rsidR="009807AF" w:rsidRPr="00C03E66" w:rsidRDefault="009807AF" w:rsidP="00DC7102">
      <w:pPr>
        <w:pStyle w:val="Ttulo3"/>
        <w:spacing w:before="240" w:after="120" w:line="240" w:lineRule="auto"/>
        <w:jc w:val="both"/>
        <w:rPr>
          <w:rFonts w:asciiTheme="minorHAnsi" w:hAnsiTheme="minorHAnsi"/>
          <w:b/>
          <w:bCs/>
          <w:color w:val="auto"/>
          <w:sz w:val="22"/>
          <w:szCs w:val="22"/>
        </w:rPr>
      </w:pPr>
      <w:r w:rsidRPr="00C03E66">
        <w:rPr>
          <w:rFonts w:asciiTheme="minorHAnsi" w:hAnsiTheme="minorHAnsi"/>
          <w:b/>
          <w:bCs/>
          <w:color w:val="auto"/>
          <w:sz w:val="22"/>
          <w:szCs w:val="22"/>
        </w:rPr>
        <w:t xml:space="preserve">Topic of discussion </w:t>
      </w:r>
    </w:p>
    <w:p w14:paraId="50CF6B19" w14:textId="77777777" w:rsidR="002805A8" w:rsidRPr="002805A8" w:rsidRDefault="002805A8" w:rsidP="00DC7102">
      <w:pPr>
        <w:jc w:val="both"/>
      </w:pPr>
      <w:r w:rsidRPr="002805A8">
        <w:t xml:space="preserve">Following the instructions of Council </w:t>
      </w:r>
      <w:hyperlink r:id="rId12" w:history="1">
        <w:r w:rsidRPr="002805A8">
          <w:rPr>
            <w:rStyle w:val="Hipervnculo"/>
          </w:rPr>
          <w:t>Resolution 1344</w:t>
        </w:r>
      </w:hyperlink>
      <w:r w:rsidRPr="002805A8">
        <w:t xml:space="preserve"> (Mod. 2015), the </w:t>
      </w:r>
      <w:hyperlink r:id="rId13" w:history="1">
        <w:r w:rsidRPr="002805A8">
          <w:rPr>
            <w:rStyle w:val="Hipervnculo"/>
          </w:rPr>
          <w:t>ITU Council Working Group on International Internet-related Public Policy Issues (CWG-Internet)</w:t>
        </w:r>
      </w:hyperlink>
      <w:r w:rsidRPr="002805A8">
        <w:t xml:space="preserve"> decided on 18 February 2016 </w:t>
      </w:r>
      <w:r w:rsidRPr="002805A8">
        <w:rPr>
          <w:b/>
          <w:bCs/>
        </w:rPr>
        <w:t>to hold an open consultation (online and physical) on the following topic</w:t>
      </w:r>
      <w:r w:rsidRPr="002805A8">
        <w:t>: </w:t>
      </w:r>
    </w:p>
    <w:p w14:paraId="1357BF70" w14:textId="77777777" w:rsidR="002805A8" w:rsidRPr="002805A8" w:rsidRDefault="002805A8" w:rsidP="00DC7102">
      <w:pPr>
        <w:overflowPunct w:val="0"/>
        <w:autoSpaceDE w:val="0"/>
        <w:autoSpaceDN w:val="0"/>
        <w:adjustRightInd w:val="0"/>
        <w:snapToGrid w:val="0"/>
        <w:spacing w:before="240" w:after="120" w:line="240" w:lineRule="auto"/>
        <w:ind w:left="709"/>
        <w:jc w:val="both"/>
        <w:textAlignment w:val="baseline"/>
        <w:rPr>
          <w:rFonts w:ascii="Calibri" w:eastAsia="Times New Roman" w:hAnsi="Calibri" w:cs="Calibri"/>
          <w:b/>
          <w:bCs/>
          <w:i/>
          <w:iCs/>
          <w:sz w:val="24"/>
          <w:szCs w:val="20"/>
          <w:lang w:val="en-GB" w:eastAsia="en-US"/>
        </w:rPr>
      </w:pPr>
      <w:r w:rsidRPr="002805A8">
        <w:rPr>
          <w:rFonts w:ascii="Calibri" w:eastAsia="Times New Roman" w:hAnsi="Calibri" w:cs="Calibri"/>
          <w:b/>
          <w:bCs/>
          <w:i/>
          <w:iCs/>
          <w:sz w:val="24"/>
          <w:szCs w:val="20"/>
          <w:lang w:val="en-GB" w:eastAsia="en-US"/>
        </w:rPr>
        <w:t>“Building an enabling environment for access to the Internet</w:t>
      </w:r>
    </w:p>
    <w:p w14:paraId="2857D7AC" w14:textId="77777777" w:rsidR="002805A8" w:rsidRPr="002805A8" w:rsidRDefault="002805A8" w:rsidP="00DC7102">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promote Internet connectivity?</w:t>
      </w:r>
    </w:p>
    <w:p w14:paraId="4CF9ACDD" w14:textId="77777777" w:rsidR="002805A8" w:rsidRPr="002805A8" w:rsidRDefault="002805A8" w:rsidP="00DC7102">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promote an affordable Internet?</w:t>
      </w:r>
    </w:p>
    <w:p w14:paraId="216969C9" w14:textId="77777777" w:rsidR="002805A8" w:rsidRPr="002805A8" w:rsidRDefault="002805A8" w:rsidP="00DC7102">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promote the quality of access to the Internet?</w:t>
      </w:r>
    </w:p>
    <w:p w14:paraId="640C1324" w14:textId="77777777" w:rsidR="002805A8" w:rsidRPr="002805A8" w:rsidRDefault="002805A8" w:rsidP="00DC7102">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are the elements of an enabling environment to build confidence and security in the use of the Internet?</w:t>
      </w:r>
    </w:p>
    <w:p w14:paraId="3E474516" w14:textId="77777777" w:rsidR="002805A8" w:rsidRPr="002805A8" w:rsidRDefault="002805A8" w:rsidP="00DC7102">
      <w:pPr>
        <w:numPr>
          <w:ilvl w:val="0"/>
          <w:numId w:val="5"/>
        </w:numPr>
        <w:tabs>
          <w:tab w:val="left" w:pos="794"/>
          <w:tab w:val="left" w:pos="1191"/>
          <w:tab w:val="left" w:pos="1588"/>
          <w:tab w:val="left" w:pos="1985"/>
        </w:tabs>
        <w:overflowPunct w:val="0"/>
        <w:autoSpaceDE w:val="0"/>
        <w:autoSpaceDN w:val="0"/>
        <w:adjustRightInd w:val="0"/>
        <w:snapToGrid w:val="0"/>
        <w:spacing w:before="120" w:after="120" w:line="240" w:lineRule="auto"/>
        <w:ind w:left="1069"/>
        <w:jc w:val="both"/>
        <w:textAlignment w:val="baseline"/>
        <w:rPr>
          <w:rFonts w:ascii="Calibri" w:eastAsia="Times New Roman" w:hAnsi="Calibri" w:cs="Calibri"/>
          <w:i/>
          <w:iCs/>
          <w:sz w:val="24"/>
          <w:szCs w:val="20"/>
          <w:lang w:val="en-GB" w:eastAsia="en-US"/>
        </w:rPr>
      </w:pPr>
      <w:r w:rsidRPr="002805A8">
        <w:rPr>
          <w:rFonts w:ascii="Calibri" w:eastAsia="Times New Roman" w:hAnsi="Calibri" w:cs="Calibri"/>
          <w:i/>
          <w:iCs/>
          <w:sz w:val="24"/>
          <w:szCs w:val="20"/>
          <w:lang w:val="en-GB" w:eastAsia="en-US"/>
        </w:rPr>
        <w:t>What is the role of Governments in building an enabling environment?”</w:t>
      </w:r>
    </w:p>
    <w:p w14:paraId="508B10AF" w14:textId="77777777" w:rsidR="008549DB" w:rsidRPr="002805A8" w:rsidRDefault="008549DB" w:rsidP="00DC7102">
      <w:pPr>
        <w:pStyle w:val="Ttulo3"/>
        <w:spacing w:before="240" w:after="120" w:line="240" w:lineRule="auto"/>
        <w:jc w:val="both"/>
        <w:rPr>
          <w:rFonts w:asciiTheme="minorHAnsi" w:hAnsiTheme="minorHAnsi"/>
          <w:b/>
          <w:bCs/>
          <w:color w:val="auto"/>
          <w:sz w:val="22"/>
          <w:szCs w:val="22"/>
          <w:lang w:val="en-GB"/>
        </w:rPr>
      </w:pPr>
    </w:p>
    <w:p w14:paraId="2B8C178D" w14:textId="77777777" w:rsidR="002B7C31" w:rsidRPr="002B7C31" w:rsidRDefault="002B7C31" w:rsidP="00DC7102">
      <w:pPr>
        <w:pStyle w:val="Ttulo3"/>
        <w:spacing w:before="240" w:after="120" w:line="240" w:lineRule="auto"/>
        <w:jc w:val="both"/>
        <w:rPr>
          <w:rFonts w:asciiTheme="minorHAnsi" w:hAnsiTheme="minorHAnsi"/>
          <w:b/>
          <w:bCs/>
          <w:color w:val="auto"/>
          <w:sz w:val="22"/>
          <w:szCs w:val="22"/>
        </w:rPr>
      </w:pPr>
      <w:r w:rsidRPr="002B7C31">
        <w:rPr>
          <w:rFonts w:asciiTheme="minorHAnsi" w:hAnsiTheme="minorHAnsi"/>
          <w:b/>
          <w:bCs/>
          <w:color w:val="auto"/>
          <w:sz w:val="22"/>
          <w:szCs w:val="22"/>
        </w:rPr>
        <w:t>How to submit your input (accessible format)</w:t>
      </w:r>
    </w:p>
    <w:p w14:paraId="2B8C178E" w14:textId="2EA84130" w:rsidR="009807AF" w:rsidRDefault="009807AF" w:rsidP="00DC7102">
      <w:pPr>
        <w:spacing w:before="120" w:after="120" w:line="240" w:lineRule="auto"/>
        <w:jc w:val="both"/>
      </w:pPr>
      <w:r w:rsidRPr="00C03E66">
        <w:t>You</w:t>
      </w:r>
      <w:r w:rsidR="00654EFF" w:rsidRPr="00C03E66">
        <w:t xml:space="preserve"> can</w:t>
      </w:r>
      <w:r w:rsidRPr="00C03E66">
        <w:t xml:space="preserve"> </w:t>
      </w:r>
      <w:r w:rsidR="00654EFF" w:rsidRPr="00C03E66">
        <w:t>include</w:t>
      </w:r>
      <w:r w:rsidRPr="00C03E66">
        <w:t xml:space="preserve"> your responses to the questions </w:t>
      </w:r>
      <w:r w:rsidR="00654EFF" w:rsidRPr="00C03E66">
        <w:t xml:space="preserve">into </w:t>
      </w:r>
      <w:r w:rsidR="00896E77">
        <w:t>the following space</w:t>
      </w:r>
      <w:r w:rsidR="00654EFF" w:rsidRPr="00C03E66">
        <w:t xml:space="preserve"> and send it back to </w:t>
      </w:r>
      <w:hyperlink r:id="rId14" w:history="1">
        <w:r w:rsidR="001F7AD1" w:rsidRPr="00807002">
          <w:rPr>
            <w:rStyle w:val="Hipervnculo"/>
          </w:rPr>
          <w:t>InternetPublicViews@itu.int</w:t>
        </w:r>
      </w:hyperlink>
      <w:r w:rsidR="001F7AD1">
        <w:t xml:space="preserve"> </w:t>
      </w:r>
      <w:r w:rsidR="00654EFF" w:rsidRPr="00C03E66">
        <w:t xml:space="preserve">including your </w:t>
      </w:r>
      <w:r w:rsidR="008B0DA2" w:rsidRPr="00C03E66">
        <w:t>Full Name</w:t>
      </w:r>
      <w:r w:rsidR="008B0DA2">
        <w:t>,</w:t>
      </w:r>
      <w:r w:rsidR="008B0DA2" w:rsidRPr="00C03E66">
        <w:t xml:space="preserve"> </w:t>
      </w:r>
      <w:r w:rsidR="00654EFF" w:rsidRPr="00C03E66">
        <w:t xml:space="preserve">Title, </w:t>
      </w:r>
      <w:r w:rsidR="008B0DA2" w:rsidRPr="00C03E66">
        <w:t>Organization</w:t>
      </w:r>
      <w:r w:rsidR="008B0DA2">
        <w:t xml:space="preserve"> </w:t>
      </w:r>
      <w:r w:rsidR="008B0DA2" w:rsidRPr="00C03E66">
        <w:t>you are representing</w:t>
      </w:r>
      <w:r w:rsidR="008B0DA2">
        <w:t xml:space="preserve"> and </w:t>
      </w:r>
      <w:r w:rsidR="00654EFF" w:rsidRPr="00C03E66">
        <w:t xml:space="preserve">Country. Your response will </w:t>
      </w:r>
      <w:r w:rsidR="002C1B06" w:rsidRPr="00C03E66">
        <w:t xml:space="preserve">then </w:t>
      </w:r>
      <w:r w:rsidR="00654EFF" w:rsidRPr="00C03E66">
        <w:t xml:space="preserve">be published on the ITU </w:t>
      </w:r>
      <w:r w:rsidR="00266F40">
        <w:t xml:space="preserve">Website: </w:t>
      </w:r>
      <w:r w:rsidR="002C1B06" w:rsidRPr="00C03E66">
        <w:t xml:space="preserve"> </w:t>
      </w:r>
      <w:hyperlink r:id="rId15" w:history="1">
        <w:r w:rsidR="008549DB" w:rsidRPr="0008338B">
          <w:rPr>
            <w:rStyle w:val="Hipervnculo"/>
          </w:rPr>
          <w:t>http://www.itu.int/en/council/cwg-internet/Pages/consultation-feb2016.aspx</w:t>
        </w:r>
      </w:hyperlink>
      <w:r w:rsidR="008549DB">
        <w:t xml:space="preserve"> </w:t>
      </w:r>
    </w:p>
    <w:p w14:paraId="4084D75C" w14:textId="60E9AE32" w:rsidR="009B5F55" w:rsidRPr="009B5F55" w:rsidRDefault="009B5F55" w:rsidP="00DC7102">
      <w:pPr>
        <w:spacing w:before="120" w:after="120" w:line="240" w:lineRule="auto"/>
        <w:jc w:val="both"/>
        <w:rPr>
          <w:b/>
          <w:bCs/>
        </w:rPr>
      </w:pPr>
      <w:r w:rsidRPr="009B5F55">
        <w:rPr>
          <w:b/>
          <w:bCs/>
        </w:rPr>
        <w:t xml:space="preserve">The </w:t>
      </w:r>
      <w:r w:rsidR="00503E57">
        <w:rPr>
          <w:b/>
          <w:bCs/>
        </w:rPr>
        <w:t xml:space="preserve">extended </w:t>
      </w:r>
      <w:r w:rsidRPr="009B5F55">
        <w:rPr>
          <w:b/>
          <w:bCs/>
        </w:rPr>
        <w:t xml:space="preserve">deadline for submissions is: </w:t>
      </w:r>
      <w:r w:rsidR="00503E57">
        <w:rPr>
          <w:b/>
          <w:bCs/>
        </w:rPr>
        <w:t>22</w:t>
      </w:r>
      <w:r w:rsidRPr="009B5F55">
        <w:rPr>
          <w:b/>
          <w:bCs/>
        </w:rPr>
        <w:t xml:space="preserve"> </w:t>
      </w:r>
      <w:r w:rsidR="008549DB">
        <w:rPr>
          <w:b/>
          <w:bCs/>
        </w:rPr>
        <w:t>September</w:t>
      </w:r>
      <w:r w:rsidRPr="009B5F55">
        <w:rPr>
          <w:b/>
          <w:bCs/>
        </w:rPr>
        <w:t xml:space="preserve"> 2016</w:t>
      </w:r>
    </w:p>
    <w:p w14:paraId="2B8C178F" w14:textId="77777777" w:rsidR="002B7C31" w:rsidRDefault="002B7C31" w:rsidP="00DC7102">
      <w:pPr>
        <w:spacing w:before="120" w:after="120" w:line="240" w:lineRule="auto"/>
        <w:jc w:val="both"/>
      </w:pPr>
    </w:p>
    <w:p w14:paraId="2B8C1790" w14:textId="77777777" w:rsidR="002B7C31" w:rsidRPr="00C03E66" w:rsidRDefault="002B7C31" w:rsidP="00DC7102">
      <w:pPr>
        <w:pStyle w:val="Ttulo2"/>
        <w:spacing w:before="120" w:after="120" w:line="240" w:lineRule="auto"/>
        <w:jc w:val="both"/>
        <w:rPr>
          <w:rFonts w:asciiTheme="minorHAnsi" w:hAnsiTheme="minorHAnsi"/>
          <w:b/>
          <w:bCs/>
          <w:color w:val="auto"/>
          <w:sz w:val="22"/>
          <w:szCs w:val="22"/>
        </w:rPr>
      </w:pPr>
      <w:r>
        <w:rPr>
          <w:rFonts w:asciiTheme="minorHAnsi" w:hAnsiTheme="minorHAnsi"/>
          <w:b/>
          <w:bCs/>
          <w:color w:val="auto"/>
          <w:sz w:val="22"/>
          <w:szCs w:val="22"/>
        </w:rPr>
        <w:t>QUESTIONNAIRE</w:t>
      </w:r>
    </w:p>
    <w:p w14:paraId="2B8C1791" w14:textId="48ABC1D9" w:rsidR="000E3979" w:rsidRPr="008549DB" w:rsidRDefault="002B7C31" w:rsidP="00DC7102">
      <w:pPr>
        <w:pStyle w:val="Ttulo3"/>
        <w:spacing w:before="240" w:after="120" w:line="240" w:lineRule="auto"/>
        <w:jc w:val="both"/>
        <w:rPr>
          <w:rFonts w:asciiTheme="minorHAnsi" w:hAnsiTheme="minorHAnsi"/>
          <w:b/>
          <w:bCs/>
          <w:color w:val="auto"/>
          <w:sz w:val="22"/>
          <w:szCs w:val="22"/>
        </w:rPr>
      </w:pPr>
      <w:r w:rsidRPr="008549DB">
        <w:rPr>
          <w:rFonts w:asciiTheme="minorHAnsi" w:hAnsiTheme="minorHAnsi"/>
          <w:b/>
          <w:bCs/>
          <w:color w:val="auto"/>
          <w:sz w:val="22"/>
          <w:szCs w:val="22"/>
        </w:rPr>
        <w:t xml:space="preserve">Question </w:t>
      </w:r>
      <w:r w:rsidR="000E3979" w:rsidRPr="008549DB">
        <w:rPr>
          <w:rFonts w:asciiTheme="minorHAnsi" w:hAnsiTheme="minorHAnsi"/>
          <w:b/>
          <w:bCs/>
          <w:color w:val="auto"/>
          <w:sz w:val="22"/>
          <w:szCs w:val="22"/>
        </w:rPr>
        <w:t xml:space="preserve">1: </w:t>
      </w:r>
      <w:r w:rsidR="008549DB" w:rsidRPr="008549DB">
        <w:rPr>
          <w:rFonts w:asciiTheme="minorHAnsi" w:hAnsiTheme="minorHAnsi"/>
          <w:b/>
          <w:bCs/>
          <w:color w:val="auto"/>
          <w:sz w:val="22"/>
          <w:szCs w:val="22"/>
        </w:rPr>
        <w:t>Internet connectivity</w:t>
      </w:r>
    </w:p>
    <w:p w14:paraId="54F2A51F" w14:textId="77777777" w:rsidR="008549DB" w:rsidRPr="008549DB" w:rsidRDefault="008549DB" w:rsidP="00DC7102">
      <w:pPr>
        <w:jc w:val="both"/>
        <w:rPr>
          <w:b/>
          <w:bCs/>
        </w:rPr>
      </w:pPr>
      <w:r w:rsidRPr="008549DB">
        <w:rPr>
          <w:b/>
          <w:bCs/>
        </w:rPr>
        <w:t>What are the elements of an enabling environment to promote Internet connectivity?</w:t>
      </w:r>
    </w:p>
    <w:p w14:paraId="1D877571" w14:textId="77777777" w:rsidR="00DC7102" w:rsidRPr="00DC7102" w:rsidRDefault="00DC7102" w:rsidP="00DC7102">
      <w:pPr>
        <w:spacing w:before="100" w:beforeAutospacing="1" w:after="100" w:afterAutospacing="1"/>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La conectividad de Internet puede ser promovida desde diferentes ángulos.</w:t>
      </w:r>
    </w:p>
    <w:p w14:paraId="70B12D57" w14:textId="77777777" w:rsidR="00DC7102" w:rsidRDefault="00DC7102" w:rsidP="00DC7102">
      <w:pPr>
        <w:spacing w:before="100" w:beforeAutospacing="1" w:after="100" w:afterAutospacing="1"/>
        <w:jc w:val="both"/>
        <w:rPr>
          <w:rFonts w:ascii="Tahoma" w:eastAsia="Times New Roman" w:hAnsi="Tahoma" w:cs="Tahoma"/>
          <w:color w:val="000000"/>
          <w:sz w:val="20"/>
          <w:szCs w:val="20"/>
        </w:rPr>
      </w:pPr>
      <w:r>
        <w:rPr>
          <w:rFonts w:ascii="Tahoma" w:eastAsia="Times New Roman" w:hAnsi="Tahoma" w:cs="Tahoma"/>
          <w:color w:val="000000"/>
          <w:sz w:val="20"/>
          <w:szCs w:val="20"/>
        </w:rPr>
        <w:t>Desde la Oferta:</w:t>
      </w:r>
    </w:p>
    <w:p w14:paraId="582552C6" w14:textId="77777777" w:rsid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rPr>
      </w:pPr>
      <w:r w:rsidRPr="00DC7102">
        <w:rPr>
          <w:rFonts w:ascii="Tahoma" w:eastAsia="Times New Roman" w:hAnsi="Tahoma" w:cs="Tahoma"/>
          <w:color w:val="000000"/>
          <w:sz w:val="20"/>
          <w:szCs w:val="20"/>
          <w:lang w:val="es-PE"/>
        </w:rPr>
        <w:t xml:space="preserve">Promoviendo políticas para un adecuado despliegue de infraestructura de Internet Fijo y Móvil. Al respecto, en el Perú se ha concluido la construcción de la Red Dorsal Nacional de Fibra Óptica, la cual adiciona 13,000 Km de fibra óptica a las redes del Perú, llegando a cubrir 180 capitales de provincia. Del mismo modo, se vienen licitando 21 Redes Regionales de fibra óptica, las cuales sumarán alrededor de 31,000 Km de fibra adicionales. </w:t>
      </w:r>
      <w:r>
        <w:rPr>
          <w:rFonts w:ascii="Tahoma" w:eastAsia="Times New Roman" w:hAnsi="Tahoma" w:cs="Tahoma"/>
          <w:color w:val="000000"/>
          <w:sz w:val="20"/>
          <w:szCs w:val="20"/>
        </w:rPr>
        <w:t>De dichos proyectos se han licitado ocho.</w:t>
      </w:r>
    </w:p>
    <w:p w14:paraId="2AE54CA0"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Facilitando los recursos necesarios para desplegar redes móviles avanzadas que ofrezcan servicios de banda ancha móvil. En Perú se han licitado bandas para 4G LTE en AWS y 700 MHz.</w:t>
      </w:r>
    </w:p>
    <w:p w14:paraId="39B94FAC"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Limitando o removiendo las barreras a la instalación de infraestructura, barreras t trabas municipales para instalación de estaciones base de comunicaciones móviles por ejemplo.</w:t>
      </w:r>
    </w:p>
    <w:p w14:paraId="15324025"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Promoviendo la competencia en la oferta de los servicios, una competencia más intensa entre operadores existentes y el atraer nuevos operadores al mercado. Pero no solo competencia por usuarios existentes sino por expandir los servicios a nuevas zonas y nuevos usuarios.</w:t>
      </w:r>
    </w:p>
    <w:p w14:paraId="43D389EF"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Promoviendo Puntos de Intercambio de Internet (IXP) en el País.</w:t>
      </w:r>
    </w:p>
    <w:p w14:paraId="255F5C09"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Promoviendo conectividad a las redes IXP a nivel regional.</w:t>
      </w:r>
    </w:p>
    <w:p w14:paraId="565A8050"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Promoviendo un adecuado acceso a los Servicios de Conectividad Internacional a Internet (Cable Submarino).</w:t>
      </w:r>
    </w:p>
    <w:p w14:paraId="68F95BFF" w14:textId="77777777" w:rsidR="00DC7102" w:rsidRPr="00DC7102" w:rsidRDefault="00DC7102" w:rsidP="00DC7102">
      <w:pPr>
        <w:pStyle w:val="Prrafodelista"/>
        <w:numPr>
          <w:ilvl w:val="0"/>
          <w:numId w:val="7"/>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Promoviendo la instalación de CDN de los grandes proveedores de contenidos a nivel mundial (Google, Amazon, Akamai, etc).</w:t>
      </w:r>
    </w:p>
    <w:p w14:paraId="414B24CC" w14:textId="77777777" w:rsidR="00DC7102" w:rsidRDefault="00DC7102" w:rsidP="00DC7102">
      <w:pPr>
        <w:spacing w:before="100" w:beforeAutospacing="1" w:after="100" w:afterAutospacing="1"/>
        <w:jc w:val="both"/>
        <w:rPr>
          <w:rFonts w:ascii="Tahoma" w:eastAsia="Times New Roman" w:hAnsi="Tahoma" w:cs="Tahoma"/>
          <w:color w:val="000000"/>
          <w:sz w:val="20"/>
          <w:szCs w:val="20"/>
        </w:rPr>
      </w:pPr>
      <w:r>
        <w:rPr>
          <w:rFonts w:ascii="Tahoma" w:eastAsia="Times New Roman" w:hAnsi="Tahoma" w:cs="Tahoma"/>
          <w:color w:val="000000"/>
          <w:sz w:val="20"/>
          <w:szCs w:val="20"/>
        </w:rPr>
        <w:t>Desde la demanda:</w:t>
      </w:r>
    </w:p>
    <w:p w14:paraId="7ACF73CF"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Desarrollo de políticas que promuevan una mayor asequibilidad de dispositivos y terminales de usuario.</w:t>
      </w:r>
    </w:p>
    <w:p w14:paraId="039AB3E7" w14:textId="77777777" w:rsid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Políticas de Alfabetización digital.</w:t>
      </w:r>
    </w:p>
    <w:p w14:paraId="60F46761"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Políticas para promover la Generación de Contenidos y Aplicaciones.</w:t>
      </w:r>
    </w:p>
    <w:p w14:paraId="1B2ED280"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Políticas para el Desarrollo de Gobierno Electrónico.</w:t>
      </w:r>
    </w:p>
    <w:p w14:paraId="6E4E3F4E"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Políticas para promover Aplicaciones de Tele-salud, Tele-educación, Tele-trabajo, etc.</w:t>
      </w:r>
    </w:p>
    <w:p w14:paraId="2B8C1794" w14:textId="77777777" w:rsidR="002B7C31" w:rsidRPr="00DC7102" w:rsidRDefault="002B7C31" w:rsidP="00DC7102">
      <w:pPr>
        <w:jc w:val="both"/>
        <w:rPr>
          <w:lang w:val="es-PE"/>
        </w:rPr>
      </w:pPr>
    </w:p>
    <w:p w14:paraId="2B8C1795" w14:textId="490FF693" w:rsidR="000E3979" w:rsidRPr="008549DB" w:rsidRDefault="002B7C31" w:rsidP="00DC7102">
      <w:pPr>
        <w:pStyle w:val="Ttulo3"/>
        <w:spacing w:before="240" w:after="120" w:line="240" w:lineRule="auto"/>
        <w:jc w:val="both"/>
        <w:rPr>
          <w:rFonts w:asciiTheme="minorHAnsi" w:hAnsiTheme="minorHAnsi"/>
          <w:b/>
          <w:bCs/>
          <w:color w:val="auto"/>
          <w:sz w:val="22"/>
          <w:szCs w:val="22"/>
        </w:rPr>
      </w:pPr>
      <w:r w:rsidRPr="008549DB">
        <w:rPr>
          <w:rFonts w:asciiTheme="minorHAnsi" w:hAnsiTheme="minorHAnsi"/>
          <w:b/>
          <w:bCs/>
          <w:color w:val="auto"/>
          <w:sz w:val="22"/>
          <w:szCs w:val="22"/>
        </w:rPr>
        <w:lastRenderedPageBreak/>
        <w:t xml:space="preserve">Question 2: </w:t>
      </w:r>
      <w:r w:rsidR="008549DB" w:rsidRPr="008549DB">
        <w:rPr>
          <w:rFonts w:asciiTheme="minorHAnsi" w:hAnsiTheme="minorHAnsi"/>
          <w:b/>
          <w:bCs/>
          <w:color w:val="auto"/>
          <w:sz w:val="22"/>
          <w:szCs w:val="22"/>
        </w:rPr>
        <w:t>Affordable Internet</w:t>
      </w:r>
    </w:p>
    <w:p w14:paraId="0C56EA9D" w14:textId="77777777" w:rsidR="008549DB" w:rsidRPr="008549DB" w:rsidRDefault="008549DB" w:rsidP="00DC7102">
      <w:pPr>
        <w:jc w:val="both"/>
        <w:rPr>
          <w:b/>
          <w:bCs/>
        </w:rPr>
      </w:pPr>
      <w:r w:rsidRPr="008549DB">
        <w:rPr>
          <w:b/>
          <w:bCs/>
        </w:rPr>
        <w:t>What are the elements of an enabling environment to promote an affordable Internet?</w:t>
      </w:r>
    </w:p>
    <w:p w14:paraId="3950D57B" w14:textId="77777777" w:rsidR="00DC7102" w:rsidRPr="00DC7102" w:rsidRDefault="00DC7102" w:rsidP="00DC7102">
      <w:pPr>
        <w:spacing w:before="100" w:beforeAutospacing="1" w:after="100" w:afterAutospacing="1"/>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Los elementos que promueven un Internet asequible están relacionados directamente con:</w:t>
      </w:r>
    </w:p>
    <w:p w14:paraId="6D1AA33A"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El nivel de competencia de la industria.</w:t>
      </w:r>
    </w:p>
    <w:p w14:paraId="31F4D637"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El grado de apropiabilidad social del internet (i.e. internalización de la potencialidad del servicio).</w:t>
      </w:r>
    </w:p>
    <w:p w14:paraId="18CAD66C"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Desarrollo de contenidos con alto valor social.</w:t>
      </w:r>
    </w:p>
    <w:p w14:paraId="3890A9ED"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Políticas públicas de subsidio en estratos económicamente pobres.</w:t>
      </w:r>
    </w:p>
    <w:p w14:paraId="20D3C7E2" w14:textId="77777777" w:rsidR="00DC7102" w:rsidRPr="00DC7102" w:rsidRDefault="00DC7102" w:rsidP="00DC7102">
      <w:pPr>
        <w:pStyle w:val="Prrafodelista"/>
        <w:numPr>
          <w:ilvl w:val="0"/>
          <w:numId w:val="6"/>
        </w:numPr>
        <w:spacing w:before="100" w:beforeAutospacing="1" w:after="100" w:afterAutospacing="1"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Asimismo, se debe procurar que el Internet otorgue valor agregado a los usuarios, de manera que se materialice en una herramienta que les permita apalancar alguna actividad productiva que les signifique un retorno de inversión.</w:t>
      </w:r>
    </w:p>
    <w:p w14:paraId="2B8C1799" w14:textId="66D3FD93" w:rsidR="000E3979" w:rsidRPr="008549DB" w:rsidRDefault="002B7C31" w:rsidP="00DC7102">
      <w:pPr>
        <w:pStyle w:val="Ttulo3"/>
        <w:spacing w:before="240" w:after="120" w:line="240" w:lineRule="auto"/>
        <w:jc w:val="both"/>
        <w:rPr>
          <w:rFonts w:asciiTheme="minorHAnsi" w:hAnsiTheme="minorHAnsi"/>
          <w:b/>
          <w:bCs/>
          <w:color w:val="auto"/>
          <w:sz w:val="22"/>
          <w:szCs w:val="22"/>
        </w:rPr>
      </w:pPr>
      <w:r w:rsidRPr="008549DB">
        <w:rPr>
          <w:rFonts w:asciiTheme="minorHAnsi" w:hAnsiTheme="minorHAnsi"/>
          <w:b/>
          <w:bCs/>
          <w:color w:val="auto"/>
          <w:sz w:val="22"/>
          <w:szCs w:val="22"/>
        </w:rPr>
        <w:t xml:space="preserve">Question 3: </w:t>
      </w:r>
      <w:r w:rsidR="008549DB" w:rsidRPr="008549DB">
        <w:rPr>
          <w:rFonts w:asciiTheme="minorHAnsi" w:hAnsiTheme="minorHAnsi"/>
          <w:b/>
          <w:bCs/>
          <w:color w:val="auto"/>
          <w:sz w:val="22"/>
          <w:szCs w:val="22"/>
        </w:rPr>
        <w:t>Quality of access to the Internet</w:t>
      </w:r>
    </w:p>
    <w:p w14:paraId="5CC2780C" w14:textId="77777777" w:rsidR="008549DB" w:rsidRPr="008549DB" w:rsidRDefault="008549DB" w:rsidP="00DC7102">
      <w:pPr>
        <w:jc w:val="both"/>
        <w:rPr>
          <w:b/>
          <w:bCs/>
        </w:rPr>
      </w:pPr>
      <w:r w:rsidRPr="008549DB">
        <w:rPr>
          <w:b/>
          <w:bCs/>
        </w:rPr>
        <w:t>What are the elements of an enabling environment to promote the quality of access to the Internet?</w:t>
      </w:r>
    </w:p>
    <w:p w14:paraId="573910BD" w14:textId="77777777" w:rsidR="00DC7102" w:rsidRPr="00DC7102" w:rsidRDefault="00DC7102" w:rsidP="00DC7102">
      <w:pPr>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Se pueden listar los siguientes aspectos:</w:t>
      </w:r>
    </w:p>
    <w:p w14:paraId="2459EABC"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En primer lugar, se deben promover políticas que promuevan un adecuado despliegue de infraestructura que pueda atender de manera satisfactoria la demanda de los usuarios, asegurándoles una apropiada calidad. Entre ellas se pueden mencionar:</w:t>
      </w:r>
    </w:p>
    <w:p w14:paraId="288EF302"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Promover políticas que establezcan incentivos para la expansión de las redes fijas y móviles.</w:t>
      </w:r>
    </w:p>
    <w:p w14:paraId="0F0D5CDC"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Procurar que los operadores de servicios móviles e inalámbricos, tengan acceso a las cantidades de espectro suficiente para proveer sus servicios.</w:t>
      </w:r>
    </w:p>
    <w:p w14:paraId="0EB02231"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 xml:space="preserve">Reducir las barreras burocráticas para el despliegue de redes fijas. </w:t>
      </w:r>
    </w:p>
    <w:p w14:paraId="161C631B"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Reducir las barreras burocráticas para el despliegue de redes móviles.</w:t>
      </w:r>
    </w:p>
    <w:p w14:paraId="5A12CA37" w14:textId="77777777" w:rsidR="00DC7102" w:rsidRPr="00DC7102" w:rsidRDefault="00DC7102" w:rsidP="00DC7102">
      <w:pPr>
        <w:pStyle w:val="Prrafodelista"/>
        <w:ind w:left="1800"/>
        <w:jc w:val="both"/>
        <w:rPr>
          <w:rFonts w:ascii="Tahoma" w:eastAsia="Times New Roman" w:hAnsi="Tahoma" w:cs="Tahoma"/>
          <w:color w:val="000000"/>
          <w:sz w:val="20"/>
          <w:szCs w:val="20"/>
          <w:lang w:val="es-PE"/>
        </w:rPr>
      </w:pPr>
    </w:p>
    <w:p w14:paraId="1DE47DCB"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Al respecto, en el Perú se han emitido una serie de dispositivos legales, entre los cuales se pueden destacar:</w:t>
      </w:r>
    </w:p>
    <w:p w14:paraId="61BA981B"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Ley 29904 Ley de Banda Ancha y Construcción de la Red Dorsal Nacional de Fibra Óptica.</w:t>
      </w:r>
    </w:p>
    <w:p w14:paraId="4E6A28F6"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Ley 29022, Ley para la Expansión de Infraestructura en Telecomunicaciones.</w:t>
      </w:r>
    </w:p>
    <w:p w14:paraId="59B24772"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Ley de Uso Compartido de Infraestructura.</w:t>
      </w:r>
    </w:p>
    <w:p w14:paraId="276BD7B4" w14:textId="77777777" w:rsidR="00DC7102" w:rsidRPr="00DC7102" w:rsidRDefault="00DC7102" w:rsidP="00DC7102">
      <w:pPr>
        <w:pStyle w:val="Prrafodelista"/>
        <w:ind w:left="1080"/>
        <w:jc w:val="both"/>
        <w:rPr>
          <w:rFonts w:ascii="Tahoma" w:eastAsia="Times New Roman" w:hAnsi="Tahoma" w:cs="Tahoma"/>
          <w:color w:val="000000"/>
          <w:sz w:val="20"/>
          <w:szCs w:val="20"/>
          <w:lang w:val="es-PE"/>
        </w:rPr>
      </w:pPr>
    </w:p>
    <w:p w14:paraId="6F3ECE75"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Del mismo modo, se deben establecer los marcos normativos apropiados para la supervisión de la calidad y cobertura.</w:t>
      </w:r>
    </w:p>
    <w:p w14:paraId="578355F0" w14:textId="77777777" w:rsidR="00DC7102" w:rsidRPr="00DC7102" w:rsidRDefault="00DC7102" w:rsidP="00DC7102">
      <w:pPr>
        <w:pStyle w:val="Prrafodelista"/>
        <w:ind w:left="1080"/>
        <w:jc w:val="both"/>
        <w:rPr>
          <w:rFonts w:ascii="Tahoma" w:eastAsia="Times New Roman" w:hAnsi="Tahoma" w:cs="Tahoma"/>
          <w:color w:val="000000"/>
          <w:sz w:val="20"/>
          <w:szCs w:val="20"/>
          <w:lang w:val="es-PE"/>
        </w:rPr>
      </w:pPr>
    </w:p>
    <w:p w14:paraId="6484C6B4"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Por el lado de la calidad, dicho marco debería abordar:</w:t>
      </w:r>
    </w:p>
    <w:p w14:paraId="54C7E485"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Definición de Indicadores de medición de la calidad de Internet (Fijo y Móvil)</w:t>
      </w:r>
    </w:p>
    <w:p w14:paraId="1396A932"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Definición de metodologías de medición de dichos indicadores.</w:t>
      </w:r>
    </w:p>
    <w:p w14:paraId="15E5A5B4"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Estrategias de publicación de resultados.</w:t>
      </w:r>
    </w:p>
    <w:p w14:paraId="0490EA68"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Al respecto, en el Perú se cuenta con el “</w:t>
      </w:r>
      <w:r w:rsidRPr="00DC7102">
        <w:rPr>
          <w:rFonts w:ascii="Tahoma" w:eastAsia="Times New Roman" w:hAnsi="Tahoma" w:cs="Tahoma"/>
          <w:b/>
          <w:color w:val="000000"/>
          <w:sz w:val="20"/>
          <w:szCs w:val="20"/>
          <w:lang w:val="es-PE"/>
        </w:rPr>
        <w:t>Reglamento de Calidad de los Servicios Públicos</w:t>
      </w:r>
      <w:r w:rsidRPr="00DC7102">
        <w:rPr>
          <w:rFonts w:ascii="Tahoma" w:eastAsia="Times New Roman" w:hAnsi="Tahoma" w:cs="Tahoma"/>
          <w:color w:val="000000"/>
          <w:sz w:val="20"/>
          <w:szCs w:val="20"/>
          <w:lang w:val="es-PE"/>
        </w:rPr>
        <w:t>” (OSIPTEL 2014), el cual ha establecido indicadores y metodologías de medición para supervisar la  Calidad del Servicio de Acceso a Internet.</w:t>
      </w:r>
    </w:p>
    <w:p w14:paraId="467D4F01" w14:textId="77777777" w:rsidR="00DC7102" w:rsidRPr="00DC7102" w:rsidRDefault="00DC7102" w:rsidP="00DC7102">
      <w:pPr>
        <w:pStyle w:val="Prrafodelista"/>
        <w:ind w:left="1080"/>
        <w:jc w:val="both"/>
        <w:rPr>
          <w:rFonts w:ascii="Tahoma" w:eastAsia="Times New Roman" w:hAnsi="Tahoma" w:cs="Tahoma"/>
          <w:color w:val="000000"/>
          <w:sz w:val="20"/>
          <w:szCs w:val="20"/>
          <w:lang w:val="es-PE"/>
        </w:rPr>
      </w:pPr>
    </w:p>
    <w:p w14:paraId="504CAE2E"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Por el lado de la cobertura, dicho marco debería abordar:</w:t>
      </w:r>
    </w:p>
    <w:p w14:paraId="28C30C3B"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Metodología para validar apropiadamente las coberturas de los servicios móviles.</w:t>
      </w:r>
    </w:p>
    <w:p w14:paraId="5DB8EE07"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Estrategias de supervisión de la cobertura en el marco de dicho marco.</w:t>
      </w:r>
    </w:p>
    <w:p w14:paraId="1A905E08" w14:textId="77777777" w:rsidR="00DC7102" w:rsidRPr="00DC7102" w:rsidRDefault="00DC7102" w:rsidP="00DC7102">
      <w:pPr>
        <w:pStyle w:val="Prrafodelista"/>
        <w:numPr>
          <w:ilvl w:val="1"/>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Al respecto, en el Perú se cuenta con el "Reglamento para la supervisión de Cobertura de los servicios públicos de telecomunicaciones móviles y fijos con acceso inalámbrico".</w:t>
      </w:r>
    </w:p>
    <w:p w14:paraId="2B8C179C" w14:textId="77777777" w:rsidR="002B7C31" w:rsidRPr="00DC7102" w:rsidRDefault="002B7C31" w:rsidP="00DC7102">
      <w:pPr>
        <w:jc w:val="both"/>
        <w:rPr>
          <w:lang w:val="es-PE"/>
        </w:rPr>
      </w:pPr>
    </w:p>
    <w:p w14:paraId="2B8C179D" w14:textId="73741329" w:rsidR="000E3979" w:rsidRDefault="002B7C31" w:rsidP="00DC7102">
      <w:pPr>
        <w:pStyle w:val="Ttulo3"/>
        <w:spacing w:before="240" w:after="120" w:line="240" w:lineRule="auto"/>
        <w:jc w:val="both"/>
        <w:rPr>
          <w:rFonts w:asciiTheme="minorHAnsi" w:hAnsiTheme="minorHAnsi"/>
          <w:b/>
          <w:bCs/>
          <w:color w:val="auto"/>
          <w:sz w:val="22"/>
          <w:szCs w:val="22"/>
        </w:rPr>
      </w:pPr>
      <w:r w:rsidRPr="002B7C31">
        <w:rPr>
          <w:rFonts w:asciiTheme="minorHAnsi" w:hAnsiTheme="minorHAnsi"/>
          <w:b/>
          <w:bCs/>
          <w:color w:val="auto"/>
          <w:sz w:val="22"/>
          <w:szCs w:val="22"/>
        </w:rPr>
        <w:t xml:space="preserve">Question 4: </w:t>
      </w:r>
      <w:r w:rsidR="005B0A43">
        <w:rPr>
          <w:rFonts w:asciiTheme="minorHAnsi" w:hAnsiTheme="minorHAnsi"/>
          <w:b/>
          <w:bCs/>
          <w:color w:val="auto"/>
          <w:sz w:val="22"/>
          <w:szCs w:val="22"/>
        </w:rPr>
        <w:t>C</w:t>
      </w:r>
      <w:r w:rsidR="005B0A43" w:rsidRPr="005B0A43">
        <w:rPr>
          <w:rFonts w:asciiTheme="minorHAnsi" w:hAnsiTheme="minorHAnsi"/>
          <w:b/>
          <w:bCs/>
          <w:color w:val="auto"/>
          <w:sz w:val="22"/>
          <w:szCs w:val="22"/>
        </w:rPr>
        <w:t>onfidence and security in the use of the Internet</w:t>
      </w:r>
    </w:p>
    <w:p w14:paraId="2667169A" w14:textId="77777777" w:rsidR="005B0A43" w:rsidRDefault="005B0A43" w:rsidP="00DC7102">
      <w:pPr>
        <w:jc w:val="both"/>
        <w:rPr>
          <w:b/>
          <w:bCs/>
        </w:rPr>
      </w:pPr>
      <w:r w:rsidRPr="005B0A43">
        <w:rPr>
          <w:b/>
          <w:bCs/>
        </w:rPr>
        <w:t>What are the elements of an enabling environment to build confidence and security in the use of the Internet?</w:t>
      </w:r>
      <w:r>
        <w:rPr>
          <w:b/>
          <w:bCs/>
        </w:rPr>
        <w:t xml:space="preserve"> </w:t>
      </w:r>
    </w:p>
    <w:p w14:paraId="3929F9A3" w14:textId="77777777" w:rsidR="00DC7102" w:rsidRPr="00DC7102" w:rsidRDefault="00DC7102" w:rsidP="00DC7102">
      <w:pPr>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La confianza en el uso del Internet se puede construir asegurando dos componentes principales, a saber, la libertad de uso del Internet y la seguridad personal de los datos.</w:t>
      </w:r>
    </w:p>
    <w:p w14:paraId="24916669" w14:textId="77777777" w:rsidR="00DC7102" w:rsidRPr="00DC7102" w:rsidRDefault="00DC7102" w:rsidP="00DC7102">
      <w:pPr>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Con relación a la Libertad del Uso de Internet, en el Perú se ha emitido por la Ley 29904, lo siguiente:</w:t>
      </w:r>
    </w:p>
    <w:p w14:paraId="79127D18" w14:textId="77777777" w:rsidR="00DC7102" w:rsidRPr="00DC7102" w:rsidRDefault="00DC7102" w:rsidP="00DC7102">
      <w:pPr>
        <w:pStyle w:val="Prrafodelista"/>
        <w:jc w:val="both"/>
        <w:rPr>
          <w:rFonts w:ascii="Tahoma" w:eastAsia="Times New Roman" w:hAnsi="Tahoma" w:cs="Tahoma"/>
          <w:color w:val="000000"/>
          <w:sz w:val="20"/>
          <w:szCs w:val="20"/>
          <w:lang w:val="es-PE"/>
        </w:rPr>
      </w:pPr>
    </w:p>
    <w:p w14:paraId="5555EF56" w14:textId="77777777" w:rsidR="00DC7102" w:rsidRPr="00DC7102" w:rsidRDefault="00DC7102" w:rsidP="00DC7102">
      <w:pPr>
        <w:pStyle w:val="Prrafodelista"/>
        <w:ind w:left="1416"/>
        <w:jc w:val="both"/>
        <w:rPr>
          <w:rFonts w:ascii="Tahoma" w:eastAsia="Times New Roman" w:hAnsi="Tahoma" w:cs="Tahoma"/>
          <w:b/>
          <w:i/>
          <w:color w:val="000000"/>
          <w:sz w:val="20"/>
          <w:szCs w:val="20"/>
          <w:lang w:val="es-PE"/>
        </w:rPr>
      </w:pPr>
      <w:r w:rsidRPr="00DC7102">
        <w:rPr>
          <w:rFonts w:ascii="Tahoma" w:eastAsia="Times New Roman" w:hAnsi="Tahoma" w:cs="Tahoma"/>
          <w:b/>
          <w:i/>
          <w:color w:val="000000"/>
          <w:sz w:val="20"/>
          <w:szCs w:val="20"/>
          <w:lang w:val="es-PE"/>
        </w:rPr>
        <w:t>Artículo 6. Libertad de uso de aplicaciones o protocolos de Banda Ancha.</w:t>
      </w:r>
    </w:p>
    <w:p w14:paraId="5CCBAC8D" w14:textId="77777777" w:rsidR="00DC7102" w:rsidRPr="00DC7102" w:rsidRDefault="00DC7102" w:rsidP="00DC7102">
      <w:pPr>
        <w:pStyle w:val="Prrafodelista"/>
        <w:ind w:left="1416"/>
        <w:jc w:val="both"/>
        <w:rPr>
          <w:rFonts w:ascii="Tahoma" w:eastAsia="Times New Roman" w:hAnsi="Tahoma" w:cs="Tahoma"/>
          <w:i/>
          <w:color w:val="000000"/>
          <w:sz w:val="20"/>
          <w:szCs w:val="20"/>
          <w:lang w:val="es-PE"/>
        </w:rPr>
      </w:pPr>
    </w:p>
    <w:p w14:paraId="0CA79629" w14:textId="77777777" w:rsidR="00DC7102" w:rsidRPr="00DC7102" w:rsidRDefault="00DC7102" w:rsidP="00DC7102">
      <w:pPr>
        <w:pStyle w:val="Prrafodelista"/>
        <w:ind w:left="1416"/>
        <w:jc w:val="both"/>
        <w:rPr>
          <w:rFonts w:ascii="Tahoma" w:eastAsia="Times New Roman" w:hAnsi="Tahoma" w:cs="Tahoma"/>
          <w:i/>
          <w:color w:val="000000"/>
          <w:sz w:val="20"/>
          <w:szCs w:val="20"/>
          <w:lang w:val="es-PE"/>
        </w:rPr>
      </w:pPr>
      <w:r w:rsidRPr="00DC7102">
        <w:rPr>
          <w:rFonts w:ascii="Tahoma" w:eastAsia="Times New Roman" w:hAnsi="Tahoma" w:cs="Tahoma"/>
          <w:i/>
          <w:color w:val="000000"/>
          <w:sz w:val="20"/>
          <w:szCs w:val="20"/>
          <w:lang w:val="es-PE"/>
        </w:rPr>
        <w:t xml:space="preserve">Los proveedores de acceso a Internet respetarán la </w:t>
      </w:r>
      <w:r w:rsidRPr="00DC7102">
        <w:rPr>
          <w:rFonts w:ascii="Tahoma" w:eastAsia="Times New Roman" w:hAnsi="Tahoma" w:cs="Tahoma"/>
          <w:b/>
          <w:i/>
          <w:color w:val="000000"/>
          <w:sz w:val="20"/>
          <w:szCs w:val="20"/>
          <w:lang w:val="es-PE"/>
        </w:rPr>
        <w:t>neutralidad de red</w:t>
      </w:r>
      <w:r w:rsidRPr="00DC7102">
        <w:rPr>
          <w:rFonts w:ascii="Tahoma" w:eastAsia="Times New Roman" w:hAnsi="Tahoma" w:cs="Tahoma"/>
          <w:i/>
          <w:color w:val="000000"/>
          <w:sz w:val="20"/>
          <w:szCs w:val="20"/>
          <w:lang w:val="es-PE"/>
        </w:rPr>
        <w:t xml:space="preserve"> por la cual no pueden de manera arbitraria bloquear, interferir, discriminar ni restringir el derecho de cualquier usuario a utilizar una aplicación o protocolo, independientemente de su origen, destino, naturaleza o propiedad.</w:t>
      </w:r>
    </w:p>
    <w:p w14:paraId="14385CD1" w14:textId="77777777" w:rsidR="00DC7102" w:rsidRPr="00DC7102" w:rsidRDefault="00DC7102" w:rsidP="00DC7102">
      <w:pPr>
        <w:pStyle w:val="Prrafodelista"/>
        <w:jc w:val="both"/>
        <w:rPr>
          <w:rFonts w:ascii="Tahoma" w:eastAsia="Times New Roman" w:hAnsi="Tahoma" w:cs="Tahoma"/>
          <w:color w:val="000000"/>
          <w:sz w:val="20"/>
          <w:szCs w:val="20"/>
          <w:lang w:val="es-PE"/>
        </w:rPr>
      </w:pPr>
    </w:p>
    <w:p w14:paraId="514D8110" w14:textId="77777777" w:rsidR="00DC7102" w:rsidRPr="00DC7102" w:rsidRDefault="00DC7102" w:rsidP="00DC7102">
      <w:pPr>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Asimismo, existen leyes destinadas a la protección de la privacidad y al tratamiento del Spam.</w:t>
      </w:r>
    </w:p>
    <w:p w14:paraId="255D1310" w14:textId="77777777" w:rsidR="00DC7102" w:rsidRPr="00DC7102" w:rsidRDefault="00DC7102" w:rsidP="00DC7102">
      <w:pPr>
        <w:pStyle w:val="Prrafodelista"/>
        <w:jc w:val="both"/>
        <w:rPr>
          <w:rFonts w:ascii="Tahoma" w:eastAsia="Times New Roman" w:hAnsi="Tahoma" w:cs="Tahoma"/>
          <w:color w:val="000000"/>
          <w:sz w:val="20"/>
          <w:szCs w:val="20"/>
          <w:lang w:val="es-PE"/>
        </w:rPr>
      </w:pPr>
    </w:p>
    <w:p w14:paraId="7EB114E4"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 xml:space="preserve">Ley N° 29733. Ley de protección de datos personales. </w:t>
      </w:r>
    </w:p>
    <w:p w14:paraId="6A7B64FD"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Ley Nº 28493 – Ley Antispam Peruana.</w:t>
      </w:r>
    </w:p>
    <w:p w14:paraId="76579E43" w14:textId="77777777" w:rsidR="00DC7102" w:rsidRDefault="00DC7102" w:rsidP="00DC7102">
      <w:pPr>
        <w:jc w:val="both"/>
        <w:rPr>
          <w:rFonts w:ascii="Tahoma" w:eastAsia="Times New Roman" w:hAnsi="Tahoma" w:cs="Tahoma"/>
          <w:color w:val="000000"/>
          <w:sz w:val="20"/>
          <w:szCs w:val="20"/>
          <w:lang w:val="es-PE"/>
        </w:rPr>
      </w:pPr>
    </w:p>
    <w:p w14:paraId="57D714AD" w14:textId="656A0239" w:rsidR="00DC7102" w:rsidRPr="00DC7102" w:rsidRDefault="00DC7102" w:rsidP="00DC7102">
      <w:pPr>
        <w:jc w:val="both"/>
        <w:rPr>
          <w:rFonts w:ascii="Tahoma" w:hAnsi="Tahoma" w:cs="Tahoma"/>
          <w:color w:val="000000"/>
          <w:sz w:val="20"/>
          <w:szCs w:val="20"/>
          <w:lang w:val="es-PE"/>
        </w:rPr>
      </w:pPr>
      <w:r w:rsidRPr="00DC7102">
        <w:rPr>
          <w:rFonts w:ascii="Tahoma" w:hAnsi="Tahoma" w:cs="Tahoma"/>
          <w:color w:val="000000"/>
          <w:sz w:val="20"/>
          <w:szCs w:val="20"/>
          <w:lang w:val="es-PE"/>
        </w:rPr>
        <w:t>A</w:t>
      </w:r>
      <w:r w:rsidR="00096326">
        <w:rPr>
          <w:rFonts w:ascii="Tahoma" w:hAnsi="Tahoma" w:cs="Tahoma"/>
          <w:color w:val="000000"/>
          <w:sz w:val="20"/>
          <w:szCs w:val="20"/>
          <w:lang w:val="es-PE"/>
        </w:rPr>
        <w:t>dicionalmente</w:t>
      </w:r>
      <w:r w:rsidRPr="00DC7102">
        <w:rPr>
          <w:rFonts w:ascii="Tahoma" w:hAnsi="Tahoma" w:cs="Tahoma"/>
          <w:color w:val="000000"/>
          <w:sz w:val="20"/>
          <w:szCs w:val="20"/>
          <w:lang w:val="es-PE"/>
        </w:rPr>
        <w:t xml:space="preserve">, en lo referente a la protección de información personal, específicamente referente al tráfico ilegal de datos, interceptación de datos, suplantación de identidad, se tiene la Ley de delitos informáticos Ley Nº 30096, que establece que estas actividades serán consideradas como delito.  </w:t>
      </w:r>
    </w:p>
    <w:p w14:paraId="4CAFFEFB" w14:textId="460279A1" w:rsidR="005B0A43" w:rsidRDefault="005B0A43" w:rsidP="00DC7102">
      <w:pPr>
        <w:pStyle w:val="Ttulo3"/>
        <w:spacing w:before="240" w:after="120" w:line="240" w:lineRule="auto"/>
        <w:jc w:val="both"/>
        <w:rPr>
          <w:rFonts w:asciiTheme="minorHAnsi" w:hAnsiTheme="minorHAnsi"/>
          <w:b/>
          <w:bCs/>
          <w:color w:val="auto"/>
          <w:sz w:val="22"/>
          <w:szCs w:val="22"/>
        </w:rPr>
      </w:pPr>
      <w:r>
        <w:rPr>
          <w:rFonts w:asciiTheme="minorHAnsi" w:hAnsiTheme="minorHAnsi"/>
          <w:b/>
          <w:bCs/>
          <w:color w:val="auto"/>
          <w:sz w:val="22"/>
          <w:szCs w:val="22"/>
        </w:rPr>
        <w:t>Question 5</w:t>
      </w:r>
      <w:r w:rsidRPr="002B7C31">
        <w:rPr>
          <w:rFonts w:asciiTheme="minorHAnsi" w:hAnsiTheme="minorHAnsi"/>
          <w:b/>
          <w:bCs/>
          <w:color w:val="auto"/>
          <w:sz w:val="22"/>
          <w:szCs w:val="22"/>
        </w:rPr>
        <w:t xml:space="preserve">: </w:t>
      </w:r>
      <w:r>
        <w:rPr>
          <w:rFonts w:asciiTheme="minorHAnsi" w:hAnsiTheme="minorHAnsi"/>
          <w:b/>
          <w:bCs/>
          <w:color w:val="auto"/>
          <w:sz w:val="22"/>
          <w:szCs w:val="22"/>
        </w:rPr>
        <w:t>Role of Governments</w:t>
      </w:r>
    </w:p>
    <w:p w14:paraId="3C6D11C1" w14:textId="77777777" w:rsidR="005B0A43" w:rsidRDefault="005B0A43" w:rsidP="00DC7102">
      <w:pPr>
        <w:jc w:val="both"/>
        <w:rPr>
          <w:b/>
          <w:bCs/>
        </w:rPr>
      </w:pPr>
      <w:r w:rsidRPr="005B0A43">
        <w:rPr>
          <w:b/>
          <w:bCs/>
        </w:rPr>
        <w:t>What is the role of Governments in building an enabling environment?</w:t>
      </w:r>
    </w:p>
    <w:p w14:paraId="73919980" w14:textId="77777777" w:rsidR="00DC7102" w:rsidRPr="00DC7102" w:rsidRDefault="00DC7102" w:rsidP="00DC7102">
      <w:pPr>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Los gobiernos deben brindar las condiciones para:</w:t>
      </w:r>
    </w:p>
    <w:p w14:paraId="33BAC56D"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Desplegar redes privadas de transporte y acceso de alta capacidad, garantizando dinámica competitiva y calidad, además de garantizar el uso eficiente de recursos escasos (Espectro Radioeléctrico)</w:t>
      </w:r>
    </w:p>
    <w:p w14:paraId="1F34BF3D"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 xml:space="preserve">Incentivar el acceso y uso al servicio, empezando con una política nacional de implementación de Telecentros e incentivando la incorporación de contenido digital en las concesiones y/o renovación de las mismas. </w:t>
      </w:r>
    </w:p>
    <w:p w14:paraId="45995C6E"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 xml:space="preserve">Generar un conjunto de servicios digitales del Estado, que permitan a la ciudadanía mejorar su nivel de bienestar. </w:t>
      </w:r>
    </w:p>
    <w:p w14:paraId="277BB690"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Incentivar el desarrollo de una industria TIC, a partir de mecanismos diversos tales como exenciones impositivas, generación de fondos semillas, asesoramiento continuo, entre otros.</w:t>
      </w:r>
    </w:p>
    <w:p w14:paraId="50177A8B"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 xml:space="preserve">Garantizar la seguridad de la información de los usuarios del ecosistema. </w:t>
      </w:r>
    </w:p>
    <w:p w14:paraId="2FC5043C" w14:textId="77777777" w:rsidR="00DC7102" w:rsidRPr="00DC7102" w:rsidRDefault="00DC7102" w:rsidP="00DC7102">
      <w:pPr>
        <w:pStyle w:val="Prrafodelista"/>
        <w:numPr>
          <w:ilvl w:val="0"/>
          <w:numId w:val="8"/>
        </w:numPr>
        <w:spacing w:after="0" w:line="240" w:lineRule="auto"/>
        <w:jc w:val="both"/>
        <w:rPr>
          <w:rFonts w:ascii="Tahoma" w:eastAsia="Times New Roman" w:hAnsi="Tahoma" w:cs="Tahoma"/>
          <w:color w:val="000000"/>
          <w:sz w:val="20"/>
          <w:szCs w:val="20"/>
          <w:lang w:val="es-PE"/>
        </w:rPr>
      </w:pPr>
      <w:r w:rsidRPr="00DC7102">
        <w:rPr>
          <w:rFonts w:ascii="Tahoma" w:eastAsia="Times New Roman" w:hAnsi="Tahoma" w:cs="Tahoma"/>
          <w:color w:val="000000"/>
          <w:sz w:val="20"/>
          <w:szCs w:val="20"/>
          <w:lang w:val="es-PE"/>
        </w:rPr>
        <w:t>Del mismo modo, es importante que el Estado trabaje en formular y actualizar de manera sostenida un Plan Nacional de Banda Ancha, así como un mecanismo de supervisión del cumplimiento de lo establecido en dicho plan, mediante la emisión de dispositivos legales y normativos. En el Perú, varios de los lineamientos y recomendaciones contenidos en el Plan de Banda Ancha publicado el año 2011, se materializaron en la Ley 29904 publicada el año 2012.</w:t>
      </w:r>
    </w:p>
    <w:p w14:paraId="34402E31" w14:textId="77777777" w:rsidR="00DC7102" w:rsidRPr="00DC7102" w:rsidRDefault="00DC7102" w:rsidP="00DC7102">
      <w:pPr>
        <w:rPr>
          <w:lang w:val="es-PE"/>
        </w:rPr>
      </w:pPr>
    </w:p>
    <w:p w14:paraId="774C7EF9" w14:textId="77777777" w:rsidR="005B0A43" w:rsidRPr="00DC7102" w:rsidRDefault="005B0A43" w:rsidP="002B7C31">
      <w:pPr>
        <w:rPr>
          <w:lang w:val="es-PE"/>
        </w:rPr>
      </w:pPr>
    </w:p>
    <w:p w14:paraId="2B8C17A0" w14:textId="77777777" w:rsidR="002B7C31" w:rsidRPr="00DC7102" w:rsidRDefault="002B7C31" w:rsidP="002B7C31">
      <w:pPr>
        <w:rPr>
          <w:lang w:val="es-PE"/>
        </w:rPr>
      </w:pPr>
    </w:p>
    <w:p w14:paraId="2B8C17A1" w14:textId="7AAB3769" w:rsidR="000E3979" w:rsidRDefault="00EA2562" w:rsidP="000E3979">
      <w:pPr>
        <w:pStyle w:val="Ttulo3"/>
        <w:spacing w:before="240" w:after="120" w:line="240" w:lineRule="auto"/>
        <w:rPr>
          <w:rFonts w:asciiTheme="minorHAnsi" w:hAnsiTheme="minorHAnsi"/>
          <w:b/>
          <w:bCs/>
          <w:color w:val="auto"/>
          <w:sz w:val="22"/>
          <w:szCs w:val="22"/>
        </w:rPr>
      </w:pPr>
      <w:r>
        <w:rPr>
          <w:rFonts w:asciiTheme="minorHAnsi" w:hAnsiTheme="minorHAnsi"/>
          <w:b/>
          <w:bCs/>
          <w:color w:val="auto"/>
          <w:sz w:val="22"/>
          <w:szCs w:val="22"/>
        </w:rPr>
        <w:t>Question 6</w:t>
      </w:r>
      <w:r w:rsidR="002B7C31">
        <w:rPr>
          <w:rFonts w:asciiTheme="minorHAnsi" w:hAnsiTheme="minorHAnsi"/>
          <w:b/>
          <w:bCs/>
          <w:color w:val="auto"/>
          <w:sz w:val="22"/>
          <w:szCs w:val="22"/>
        </w:rPr>
        <w:t xml:space="preserve">: </w:t>
      </w:r>
      <w:r w:rsidR="000E3979">
        <w:rPr>
          <w:rFonts w:asciiTheme="minorHAnsi" w:hAnsiTheme="minorHAnsi"/>
          <w:b/>
          <w:bCs/>
          <w:color w:val="auto"/>
          <w:sz w:val="22"/>
          <w:szCs w:val="22"/>
        </w:rPr>
        <w:t xml:space="preserve">Contact </w:t>
      </w:r>
      <w:r w:rsidR="002B7C31" w:rsidRPr="002B7C31">
        <w:rPr>
          <w:rFonts w:asciiTheme="minorHAnsi" w:hAnsiTheme="minorHAnsi"/>
          <w:b/>
          <w:bCs/>
          <w:color w:val="auto"/>
          <w:sz w:val="22"/>
          <w:szCs w:val="22"/>
        </w:rPr>
        <w:t xml:space="preserve">Details </w:t>
      </w:r>
    </w:p>
    <w:p w14:paraId="5B34845C" w14:textId="77777777" w:rsidR="002C0ABA" w:rsidRDefault="002C0ABA" w:rsidP="002C0ABA">
      <w:pPr>
        <w:pStyle w:val="Prrafodelista"/>
        <w:numPr>
          <w:ilvl w:val="0"/>
          <w:numId w:val="2"/>
        </w:numPr>
        <w:spacing w:before="120" w:after="120" w:line="240" w:lineRule="auto"/>
        <w:contextualSpacing w:val="0"/>
      </w:pPr>
      <w:r>
        <w:t xml:space="preserve">First/Last </w:t>
      </w:r>
      <w:r w:rsidRPr="00C03E66">
        <w:t>Name</w:t>
      </w:r>
      <w:r>
        <w:t xml:space="preserve">: </w:t>
      </w:r>
    </w:p>
    <w:p w14:paraId="27C29976" w14:textId="77777777" w:rsidR="002C0ABA" w:rsidRDefault="002C0ABA" w:rsidP="002C0ABA">
      <w:pPr>
        <w:pStyle w:val="Prrafodelista"/>
        <w:numPr>
          <w:ilvl w:val="0"/>
          <w:numId w:val="2"/>
        </w:numPr>
        <w:spacing w:before="120" w:after="120" w:line="240" w:lineRule="auto"/>
        <w:contextualSpacing w:val="0"/>
      </w:pPr>
      <w:r w:rsidRPr="00C03E66">
        <w:t>Title</w:t>
      </w:r>
      <w:r>
        <w:t xml:space="preserve">: </w:t>
      </w:r>
    </w:p>
    <w:p w14:paraId="2B8C17A2" w14:textId="77777777" w:rsidR="002B7C31" w:rsidRDefault="002B7C31" w:rsidP="002B7C31">
      <w:pPr>
        <w:pStyle w:val="Prrafodelista"/>
        <w:numPr>
          <w:ilvl w:val="0"/>
          <w:numId w:val="2"/>
        </w:numPr>
        <w:spacing w:before="120" w:after="120" w:line="240" w:lineRule="auto"/>
        <w:contextualSpacing w:val="0"/>
      </w:pPr>
      <w:r w:rsidRPr="00C03E66">
        <w:t>Org</w:t>
      </w:r>
      <w:r>
        <w:t xml:space="preserve">anization you are representing: </w:t>
      </w:r>
    </w:p>
    <w:p w14:paraId="2B8C17A5" w14:textId="77777777" w:rsidR="002B7C31" w:rsidRDefault="002B7C31" w:rsidP="002B7C31">
      <w:pPr>
        <w:pStyle w:val="Prrafodelista"/>
        <w:numPr>
          <w:ilvl w:val="0"/>
          <w:numId w:val="2"/>
        </w:numPr>
        <w:spacing w:before="120" w:after="120" w:line="240" w:lineRule="auto"/>
        <w:contextualSpacing w:val="0"/>
      </w:pPr>
      <w:r>
        <w:t xml:space="preserve">Country: </w:t>
      </w:r>
    </w:p>
    <w:p w14:paraId="233ED381" w14:textId="77777777" w:rsidR="00946583" w:rsidRDefault="00946583" w:rsidP="00946583">
      <w:pPr>
        <w:spacing w:before="120" w:after="120" w:line="240" w:lineRule="auto"/>
      </w:pPr>
    </w:p>
    <w:p w14:paraId="209A665D" w14:textId="77777777" w:rsidR="00946583" w:rsidRDefault="00946583" w:rsidP="00946583">
      <w:pPr>
        <w:spacing w:before="120" w:after="120" w:line="240" w:lineRule="auto"/>
      </w:pPr>
    </w:p>
    <w:p w14:paraId="5E55B0BC" w14:textId="4778D87D" w:rsidR="00946583" w:rsidRDefault="00946583" w:rsidP="00946583">
      <w:pPr>
        <w:spacing w:before="120" w:after="120" w:line="240" w:lineRule="auto"/>
        <w:jc w:val="center"/>
      </w:pPr>
      <w:r>
        <w:t>________________</w:t>
      </w:r>
    </w:p>
    <w:sectPr w:rsidR="00946583" w:rsidSect="00C03E66">
      <w:footerReference w:type="default" r:id="rId16"/>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8956A" w14:textId="77777777" w:rsidR="003D7310" w:rsidRDefault="003D7310" w:rsidP="002B7C31">
      <w:pPr>
        <w:spacing w:after="0" w:line="240" w:lineRule="auto"/>
      </w:pPr>
      <w:r>
        <w:separator/>
      </w:r>
    </w:p>
  </w:endnote>
  <w:endnote w:type="continuationSeparator" w:id="0">
    <w:p w14:paraId="34840F78" w14:textId="77777777" w:rsidR="003D7310" w:rsidRDefault="003D7310" w:rsidP="002B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C17AA" w14:textId="77777777" w:rsidR="002B7C31" w:rsidRDefault="002B7C31" w:rsidP="002B7C31">
    <w:pPr>
      <w:pStyle w:val="Piedepgina"/>
      <w:jc w:val="center"/>
    </w:pPr>
    <w:r>
      <w:fldChar w:fldCharType="begin"/>
    </w:r>
    <w:r>
      <w:instrText xml:space="preserve"> PAGE   \* MERGEFORMAT </w:instrText>
    </w:r>
    <w:r>
      <w:fldChar w:fldCharType="separate"/>
    </w:r>
    <w:r w:rsidR="007D241D">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590D6" w14:textId="77777777" w:rsidR="003D7310" w:rsidRDefault="003D7310" w:rsidP="002B7C31">
      <w:pPr>
        <w:spacing w:after="0" w:line="240" w:lineRule="auto"/>
      </w:pPr>
      <w:r>
        <w:separator/>
      </w:r>
    </w:p>
  </w:footnote>
  <w:footnote w:type="continuationSeparator" w:id="0">
    <w:p w14:paraId="5CAE01BC" w14:textId="77777777" w:rsidR="003D7310" w:rsidRDefault="003D7310" w:rsidP="002B7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59B"/>
    <w:multiLevelType w:val="hybridMultilevel"/>
    <w:tmpl w:val="7520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826E4"/>
    <w:multiLevelType w:val="multilevel"/>
    <w:tmpl w:val="40E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A1C36"/>
    <w:multiLevelType w:val="multilevel"/>
    <w:tmpl w:val="08142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843A35"/>
    <w:multiLevelType w:val="hybridMultilevel"/>
    <w:tmpl w:val="FCDE7EB8"/>
    <w:lvl w:ilvl="0" w:tplc="D55EFEC8">
      <w:numFmt w:val="bullet"/>
      <w:lvlText w:val="-"/>
      <w:lvlJc w:val="left"/>
      <w:pPr>
        <w:ind w:left="1080" w:hanging="360"/>
      </w:pPr>
      <w:rPr>
        <w:rFonts w:ascii="Tahoma" w:eastAsia="Times New Roman" w:hAnsi="Tahoma" w:cs="Tahoma"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481C2C65"/>
    <w:multiLevelType w:val="hybridMultilevel"/>
    <w:tmpl w:val="D43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6A781F"/>
    <w:multiLevelType w:val="hybridMultilevel"/>
    <w:tmpl w:val="7098F430"/>
    <w:lvl w:ilvl="0" w:tplc="299C9910">
      <w:numFmt w:val="bullet"/>
      <w:lvlText w:val="-"/>
      <w:lvlJc w:val="left"/>
      <w:pPr>
        <w:ind w:left="1080" w:hanging="360"/>
      </w:pPr>
      <w:rPr>
        <w:rFonts w:ascii="Tahoma" w:eastAsia="Times New Roman" w:hAnsi="Tahoma" w:cs="Tahoma"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6" w15:restartNumberingAfterBreak="0">
    <w:nsid w:val="5CDC35E4"/>
    <w:multiLevelType w:val="multilevel"/>
    <w:tmpl w:val="C8D8B33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5451CF"/>
    <w:multiLevelType w:val="hybridMultilevel"/>
    <w:tmpl w:val="87123D92"/>
    <w:lvl w:ilvl="0" w:tplc="64E2B4A4">
      <w:numFmt w:val="bullet"/>
      <w:lvlText w:val="-"/>
      <w:lvlJc w:val="left"/>
      <w:pPr>
        <w:ind w:left="1080" w:hanging="360"/>
      </w:pPr>
      <w:rPr>
        <w:rFonts w:ascii="Tahoma" w:eastAsia="Times New Roman" w:hAnsi="Tahoma" w:cs="Tahoma"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098"/>
    <w:rsid w:val="00092420"/>
    <w:rsid w:val="00096326"/>
    <w:rsid w:val="000E3979"/>
    <w:rsid w:val="001F7AD1"/>
    <w:rsid w:val="00266F40"/>
    <w:rsid w:val="002805A8"/>
    <w:rsid w:val="002B7C31"/>
    <w:rsid w:val="002C0ABA"/>
    <w:rsid w:val="002C1B06"/>
    <w:rsid w:val="00335A06"/>
    <w:rsid w:val="00344CD5"/>
    <w:rsid w:val="003D7310"/>
    <w:rsid w:val="00503E57"/>
    <w:rsid w:val="00507136"/>
    <w:rsid w:val="00510188"/>
    <w:rsid w:val="005B0A43"/>
    <w:rsid w:val="00654EFF"/>
    <w:rsid w:val="007D241D"/>
    <w:rsid w:val="008549DB"/>
    <w:rsid w:val="00877F47"/>
    <w:rsid w:val="00896E77"/>
    <w:rsid w:val="008B0DA2"/>
    <w:rsid w:val="00946583"/>
    <w:rsid w:val="009807AF"/>
    <w:rsid w:val="009B5F55"/>
    <w:rsid w:val="009D5DBC"/>
    <w:rsid w:val="00A5673D"/>
    <w:rsid w:val="00BC6334"/>
    <w:rsid w:val="00C03E66"/>
    <w:rsid w:val="00D75D05"/>
    <w:rsid w:val="00DC7102"/>
    <w:rsid w:val="00E51C79"/>
    <w:rsid w:val="00EA2562"/>
    <w:rsid w:val="00F36098"/>
    <w:rsid w:val="00F703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C177D"/>
  <w15:chartTrackingRefBased/>
  <w15:docId w15:val="{F560D778-A3AC-455E-9BC5-8633FA49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DB"/>
  </w:style>
  <w:style w:type="paragraph" w:styleId="Ttulo1">
    <w:name w:val="heading 1"/>
    <w:basedOn w:val="Normal"/>
    <w:next w:val="Normal"/>
    <w:link w:val="Ttulo1Car"/>
    <w:uiPriority w:val="9"/>
    <w:qFormat/>
    <w:rsid w:val="00C03E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03E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03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807AF"/>
    <w:rPr>
      <w:color w:val="0563C1" w:themeColor="hyperlink"/>
      <w:u w:val="single"/>
    </w:rPr>
  </w:style>
  <w:style w:type="character" w:customStyle="1" w:styleId="Ttulo1Car">
    <w:name w:val="Título 1 Car"/>
    <w:basedOn w:val="Fuentedeprrafopredeter"/>
    <w:link w:val="Ttulo1"/>
    <w:uiPriority w:val="9"/>
    <w:rsid w:val="00C03E6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C03E6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C03E66"/>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2B7C3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B7C31"/>
  </w:style>
  <w:style w:type="paragraph" w:styleId="Piedepgina">
    <w:name w:val="footer"/>
    <w:basedOn w:val="Normal"/>
    <w:link w:val="PiedepginaCar"/>
    <w:uiPriority w:val="99"/>
    <w:unhideWhenUsed/>
    <w:rsid w:val="002B7C3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B7C31"/>
  </w:style>
  <w:style w:type="paragraph" w:styleId="Prrafodelista">
    <w:name w:val="List Paragraph"/>
    <w:basedOn w:val="Normal"/>
    <w:uiPriority w:val="34"/>
    <w:qFormat/>
    <w:rsid w:val="002B7C31"/>
    <w:pPr>
      <w:ind w:left="720"/>
      <w:contextualSpacing/>
    </w:pPr>
  </w:style>
  <w:style w:type="character" w:styleId="Hipervnculovisitado">
    <w:name w:val="FollowedHyperlink"/>
    <w:basedOn w:val="Fuentedeprrafopredeter"/>
    <w:uiPriority w:val="99"/>
    <w:semiHidden/>
    <w:unhideWhenUsed/>
    <w:rsid w:val="008549DB"/>
    <w:rPr>
      <w:color w:val="954F72" w:themeColor="followedHyperlink"/>
      <w:u w:val="single"/>
    </w:rPr>
  </w:style>
  <w:style w:type="character" w:customStyle="1" w:styleId="ms-rtefontsize-2">
    <w:name w:val="ms-rtefontsize-2"/>
    <w:basedOn w:val="Fuentedeprrafopredeter"/>
    <w:rsid w:val="002805A8"/>
  </w:style>
  <w:style w:type="character" w:styleId="Textoennegrita">
    <w:name w:val="Strong"/>
    <w:basedOn w:val="Fuentedeprrafopredeter"/>
    <w:uiPriority w:val="22"/>
    <w:qFormat/>
    <w:rsid w:val="002805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673">
      <w:bodyDiv w:val="1"/>
      <w:marLeft w:val="0"/>
      <w:marRight w:val="0"/>
      <w:marTop w:val="0"/>
      <w:marBottom w:val="0"/>
      <w:divBdr>
        <w:top w:val="none" w:sz="0" w:space="0" w:color="auto"/>
        <w:left w:val="none" w:sz="0" w:space="0" w:color="auto"/>
        <w:bottom w:val="none" w:sz="0" w:space="0" w:color="auto"/>
        <w:right w:val="none" w:sz="0" w:space="0" w:color="auto"/>
      </w:divBdr>
    </w:div>
    <w:div w:id="483469237">
      <w:bodyDiv w:val="1"/>
      <w:marLeft w:val="0"/>
      <w:marRight w:val="0"/>
      <w:marTop w:val="0"/>
      <w:marBottom w:val="0"/>
      <w:divBdr>
        <w:top w:val="none" w:sz="0" w:space="0" w:color="auto"/>
        <w:left w:val="none" w:sz="0" w:space="0" w:color="auto"/>
        <w:bottom w:val="none" w:sz="0" w:space="0" w:color="auto"/>
        <w:right w:val="none" w:sz="0" w:space="0" w:color="auto"/>
      </w:divBdr>
    </w:div>
    <w:div w:id="1767310543">
      <w:bodyDiv w:val="1"/>
      <w:marLeft w:val="0"/>
      <w:marRight w:val="0"/>
      <w:marTop w:val="0"/>
      <w:marBottom w:val="0"/>
      <w:divBdr>
        <w:top w:val="none" w:sz="0" w:space="0" w:color="auto"/>
        <w:left w:val="none" w:sz="0" w:space="0" w:color="auto"/>
        <w:bottom w:val="none" w:sz="0" w:space="0" w:color="auto"/>
        <w:right w:val="none" w:sz="0" w:space="0" w:color="auto"/>
      </w:divBdr>
      <w:divsChild>
        <w:div w:id="694771673">
          <w:marLeft w:val="0"/>
          <w:marRight w:val="0"/>
          <w:marTop w:val="0"/>
          <w:marBottom w:val="0"/>
          <w:divBdr>
            <w:top w:val="none" w:sz="0" w:space="0" w:color="auto"/>
            <w:left w:val="none" w:sz="0" w:space="0" w:color="auto"/>
            <w:bottom w:val="none" w:sz="0" w:space="0" w:color="auto"/>
            <w:right w:val="none" w:sz="0" w:space="0" w:color="auto"/>
          </w:divBdr>
          <w:divsChild>
            <w:div w:id="841774826">
              <w:marLeft w:val="0"/>
              <w:marRight w:val="0"/>
              <w:marTop w:val="0"/>
              <w:marBottom w:val="0"/>
              <w:divBdr>
                <w:top w:val="none" w:sz="0" w:space="0" w:color="auto"/>
                <w:left w:val="none" w:sz="0" w:space="0" w:color="auto"/>
                <w:bottom w:val="none" w:sz="0" w:space="0" w:color="auto"/>
                <w:right w:val="none" w:sz="0" w:space="0" w:color="auto"/>
              </w:divBdr>
              <w:divsChild>
                <w:div w:id="661855405">
                  <w:marLeft w:val="0"/>
                  <w:marRight w:val="0"/>
                  <w:marTop w:val="0"/>
                  <w:marBottom w:val="0"/>
                  <w:divBdr>
                    <w:top w:val="none" w:sz="0" w:space="0" w:color="auto"/>
                    <w:left w:val="none" w:sz="0" w:space="0" w:color="auto"/>
                    <w:bottom w:val="none" w:sz="0" w:space="0" w:color="auto"/>
                    <w:right w:val="none" w:sz="0" w:space="0" w:color="auto"/>
                  </w:divBdr>
                </w:div>
              </w:divsChild>
            </w:div>
            <w:div w:id="263004150">
              <w:marLeft w:val="0"/>
              <w:marRight w:val="0"/>
              <w:marTop w:val="0"/>
              <w:marBottom w:val="0"/>
              <w:divBdr>
                <w:top w:val="none" w:sz="0" w:space="0" w:color="auto"/>
                <w:left w:val="none" w:sz="0" w:space="0" w:color="auto"/>
                <w:bottom w:val="none" w:sz="0" w:space="0" w:color="auto"/>
                <w:right w:val="none" w:sz="0" w:space="0" w:color="auto"/>
              </w:divBdr>
              <w:divsChild>
                <w:div w:id="627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18424">
          <w:marLeft w:val="0"/>
          <w:marRight w:val="0"/>
          <w:marTop w:val="0"/>
          <w:marBottom w:val="0"/>
          <w:divBdr>
            <w:top w:val="none" w:sz="0" w:space="0" w:color="auto"/>
            <w:left w:val="none" w:sz="0" w:space="0" w:color="auto"/>
            <w:bottom w:val="none" w:sz="0" w:space="0" w:color="auto"/>
            <w:right w:val="none" w:sz="0" w:space="0" w:color="auto"/>
          </w:divBdr>
          <w:divsChild>
            <w:div w:id="1255243319">
              <w:marLeft w:val="0"/>
              <w:marRight w:val="0"/>
              <w:marTop w:val="0"/>
              <w:marBottom w:val="0"/>
              <w:divBdr>
                <w:top w:val="none" w:sz="0" w:space="0" w:color="auto"/>
                <w:left w:val="none" w:sz="0" w:space="0" w:color="auto"/>
                <w:bottom w:val="none" w:sz="0" w:space="0" w:color="auto"/>
                <w:right w:val="none" w:sz="0" w:space="0" w:color="auto"/>
              </w:divBdr>
              <w:divsChild>
                <w:div w:id="728262067">
                  <w:marLeft w:val="0"/>
                  <w:marRight w:val="0"/>
                  <w:marTop w:val="0"/>
                  <w:marBottom w:val="0"/>
                  <w:divBdr>
                    <w:top w:val="none" w:sz="0" w:space="0" w:color="auto"/>
                    <w:left w:val="none" w:sz="0" w:space="0" w:color="auto"/>
                    <w:bottom w:val="none" w:sz="0" w:space="0" w:color="auto"/>
                    <w:right w:val="none" w:sz="0" w:space="0" w:color="auto"/>
                  </w:divBdr>
                </w:div>
                <w:div w:id="1599175977">
                  <w:marLeft w:val="0"/>
                  <w:marRight w:val="0"/>
                  <w:marTop w:val="0"/>
                  <w:marBottom w:val="0"/>
                  <w:divBdr>
                    <w:top w:val="none" w:sz="0" w:space="0" w:color="auto"/>
                    <w:left w:val="none" w:sz="0" w:space="0" w:color="auto"/>
                    <w:bottom w:val="none" w:sz="0" w:space="0" w:color="auto"/>
                    <w:right w:val="none" w:sz="0" w:space="0" w:color="auto"/>
                  </w:divBdr>
                  <w:divsChild>
                    <w:div w:id="1942376226">
                      <w:marLeft w:val="0"/>
                      <w:marRight w:val="0"/>
                      <w:marTop w:val="0"/>
                      <w:marBottom w:val="0"/>
                      <w:divBdr>
                        <w:top w:val="none" w:sz="0" w:space="0" w:color="auto"/>
                        <w:left w:val="none" w:sz="0" w:space="0" w:color="auto"/>
                        <w:bottom w:val="none" w:sz="0" w:space="0" w:color="auto"/>
                        <w:right w:val="none" w:sz="0" w:space="0" w:color="auto"/>
                      </w:divBdr>
                      <w:divsChild>
                        <w:div w:id="1768303685">
                          <w:marLeft w:val="0"/>
                          <w:marRight w:val="0"/>
                          <w:marTop w:val="0"/>
                          <w:marBottom w:val="0"/>
                          <w:divBdr>
                            <w:top w:val="none" w:sz="0" w:space="0" w:color="auto"/>
                            <w:left w:val="none" w:sz="0" w:space="0" w:color="auto"/>
                            <w:bottom w:val="none" w:sz="0" w:space="0" w:color="auto"/>
                            <w:right w:val="none" w:sz="0" w:space="0" w:color="auto"/>
                          </w:divBdr>
                          <w:divsChild>
                            <w:div w:id="9282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747601">
          <w:marLeft w:val="0"/>
          <w:marRight w:val="0"/>
          <w:marTop w:val="0"/>
          <w:marBottom w:val="0"/>
          <w:divBdr>
            <w:top w:val="none" w:sz="0" w:space="0" w:color="auto"/>
            <w:left w:val="none" w:sz="0" w:space="0" w:color="auto"/>
            <w:bottom w:val="none" w:sz="0" w:space="0" w:color="auto"/>
            <w:right w:val="none" w:sz="0" w:space="0" w:color="auto"/>
          </w:divBdr>
          <w:divsChild>
            <w:div w:id="1802766300">
              <w:marLeft w:val="0"/>
              <w:marRight w:val="0"/>
              <w:marTop w:val="0"/>
              <w:marBottom w:val="0"/>
              <w:divBdr>
                <w:top w:val="none" w:sz="0" w:space="0" w:color="auto"/>
                <w:left w:val="none" w:sz="0" w:space="0" w:color="auto"/>
                <w:bottom w:val="none" w:sz="0" w:space="0" w:color="auto"/>
                <w:right w:val="none" w:sz="0" w:space="0" w:color="auto"/>
              </w:divBdr>
              <w:divsChild>
                <w:div w:id="115028618">
                  <w:marLeft w:val="0"/>
                  <w:marRight w:val="0"/>
                  <w:marTop w:val="0"/>
                  <w:marBottom w:val="0"/>
                  <w:divBdr>
                    <w:top w:val="none" w:sz="0" w:space="0" w:color="auto"/>
                    <w:left w:val="none" w:sz="0" w:space="0" w:color="auto"/>
                    <w:bottom w:val="none" w:sz="0" w:space="0" w:color="auto"/>
                    <w:right w:val="none" w:sz="0" w:space="0" w:color="auto"/>
                  </w:divBdr>
                  <w:divsChild>
                    <w:div w:id="474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ging.itu.int/en/council/cwg-internet/Pages/consultation-feb2016.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aging.itu.int/md/S15-CL-C-0112/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ging.itu.int/en/council/cwg-internet/Pages/open-consultations.aspx" TargetMode="External"/><Relationship Id="rId5" Type="http://schemas.openxmlformats.org/officeDocument/2006/relationships/numbering" Target="numbering.xml"/><Relationship Id="rId15" Type="http://schemas.openxmlformats.org/officeDocument/2006/relationships/hyperlink" Target="http://www.itu.int/en/council/cwg-internet/Pages/consultation-feb2016.aspx"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rnetPublicView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D7F33-53BE-4F9D-9645-0F5D6731A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68BD9E-94DD-4724-A232-74D86402D475}">
  <ds:schemaRefs>
    <ds:schemaRef ds:uri="http://schemas.microsoft.com/sharepoint/v3/contenttype/forms"/>
  </ds:schemaRefs>
</ds:datastoreItem>
</file>

<file path=customXml/itemProps3.xml><?xml version="1.0" encoding="utf-8"?>
<ds:datastoreItem xmlns:ds="http://schemas.openxmlformats.org/officeDocument/2006/customXml" ds:itemID="{881A5CCB-5BF1-46A7-AFB0-97C8E9EAADF0}">
  <ds:schemaRef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47B0961-611B-4340-B026-5CD1571CA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1678</Words>
  <Characters>9229</Characters>
  <Application>Microsoft Office Word</Application>
  <DocSecurity>4</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Accessible Form</vt:lpstr>
      <vt:lpstr/>
    </vt:vector>
  </TitlesOfParts>
  <Company>ITU</Company>
  <LinksUpToDate>false</LinksUpToDate>
  <CharactersWithSpaces>10886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Form</dc:title>
  <dc:subject/>
  <dc:creator>Sareidaki, Despoina</dc:creator>
  <cp:keywords/>
  <dc:description/>
  <cp:lastModifiedBy>Claudio Palomares Sartor</cp:lastModifiedBy>
  <cp:revision>2</cp:revision>
  <cp:lastPrinted>2015-11-11T14:05:00Z</cp:lastPrinted>
  <dcterms:created xsi:type="dcterms:W3CDTF">2016-09-09T19:24:00Z</dcterms:created>
  <dcterms:modified xsi:type="dcterms:W3CDTF">2016-09-09T19:24:00Z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0x010100C7F750E4F31D394F9C9AE3A705156B03</vt:lpwstr>
  </property>
</Properties>
</file>