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9" w:type="pct"/>
        <w:tblLook w:val="0000" w:firstRow="0" w:lastRow="0" w:firstColumn="0" w:lastColumn="0" w:noHBand="0" w:noVBand="0"/>
      </w:tblPr>
      <w:tblGrid>
        <w:gridCol w:w="1409"/>
        <w:gridCol w:w="5351"/>
        <w:gridCol w:w="1355"/>
        <w:gridCol w:w="1915"/>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s-US" w:eastAsia="es-US"/>
              </w:rPr>
              <w:drawing>
                <wp:inline distT="0" distB="0" distL="0" distR="0" wp14:anchorId="502A0E03" wp14:editId="786864CD">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proofErr w:type="spellStart"/>
            <w:r w:rsidRPr="00E83D45">
              <w:rPr>
                <w:rFonts w:ascii="Verdana" w:hAnsi="Verdana" w:cs="Times New Roman Bold"/>
                <w:b/>
                <w:bCs/>
                <w:sz w:val="18"/>
                <w:szCs w:val="18"/>
              </w:rPr>
              <w:t>Hammamet</w:t>
            </w:r>
            <w:proofErr w:type="spellEnd"/>
            <w:r w:rsidRPr="00E83D45">
              <w:rPr>
                <w:rFonts w:ascii="Verdana" w:hAnsi="Verdana" w:cs="Times New Roman Bold"/>
                <w:b/>
                <w:bCs/>
                <w:sz w:val="18"/>
                <w:szCs w:val="18"/>
              </w:rPr>
              <w: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s-US" w:eastAsia="es-US"/>
              </w:rPr>
              <w:drawing>
                <wp:inline distT="0" distB="0" distL="0" distR="0" wp14:anchorId="57EFF2E6" wp14:editId="2B464716">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8F3576" w:rsidP="004B520A">
            <w:pPr>
              <w:pStyle w:val="Committee"/>
              <w:framePr w:hSpace="0" w:wrap="auto" w:hAnchor="text" w:yAlign="inline"/>
            </w:pPr>
            <w:r w:rsidRPr="008F3576">
              <w:t>SESIÓN PLENARIA</w:t>
            </w:r>
          </w:p>
        </w:tc>
        <w:tc>
          <w:tcPr>
            <w:tcW w:w="3198" w:type="dxa"/>
            <w:gridSpan w:val="2"/>
          </w:tcPr>
          <w:p w:rsidR="00E6673B" w:rsidRDefault="00E6673B" w:rsidP="004B520A">
            <w:pPr>
              <w:spacing w:before="0"/>
              <w:rPr>
                <w:rFonts w:ascii="Verdana" w:hAnsi="Verdana"/>
                <w:b/>
                <w:sz w:val="20"/>
                <w:lang w:val="en-US"/>
              </w:rPr>
            </w:pPr>
            <w:proofErr w:type="spellStart"/>
            <w:r w:rsidRPr="007831B2">
              <w:rPr>
                <w:rFonts w:ascii="Verdana" w:hAnsi="Verdana"/>
                <w:b/>
                <w:sz w:val="20"/>
              </w:rPr>
              <w:t>Addéndum</w:t>
            </w:r>
            <w:proofErr w:type="spellEnd"/>
            <w:r w:rsidRPr="00FE765B">
              <w:rPr>
                <w:rFonts w:ascii="Verdana" w:hAnsi="Verdana"/>
                <w:b/>
                <w:sz w:val="20"/>
                <w:lang w:val="es-US"/>
              </w:rPr>
              <w:t xml:space="preserve"> </w:t>
            </w:r>
            <w:r w:rsidR="00986E55">
              <w:rPr>
                <w:rFonts w:ascii="Verdana" w:hAnsi="Verdana"/>
                <w:b/>
                <w:sz w:val="20"/>
                <w:lang w:val="es-US"/>
              </w:rPr>
              <w:t>1</w:t>
            </w:r>
            <w:r w:rsidR="002B52AF">
              <w:rPr>
                <w:rFonts w:ascii="Verdana" w:hAnsi="Verdana"/>
                <w:b/>
                <w:sz w:val="20"/>
                <w:lang w:val="es-US"/>
              </w:rPr>
              <w:t>8</w:t>
            </w:r>
            <w:r w:rsidRPr="00FE765B">
              <w:rPr>
                <w:rFonts w:ascii="Verdana" w:hAnsi="Verdana"/>
                <w:b/>
                <w:sz w:val="20"/>
                <w:lang w:val="es-US"/>
              </w:rPr>
              <w:t xml:space="preserve"> al</w:t>
            </w:r>
          </w:p>
          <w:p w:rsidR="00E83D45" w:rsidRPr="002074EC" w:rsidRDefault="008F3576" w:rsidP="004B520A">
            <w:pPr>
              <w:spacing w:before="0"/>
              <w:rPr>
                <w:rFonts w:ascii="Verdana" w:hAnsi="Verdana"/>
                <w:b/>
                <w:bCs/>
                <w:sz w:val="20"/>
              </w:rPr>
            </w:pPr>
            <w:proofErr w:type="spellStart"/>
            <w:r w:rsidRPr="008F3576">
              <w:rPr>
                <w:rFonts w:ascii="Verdana" w:hAnsi="Verdana"/>
                <w:b/>
                <w:sz w:val="20"/>
                <w:lang w:val="en-US"/>
              </w:rPr>
              <w:t>Documento</w:t>
            </w:r>
            <w:proofErr w:type="spellEnd"/>
            <w:r w:rsidRPr="008F3576">
              <w:rPr>
                <w:rFonts w:ascii="Verdana" w:hAnsi="Verdana"/>
                <w:b/>
                <w:sz w:val="20"/>
                <w:lang w:val="en-US"/>
              </w:rPr>
              <w:t xml:space="preserve"> </w:t>
            </w:r>
            <w:r w:rsidR="00E6673B">
              <w:rPr>
                <w:rFonts w:ascii="Verdana" w:hAnsi="Verdana"/>
                <w:b/>
                <w:sz w:val="20"/>
                <w:lang w:val="en-US"/>
              </w:rPr>
              <w:t>46</w:t>
            </w:r>
            <w:r w:rsidRPr="008F3576">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6673B" w:rsidP="004B520A">
            <w:pPr>
              <w:spacing w:before="0"/>
              <w:rPr>
                <w:rFonts w:ascii="Verdana" w:hAnsi="Verdana"/>
                <w:b/>
                <w:bCs/>
                <w:sz w:val="20"/>
              </w:rPr>
            </w:pPr>
            <w:proofErr w:type="spellStart"/>
            <w:r>
              <w:rPr>
                <w:rFonts w:ascii="Verdana" w:hAnsi="Verdana"/>
                <w:b/>
                <w:sz w:val="20"/>
                <w:lang w:val="en-US"/>
              </w:rPr>
              <w:t>Septiembre</w:t>
            </w:r>
            <w:proofErr w:type="spellEnd"/>
            <w:r>
              <w:rPr>
                <w:rFonts w:ascii="Verdana" w:hAnsi="Verdana"/>
                <w:b/>
                <w:sz w:val="20"/>
                <w:lang w:val="en-US"/>
              </w:rPr>
              <w:t xml:space="preserv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8F3576" w:rsidP="001A56F4">
            <w:pPr>
              <w:spacing w:before="0"/>
              <w:rPr>
                <w:rFonts w:ascii="Verdana" w:hAnsi="Verdana"/>
                <w:b/>
                <w:bCs/>
                <w:sz w:val="20"/>
              </w:rPr>
            </w:pPr>
            <w:r w:rsidRPr="008F3576">
              <w:rPr>
                <w:rFonts w:ascii="Verdana" w:hAnsi="Verdana"/>
                <w:b/>
                <w:sz w:val="20"/>
                <w:lang w:val="en-US"/>
              </w:rPr>
              <w:t xml:space="preserve">Original: </w:t>
            </w:r>
            <w:proofErr w:type="spellStart"/>
            <w:r w:rsidR="001A56F4">
              <w:rPr>
                <w:rFonts w:ascii="Verdana" w:hAnsi="Verdana"/>
                <w:b/>
                <w:sz w:val="20"/>
                <w:lang w:val="en-US"/>
              </w:rPr>
              <w:t>español</w:t>
            </w:r>
            <w:proofErr w:type="spellEnd"/>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6673B" w:rsidP="004B520A">
            <w:pPr>
              <w:pStyle w:val="Source"/>
            </w:pPr>
            <w:r w:rsidRPr="00363B38">
              <w:rPr>
                <w:lang w:val="es-US"/>
              </w:rPr>
              <w:t xml:space="preserve">Estados Miembros de la Comisión Interamericana </w:t>
            </w:r>
            <w:r>
              <w:rPr>
                <w:lang w:val="es-US"/>
              </w:rPr>
              <w:t>de Telecomunicaciones (CITEL)</w:t>
            </w:r>
          </w:p>
        </w:tc>
      </w:tr>
      <w:tr w:rsidR="00E83D45" w:rsidTr="004B520A">
        <w:trPr>
          <w:cantSplit/>
        </w:trPr>
        <w:tc>
          <w:tcPr>
            <w:tcW w:w="9811" w:type="dxa"/>
            <w:gridSpan w:val="4"/>
          </w:tcPr>
          <w:p w:rsidR="004D5084" w:rsidRDefault="004D5084" w:rsidP="004D5084">
            <w:pPr>
              <w:tabs>
                <w:tab w:val="clear" w:pos="1134"/>
                <w:tab w:val="clear" w:pos="1871"/>
                <w:tab w:val="clear" w:pos="2268"/>
              </w:tabs>
              <w:overflowPunct/>
              <w:autoSpaceDE/>
              <w:autoSpaceDN/>
              <w:adjustRightInd/>
              <w:spacing w:before="0"/>
              <w:jc w:val="both"/>
              <w:textAlignment w:val="auto"/>
              <w:rPr>
                <w:b/>
                <w:caps/>
                <w:sz w:val="22"/>
                <w:szCs w:val="22"/>
                <w:lang w:val="es-ES"/>
              </w:rPr>
            </w:pPr>
          </w:p>
          <w:p w:rsidR="009D4AF6" w:rsidRPr="003B1A36" w:rsidRDefault="00B85BE6" w:rsidP="009D4AF6">
            <w:pPr>
              <w:keepNext/>
              <w:keepLines/>
              <w:tabs>
                <w:tab w:val="clear" w:pos="1134"/>
                <w:tab w:val="clear" w:pos="1871"/>
                <w:tab w:val="clear" w:pos="2268"/>
                <w:tab w:val="left" w:pos="794"/>
                <w:tab w:val="left" w:pos="1191"/>
                <w:tab w:val="left" w:pos="1588"/>
                <w:tab w:val="left" w:pos="1985"/>
              </w:tabs>
              <w:spacing w:before="0"/>
              <w:jc w:val="center"/>
              <w:rPr>
                <w:sz w:val="28"/>
                <w:szCs w:val="28"/>
                <w:lang w:val="es-ES" w:eastAsia="x-none"/>
              </w:rPr>
            </w:pPr>
            <w:r>
              <w:rPr>
                <w:caps/>
                <w:sz w:val="28"/>
                <w:szCs w:val="28"/>
                <w:lang w:val="es-UY" w:eastAsia="x-none"/>
              </w:rPr>
              <w:t>proyecto de</w:t>
            </w:r>
            <w:r w:rsidR="009D4AF6" w:rsidRPr="003B1A36">
              <w:rPr>
                <w:caps/>
                <w:sz w:val="28"/>
                <w:szCs w:val="28"/>
                <w:lang w:val="es-UY" w:eastAsia="x-none"/>
              </w:rPr>
              <w:t xml:space="preserve"> resolución para la AMNT-16  “</w:t>
            </w:r>
            <w:r w:rsidR="009D4AF6" w:rsidRPr="003B1A36">
              <w:rPr>
                <w:caps/>
                <w:sz w:val="28"/>
                <w:szCs w:val="28"/>
                <w:lang w:val="es-AR" w:eastAsia="en-AU"/>
              </w:rPr>
              <w:t>Admisión de Pequeñas y Medianas Empresas en los trabajos del Sector de Normalización de las Telecomunicaciones de la UIT”</w:t>
            </w:r>
          </w:p>
          <w:p w:rsidR="00E83D45" w:rsidRPr="009D4AF6" w:rsidRDefault="00E83D45" w:rsidP="00403EDA">
            <w:pPr>
              <w:pStyle w:val="Title1"/>
              <w:rPr>
                <w:lang w:val="es-ES"/>
              </w:rPr>
            </w:pPr>
          </w:p>
        </w:tc>
      </w:tr>
      <w:tr w:rsidR="00E83D45" w:rsidTr="004B520A">
        <w:trPr>
          <w:cantSplit/>
        </w:trPr>
        <w:tc>
          <w:tcPr>
            <w:tcW w:w="9811" w:type="dxa"/>
            <w:gridSpan w:val="4"/>
          </w:tcPr>
          <w:p w:rsidR="00E83D45" w:rsidRPr="00057296" w:rsidRDefault="00E83D45" w:rsidP="004B520A">
            <w:pPr>
              <w:pStyle w:val="Title2"/>
            </w:pPr>
          </w:p>
        </w:tc>
      </w:tr>
      <w:tr w:rsidR="00E83D45" w:rsidTr="004B520A">
        <w:trPr>
          <w:cantSplit/>
        </w:trPr>
        <w:tc>
          <w:tcPr>
            <w:tcW w:w="9811" w:type="dxa"/>
            <w:gridSpan w:val="4"/>
          </w:tcPr>
          <w:p w:rsidR="00E83D45" w:rsidRPr="00E6673B" w:rsidRDefault="00E83D45" w:rsidP="004B520A">
            <w:pPr>
              <w:pStyle w:val="Agendaitem"/>
            </w:pPr>
          </w:p>
        </w:tc>
      </w:tr>
    </w:tbl>
    <w:p w:rsidR="006B0F54" w:rsidRDefault="006B0F54" w:rsidP="006B0F54"/>
    <w:tbl>
      <w:tblPr>
        <w:tblW w:w="5089" w:type="pct"/>
        <w:tblLayout w:type="fixed"/>
        <w:tblLook w:val="0000" w:firstRow="0" w:lastRow="0" w:firstColumn="0" w:lastColumn="0" w:noHBand="0" w:noVBand="0"/>
      </w:tblPr>
      <w:tblGrid>
        <w:gridCol w:w="1595"/>
        <w:gridCol w:w="8435"/>
      </w:tblGrid>
      <w:tr w:rsidR="006B0F54" w:rsidRPr="00426748" w:rsidTr="00193AD1">
        <w:trPr>
          <w:cantSplit/>
        </w:trPr>
        <w:tc>
          <w:tcPr>
            <w:tcW w:w="1560" w:type="dxa"/>
          </w:tcPr>
          <w:p w:rsidR="006B0F54" w:rsidRPr="00426748" w:rsidRDefault="006B0F54" w:rsidP="00193AD1">
            <w:r w:rsidRPr="007D3405">
              <w:rPr>
                <w:b/>
                <w:bCs/>
              </w:rPr>
              <w:t>Resumen</w:t>
            </w:r>
            <w:r w:rsidRPr="008F7104">
              <w:rPr>
                <w:b/>
                <w:bCs/>
              </w:rPr>
              <w:t>:</w:t>
            </w:r>
          </w:p>
        </w:tc>
        <w:sdt>
          <w:sdtPr>
            <w:rPr>
              <w:sz w:val="22"/>
              <w:lang w:val="es-ES" w:eastAsia="es-ES"/>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FC3528" w:rsidRDefault="00753A4F" w:rsidP="00986E55">
                <w:pPr>
                  <w:jc w:val="both"/>
                  <w:rPr>
                    <w:color w:val="000000" w:themeColor="text1"/>
                  </w:rPr>
                </w:pPr>
                <w:r w:rsidRPr="00753A4F">
                  <w:rPr>
                    <w:sz w:val="22"/>
                    <w:lang w:val="es-ES" w:eastAsia="es-ES"/>
                  </w:rPr>
                  <w:t>En la presente contribuc</w:t>
                </w:r>
                <w:r>
                  <w:rPr>
                    <w:sz w:val="22"/>
                    <w:lang w:val="es-ES" w:eastAsia="es-ES"/>
                  </w:rPr>
                  <w:t>ión se considera un proyecto de resolución para la AMNT-16 “Admisión de pequeñas y medianas empresas en los trabajos del sector de normalización de las telecomunicaciones de la UIT”.</w:t>
                </w:r>
              </w:p>
            </w:tc>
          </w:sdtContent>
        </w:sdt>
      </w:tr>
    </w:tbl>
    <w:p w:rsidR="00B07178" w:rsidRDefault="00B07178">
      <w:pPr>
        <w:tabs>
          <w:tab w:val="clear" w:pos="1134"/>
          <w:tab w:val="clear" w:pos="1871"/>
          <w:tab w:val="clear" w:pos="2268"/>
        </w:tabs>
        <w:overflowPunct/>
        <w:autoSpaceDE/>
        <w:autoSpaceDN/>
        <w:adjustRightInd/>
        <w:spacing w:before="0"/>
        <w:textAlignment w:val="auto"/>
      </w:pPr>
    </w:p>
    <w:p w:rsidR="00F31DAB" w:rsidRDefault="00F31DAB"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9D4AF6" w:rsidRDefault="009D4AF6" w:rsidP="004D5084">
      <w:pPr>
        <w:tabs>
          <w:tab w:val="clear" w:pos="1134"/>
          <w:tab w:val="clear" w:pos="1871"/>
          <w:tab w:val="clear" w:pos="2268"/>
        </w:tabs>
        <w:overflowPunct/>
        <w:autoSpaceDE/>
        <w:autoSpaceDN/>
        <w:adjustRightInd/>
        <w:spacing w:before="0"/>
        <w:jc w:val="both"/>
        <w:textAlignment w:val="auto"/>
        <w:rPr>
          <w:b/>
          <w:sz w:val="22"/>
          <w:szCs w:val="22"/>
          <w:lang w:val="es-ES"/>
        </w:rPr>
      </w:pPr>
    </w:p>
    <w:p w:rsidR="005F48E0" w:rsidRPr="005C66B6" w:rsidRDefault="003D1A62" w:rsidP="005F48E0">
      <w:pPr>
        <w:tabs>
          <w:tab w:val="clear" w:pos="1134"/>
          <w:tab w:val="clear" w:pos="1871"/>
          <w:tab w:val="clear" w:pos="2268"/>
        </w:tabs>
        <w:overflowPunct/>
        <w:autoSpaceDE/>
        <w:autoSpaceDN/>
        <w:adjustRightInd/>
        <w:spacing w:before="0" w:after="200" w:line="276" w:lineRule="auto"/>
        <w:textAlignment w:val="auto"/>
        <w:rPr>
          <w:szCs w:val="24"/>
          <w:lang w:val="es-ES" w:eastAsia="es-ES"/>
        </w:rPr>
      </w:pPr>
      <w:r w:rsidRPr="005C66B6">
        <w:rPr>
          <w:rFonts w:eastAsia="Calibri"/>
          <w:b/>
          <w:szCs w:val="24"/>
          <w:lang w:val="es-ES" w:eastAsia="es-ES"/>
        </w:rPr>
        <w:t>ADD</w:t>
      </w:r>
      <w:r w:rsidRPr="005C66B6">
        <w:rPr>
          <w:rFonts w:eastAsia="Calibri"/>
          <w:b/>
          <w:szCs w:val="24"/>
          <w:lang w:val="es-ES" w:eastAsia="es-ES"/>
        </w:rPr>
        <w:tab/>
        <w:t>IAP/46A18</w:t>
      </w:r>
      <w:r w:rsidR="005F48E0" w:rsidRPr="005C66B6">
        <w:rPr>
          <w:rFonts w:eastAsia="Calibri"/>
          <w:b/>
          <w:szCs w:val="24"/>
          <w:lang w:val="es-ES" w:eastAsia="es-ES"/>
        </w:rPr>
        <w:t>/1</w:t>
      </w:r>
    </w:p>
    <w:p w:rsidR="009D4AF6" w:rsidRPr="005C66B6" w:rsidRDefault="009D4AF6" w:rsidP="009D4AF6">
      <w:pPr>
        <w:tabs>
          <w:tab w:val="clear" w:pos="1134"/>
          <w:tab w:val="clear" w:pos="1871"/>
          <w:tab w:val="clear" w:pos="2268"/>
        </w:tabs>
        <w:overflowPunct/>
        <w:autoSpaceDE/>
        <w:autoSpaceDN/>
        <w:adjustRightInd/>
        <w:spacing w:before="0"/>
        <w:jc w:val="center"/>
        <w:textAlignment w:val="auto"/>
        <w:rPr>
          <w:sz w:val="28"/>
          <w:szCs w:val="28"/>
          <w:lang w:val="es-AR"/>
        </w:rPr>
      </w:pPr>
      <w:r w:rsidRPr="005C66B6">
        <w:rPr>
          <w:sz w:val="28"/>
          <w:szCs w:val="28"/>
          <w:lang w:val="es-ES" w:eastAsia="es-ES"/>
        </w:rPr>
        <w:t>RESOLUCIÓN</w:t>
      </w:r>
      <w:r w:rsidRPr="005C66B6">
        <w:rPr>
          <w:sz w:val="28"/>
          <w:szCs w:val="28"/>
          <w:lang w:val="es-AR"/>
        </w:rPr>
        <w:t xml:space="preserve"> XX (</w:t>
      </w:r>
      <w:proofErr w:type="spellStart"/>
      <w:r w:rsidRPr="005C66B6">
        <w:rPr>
          <w:sz w:val="28"/>
          <w:szCs w:val="28"/>
          <w:lang w:val="es-AR"/>
        </w:rPr>
        <w:t>Hammamet</w:t>
      </w:r>
      <w:proofErr w:type="spellEnd"/>
      <w:r w:rsidRPr="005C66B6">
        <w:rPr>
          <w:sz w:val="28"/>
          <w:szCs w:val="28"/>
          <w:lang w:val="es-AR"/>
        </w:rPr>
        <w:t>, 2016)</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 w:val="28"/>
          <w:szCs w:val="28"/>
          <w:lang w:val="es-AR"/>
        </w:rPr>
      </w:pPr>
    </w:p>
    <w:p w:rsidR="009D4AF6" w:rsidRPr="005C66B6" w:rsidRDefault="009D4AF6" w:rsidP="009D4AF6">
      <w:pPr>
        <w:tabs>
          <w:tab w:val="clear" w:pos="1134"/>
          <w:tab w:val="clear" w:pos="1871"/>
          <w:tab w:val="clear" w:pos="2268"/>
        </w:tabs>
        <w:overflowPunct/>
        <w:autoSpaceDE/>
        <w:autoSpaceDN/>
        <w:adjustRightInd/>
        <w:spacing w:before="0"/>
        <w:jc w:val="center"/>
        <w:textAlignment w:val="auto"/>
        <w:rPr>
          <w:b/>
          <w:sz w:val="28"/>
          <w:szCs w:val="28"/>
          <w:lang w:val="es-AR"/>
        </w:rPr>
      </w:pPr>
      <w:r w:rsidRPr="005C66B6">
        <w:rPr>
          <w:b/>
          <w:sz w:val="28"/>
          <w:szCs w:val="28"/>
          <w:lang w:val="es-AR"/>
        </w:rPr>
        <w:t>Admisión de Pequeñas y Medianas Empresas</w:t>
      </w:r>
      <w:r w:rsidRPr="005C66B6">
        <w:rPr>
          <w:b/>
          <w:sz w:val="28"/>
          <w:szCs w:val="28"/>
          <w:vertAlign w:val="superscript"/>
          <w:lang w:val="es-AR"/>
        </w:rPr>
        <w:footnoteReference w:id="1"/>
      </w:r>
      <w:r w:rsidRPr="005C66B6">
        <w:rPr>
          <w:b/>
          <w:sz w:val="28"/>
          <w:szCs w:val="28"/>
          <w:lang w:val="es-AR"/>
        </w:rPr>
        <w:t>en los trabajos del Sector de Normalización de las Telecomunicaciones de la UIT</w:t>
      </w:r>
    </w:p>
    <w:p w:rsidR="009D4AF6" w:rsidRPr="005C66B6" w:rsidRDefault="009D4AF6" w:rsidP="009D4AF6">
      <w:pPr>
        <w:tabs>
          <w:tab w:val="clear" w:pos="1134"/>
          <w:tab w:val="clear" w:pos="1871"/>
          <w:tab w:val="clear" w:pos="2268"/>
        </w:tabs>
        <w:overflowPunct/>
        <w:autoSpaceDE/>
        <w:autoSpaceDN/>
        <w:adjustRightInd/>
        <w:spacing w:before="0"/>
        <w:jc w:val="center"/>
        <w:textAlignment w:val="auto"/>
        <w:rPr>
          <w:b/>
          <w:sz w:val="28"/>
          <w:szCs w:val="28"/>
          <w:lang w:val="es-AR"/>
        </w:rPr>
      </w:pPr>
    </w:p>
    <w:p w:rsidR="009D4AF6" w:rsidRPr="005C66B6" w:rsidRDefault="009D4AF6" w:rsidP="009D4AF6">
      <w:pPr>
        <w:tabs>
          <w:tab w:val="clear" w:pos="1134"/>
          <w:tab w:val="clear" w:pos="1871"/>
          <w:tab w:val="clear" w:pos="2268"/>
        </w:tabs>
        <w:overflowPunct/>
        <w:autoSpaceDE/>
        <w:autoSpaceDN/>
        <w:adjustRightInd/>
        <w:spacing w:before="0"/>
        <w:jc w:val="center"/>
        <w:textAlignment w:val="auto"/>
        <w:rPr>
          <w:szCs w:val="24"/>
        </w:rPr>
      </w:pPr>
      <w:r w:rsidRPr="005C66B6">
        <w:rPr>
          <w:i/>
          <w:szCs w:val="24"/>
          <w:lang w:val="es-AR"/>
        </w:rPr>
        <w:t>(</w:t>
      </w:r>
      <w:proofErr w:type="spellStart"/>
      <w:r w:rsidRPr="005C66B6">
        <w:rPr>
          <w:i/>
          <w:szCs w:val="24"/>
          <w:lang w:val="es-AR"/>
        </w:rPr>
        <w:t>Hammamet</w:t>
      </w:r>
      <w:proofErr w:type="spellEnd"/>
      <w:r w:rsidRPr="005C66B6">
        <w:rPr>
          <w:i/>
          <w:szCs w:val="24"/>
          <w:lang w:val="es-AR"/>
        </w:rPr>
        <w:t>, 2016)</w:t>
      </w:r>
    </w:p>
    <w:p w:rsidR="009D4AF6" w:rsidRPr="005C66B6" w:rsidRDefault="009D4AF6" w:rsidP="009D4AF6">
      <w:pPr>
        <w:spacing w:before="280"/>
        <w:jc w:val="both"/>
        <w:rPr>
          <w:i/>
          <w:szCs w:val="24"/>
          <w:lang w:eastAsia="en-AU"/>
        </w:rPr>
      </w:pPr>
      <w:r w:rsidRPr="005C66B6">
        <w:rPr>
          <w:szCs w:val="24"/>
        </w:rPr>
        <w:t>La Asamblea Mundial de Normalización de las Telecomunicaciones (</w:t>
      </w:r>
      <w:proofErr w:type="spellStart"/>
      <w:r w:rsidRPr="005C66B6">
        <w:rPr>
          <w:szCs w:val="24"/>
        </w:rPr>
        <w:t>Hammamet</w:t>
      </w:r>
      <w:proofErr w:type="spellEnd"/>
      <w:r w:rsidRPr="005C66B6">
        <w:rPr>
          <w:szCs w:val="24"/>
        </w:rPr>
        <w:t>, 2016),</w:t>
      </w:r>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lang w:eastAsia="en-AU"/>
        </w:rPr>
      </w:pPr>
      <w:proofErr w:type="gramStart"/>
      <w:r w:rsidRPr="005C66B6">
        <w:rPr>
          <w:i/>
          <w:szCs w:val="24"/>
          <w:lang w:eastAsia="en-AU"/>
        </w:rPr>
        <w:t>considerando</w:t>
      </w:r>
      <w:proofErr w:type="gramEnd"/>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lang w:eastAsia="en-AU"/>
        </w:rPr>
      </w:pPr>
    </w:p>
    <w:p w:rsidR="009D4AF6" w:rsidRPr="005C66B6" w:rsidRDefault="009D4AF6" w:rsidP="009D4AF6">
      <w:pPr>
        <w:numPr>
          <w:ilvl w:val="0"/>
          <w:numId w:val="40"/>
        </w:numPr>
        <w:tabs>
          <w:tab w:val="clear" w:pos="1134"/>
          <w:tab w:val="clear" w:pos="1871"/>
          <w:tab w:val="clear" w:pos="2268"/>
          <w:tab w:val="left" w:pos="720"/>
          <w:tab w:val="left" w:pos="1588"/>
          <w:tab w:val="left" w:pos="1985"/>
        </w:tabs>
        <w:overflowPunct/>
        <w:autoSpaceDE/>
        <w:autoSpaceDN/>
        <w:adjustRightInd/>
        <w:spacing w:before="0"/>
        <w:ind w:left="0" w:firstLine="0"/>
        <w:contextualSpacing/>
        <w:jc w:val="both"/>
        <w:textAlignment w:val="auto"/>
        <w:rPr>
          <w:szCs w:val="24"/>
          <w:lang w:eastAsia="en-AU"/>
        </w:rPr>
      </w:pPr>
      <w:r w:rsidRPr="005C66B6">
        <w:rPr>
          <w:szCs w:val="24"/>
          <w:lang w:eastAsia="en-AU"/>
        </w:rPr>
        <w:t xml:space="preserve">la Resolución 71 (Rev. </w:t>
      </w:r>
      <w:proofErr w:type="spellStart"/>
      <w:r w:rsidRPr="005C66B6">
        <w:rPr>
          <w:szCs w:val="24"/>
          <w:lang w:eastAsia="en-AU"/>
        </w:rPr>
        <w:t>Busán</w:t>
      </w:r>
      <w:proofErr w:type="spellEnd"/>
      <w:r w:rsidRPr="005C66B6">
        <w:rPr>
          <w:szCs w:val="24"/>
          <w:lang w:eastAsia="en-AU"/>
        </w:rPr>
        <w:t>, 2014) de la Conferencia de Plenipotenciarios sobre el Plan Estratégico de la Unión para 2016-2019, que en su Meta  4 sobre “Innovación y asociación – Dirigir, mejorar y adaptarse a los cambios del entorno de las telecomunicaciones/TIC” establece como Finalidad 4.2 el promover “Asociaciones efectivas de interesados en el entorno de las telecomunicaciones/TIC”;</w:t>
      </w:r>
    </w:p>
    <w:p w:rsidR="009D4AF6" w:rsidRPr="005C66B6" w:rsidRDefault="009D4AF6" w:rsidP="009D4AF6">
      <w:pPr>
        <w:tabs>
          <w:tab w:val="clear" w:pos="1134"/>
          <w:tab w:val="clear" w:pos="1871"/>
          <w:tab w:val="clear" w:pos="2268"/>
          <w:tab w:val="left" w:pos="720"/>
          <w:tab w:val="left" w:pos="1588"/>
          <w:tab w:val="left" w:pos="1985"/>
        </w:tabs>
        <w:contextualSpacing/>
        <w:jc w:val="both"/>
        <w:rPr>
          <w:szCs w:val="24"/>
          <w:lang w:eastAsia="en-AU"/>
        </w:rPr>
      </w:pPr>
    </w:p>
    <w:p w:rsidR="009D4AF6" w:rsidRPr="005C66B6" w:rsidRDefault="009D4AF6" w:rsidP="009D4AF6">
      <w:pPr>
        <w:numPr>
          <w:ilvl w:val="0"/>
          <w:numId w:val="40"/>
        </w:numPr>
        <w:tabs>
          <w:tab w:val="clear" w:pos="1134"/>
          <w:tab w:val="clear" w:pos="1871"/>
          <w:tab w:val="clear" w:pos="2268"/>
          <w:tab w:val="left" w:pos="720"/>
          <w:tab w:val="left" w:pos="1588"/>
          <w:tab w:val="left" w:pos="1985"/>
        </w:tabs>
        <w:overflowPunct/>
        <w:autoSpaceDE/>
        <w:autoSpaceDN/>
        <w:adjustRightInd/>
        <w:spacing w:before="0"/>
        <w:ind w:left="0" w:firstLine="0"/>
        <w:contextualSpacing/>
        <w:jc w:val="both"/>
        <w:textAlignment w:val="auto"/>
        <w:rPr>
          <w:szCs w:val="24"/>
          <w:lang w:eastAsia="en-AU"/>
        </w:rPr>
      </w:pPr>
      <w:r w:rsidRPr="005C66B6">
        <w:rPr>
          <w:szCs w:val="24"/>
          <w:lang w:eastAsia="en-AU"/>
        </w:rPr>
        <w:t xml:space="preserve">que la Resolución 123 (Rev. </w:t>
      </w:r>
      <w:proofErr w:type="spellStart"/>
      <w:r w:rsidRPr="005C66B6">
        <w:rPr>
          <w:szCs w:val="24"/>
          <w:lang w:eastAsia="en-AU"/>
        </w:rPr>
        <w:t>Busán</w:t>
      </w:r>
      <w:proofErr w:type="spellEnd"/>
      <w:r w:rsidRPr="005C66B6">
        <w:rPr>
          <w:szCs w:val="24"/>
          <w:lang w:eastAsia="en-AU"/>
        </w:rPr>
        <w:t xml:space="preserve">, 2014) de la Conferencia de Plenipotenciarios sobre Reducción de la disparidad entre los países en </w:t>
      </w:r>
      <w:proofErr w:type="spellStart"/>
      <w:r w:rsidRPr="005C66B6">
        <w:rPr>
          <w:szCs w:val="24"/>
          <w:lang w:eastAsia="en-AU"/>
        </w:rPr>
        <w:t>desarrolloy</w:t>
      </w:r>
      <w:proofErr w:type="spellEnd"/>
      <w:r w:rsidRPr="005C66B6">
        <w:rPr>
          <w:szCs w:val="24"/>
          <w:lang w:eastAsia="en-AU"/>
        </w:rPr>
        <w:t xml:space="preserve"> los desarrollados en materia de </w:t>
      </w:r>
      <w:proofErr w:type="spellStart"/>
      <w:r w:rsidRPr="005C66B6">
        <w:rPr>
          <w:szCs w:val="24"/>
          <w:lang w:eastAsia="en-AU"/>
        </w:rPr>
        <w:t>normalizaciónsolicita</w:t>
      </w:r>
      <w:proofErr w:type="spellEnd"/>
      <w:r w:rsidRPr="005C66B6">
        <w:rPr>
          <w:szCs w:val="24"/>
          <w:lang w:eastAsia="en-AU"/>
        </w:rPr>
        <w:t xml:space="preserve"> que se identifiquen medios y mecanismos para apoyar la participación de representantes de países en desarrollo en las reuniones de los tres Sectores de la UIT y la divulgación de información sobre normalización;</w:t>
      </w:r>
    </w:p>
    <w:p w:rsidR="009D4AF6" w:rsidRPr="005C66B6" w:rsidRDefault="009D4AF6" w:rsidP="009D4AF6">
      <w:pPr>
        <w:tabs>
          <w:tab w:val="clear" w:pos="1134"/>
          <w:tab w:val="clear" w:pos="1871"/>
          <w:tab w:val="clear" w:pos="2268"/>
          <w:tab w:val="left" w:pos="720"/>
        </w:tabs>
        <w:overflowPunct/>
        <w:autoSpaceDE/>
        <w:autoSpaceDN/>
        <w:adjustRightInd/>
        <w:spacing w:before="0"/>
        <w:jc w:val="both"/>
        <w:textAlignment w:val="auto"/>
        <w:rPr>
          <w:szCs w:val="24"/>
          <w:lang w:val="es-AR" w:eastAsia="en-AU"/>
        </w:rPr>
      </w:pPr>
    </w:p>
    <w:p w:rsidR="009D4AF6" w:rsidRPr="005C66B6" w:rsidRDefault="009D4AF6" w:rsidP="009D4AF6">
      <w:pPr>
        <w:numPr>
          <w:ilvl w:val="0"/>
          <w:numId w:val="40"/>
        </w:numPr>
        <w:tabs>
          <w:tab w:val="clear" w:pos="1134"/>
          <w:tab w:val="clear" w:pos="1871"/>
          <w:tab w:val="clear" w:pos="2268"/>
          <w:tab w:val="left" w:pos="720"/>
          <w:tab w:val="left" w:pos="1588"/>
          <w:tab w:val="left" w:pos="1985"/>
        </w:tabs>
        <w:overflowPunct/>
        <w:autoSpaceDE/>
        <w:autoSpaceDN/>
        <w:adjustRightInd/>
        <w:spacing w:before="0"/>
        <w:ind w:left="0" w:firstLine="0"/>
        <w:contextualSpacing/>
        <w:jc w:val="both"/>
        <w:textAlignment w:val="auto"/>
        <w:rPr>
          <w:szCs w:val="24"/>
          <w:lang w:eastAsia="en-AU"/>
        </w:rPr>
      </w:pPr>
      <w:r w:rsidRPr="005C66B6">
        <w:rPr>
          <w:szCs w:val="24"/>
          <w:lang w:eastAsia="en-AU"/>
        </w:rPr>
        <w:t>que en el Plan de Acción de Ginebra y la Agenda de Túnez para la Sociedad de la Información de la Cumbre Mundial sobre la Sociedad de la Información (CMSI) se insiste en los esfuerzos que se han de realizar para reducir la brecha digital y las disparidades en materia de desarrollo;</w:t>
      </w:r>
    </w:p>
    <w:p w:rsidR="009D4AF6" w:rsidRPr="005C66B6" w:rsidRDefault="009D4AF6" w:rsidP="009D4AF6">
      <w:pPr>
        <w:tabs>
          <w:tab w:val="clear" w:pos="1134"/>
          <w:tab w:val="clear" w:pos="1871"/>
          <w:tab w:val="clear" w:pos="2268"/>
          <w:tab w:val="left" w:pos="720"/>
        </w:tabs>
        <w:overflowPunct/>
        <w:autoSpaceDE/>
        <w:autoSpaceDN/>
        <w:adjustRightInd/>
        <w:spacing w:before="0"/>
        <w:jc w:val="both"/>
        <w:textAlignment w:val="auto"/>
        <w:rPr>
          <w:szCs w:val="24"/>
          <w:lang w:val="es-AR" w:eastAsia="en-AU"/>
        </w:rPr>
      </w:pPr>
    </w:p>
    <w:p w:rsidR="009D4AF6" w:rsidRPr="005C66B6" w:rsidRDefault="009D4AF6" w:rsidP="009D4AF6">
      <w:pPr>
        <w:numPr>
          <w:ilvl w:val="0"/>
          <w:numId w:val="40"/>
        </w:numPr>
        <w:tabs>
          <w:tab w:val="clear" w:pos="1134"/>
          <w:tab w:val="clear" w:pos="1871"/>
          <w:tab w:val="clear" w:pos="2268"/>
          <w:tab w:val="left" w:pos="720"/>
          <w:tab w:val="left" w:pos="1588"/>
          <w:tab w:val="left" w:pos="1985"/>
        </w:tabs>
        <w:overflowPunct/>
        <w:autoSpaceDE/>
        <w:autoSpaceDN/>
        <w:adjustRightInd/>
        <w:spacing w:before="0"/>
        <w:ind w:left="0" w:firstLine="0"/>
        <w:contextualSpacing/>
        <w:jc w:val="both"/>
        <w:textAlignment w:val="auto"/>
        <w:rPr>
          <w:szCs w:val="24"/>
          <w:lang w:eastAsia="en-AU"/>
        </w:rPr>
      </w:pPr>
      <w:r w:rsidRPr="005C66B6">
        <w:rPr>
          <w:szCs w:val="24"/>
          <w:lang w:eastAsia="en-AU"/>
        </w:rPr>
        <w:t>que en el marco de la Nueva Agenda para el Desarrollo Sostenible aprobada por la Organización de las Naciones Unidas, el Objetivo de Desarrollo Sostenible 17 se refiere a las “Alianzas para lograr los objetivos”;</w:t>
      </w:r>
    </w:p>
    <w:p w:rsidR="009D4AF6" w:rsidRPr="005C66B6" w:rsidRDefault="009D4AF6" w:rsidP="009D4AF6">
      <w:pPr>
        <w:tabs>
          <w:tab w:val="clear" w:pos="1134"/>
          <w:tab w:val="clear" w:pos="1871"/>
          <w:tab w:val="clear" w:pos="2268"/>
          <w:tab w:val="left" w:pos="720"/>
          <w:tab w:val="left" w:pos="794"/>
          <w:tab w:val="left" w:pos="1588"/>
          <w:tab w:val="left" w:pos="1985"/>
        </w:tabs>
        <w:contextualSpacing/>
        <w:jc w:val="both"/>
        <w:rPr>
          <w:szCs w:val="24"/>
          <w:lang w:eastAsia="en-AU"/>
        </w:rPr>
      </w:pPr>
    </w:p>
    <w:p w:rsidR="009D4AF6" w:rsidRPr="005C66B6" w:rsidRDefault="009D4AF6" w:rsidP="009D4AF6">
      <w:pPr>
        <w:numPr>
          <w:ilvl w:val="0"/>
          <w:numId w:val="40"/>
        </w:numPr>
        <w:tabs>
          <w:tab w:val="clear" w:pos="1134"/>
          <w:tab w:val="clear" w:pos="1871"/>
          <w:tab w:val="clear" w:pos="2268"/>
          <w:tab w:val="left" w:pos="720"/>
          <w:tab w:val="left" w:pos="1588"/>
          <w:tab w:val="left" w:pos="1985"/>
        </w:tabs>
        <w:overflowPunct/>
        <w:autoSpaceDE/>
        <w:autoSpaceDN/>
        <w:adjustRightInd/>
        <w:spacing w:before="0"/>
        <w:ind w:left="0" w:firstLine="0"/>
        <w:contextualSpacing/>
        <w:jc w:val="both"/>
        <w:textAlignment w:val="auto"/>
        <w:rPr>
          <w:szCs w:val="24"/>
          <w:lang w:eastAsia="en-AU"/>
        </w:rPr>
      </w:pPr>
      <w:r w:rsidRPr="005C66B6">
        <w:rPr>
          <w:szCs w:val="24"/>
          <w:lang w:eastAsia="en-AU"/>
        </w:rPr>
        <w:t>que en 2016, el Día Mundial de las Telecomunicaciones y la Sociedad de la Información (DMTSI-2016) se centró en el tema: “Espíritu empresarial en el sector de las TIC en aras del impacto social” (Resolución 68, refrendada por el Consejo de la UIT de 2015),</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eastAsia="en-AU"/>
        </w:rPr>
      </w:pPr>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lang w:eastAsia="en-AU"/>
        </w:rPr>
      </w:pPr>
      <w:proofErr w:type="gramStart"/>
      <w:r w:rsidRPr="005C66B6">
        <w:rPr>
          <w:i/>
          <w:szCs w:val="24"/>
          <w:lang w:eastAsia="en-AU"/>
        </w:rPr>
        <w:t>reconociendo</w:t>
      </w:r>
      <w:proofErr w:type="gramEnd"/>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lang w:eastAsia="en-AU"/>
        </w:rPr>
      </w:pPr>
    </w:p>
    <w:p w:rsidR="009D4AF6" w:rsidRPr="005C66B6" w:rsidRDefault="009D4AF6" w:rsidP="009D4AF6">
      <w:pPr>
        <w:numPr>
          <w:ilvl w:val="0"/>
          <w:numId w:val="39"/>
        </w:numPr>
        <w:tabs>
          <w:tab w:val="clear" w:pos="1134"/>
          <w:tab w:val="clear" w:pos="1871"/>
          <w:tab w:val="clear" w:pos="2268"/>
        </w:tabs>
        <w:overflowPunct/>
        <w:autoSpaceDE/>
        <w:autoSpaceDN/>
        <w:adjustRightInd/>
        <w:spacing w:before="0"/>
        <w:ind w:left="0" w:firstLine="0"/>
        <w:jc w:val="both"/>
        <w:textAlignment w:val="auto"/>
        <w:rPr>
          <w:szCs w:val="24"/>
          <w:lang w:val="es-AR"/>
        </w:rPr>
      </w:pPr>
      <w:r w:rsidRPr="005C66B6">
        <w:rPr>
          <w:szCs w:val="24"/>
          <w:lang w:val="es-AR"/>
        </w:rPr>
        <w:t xml:space="preserve">que entre los Cometidos y misiones de los Sectores de la UIT (Resolución 71, Rev. </w:t>
      </w:r>
      <w:proofErr w:type="spellStart"/>
      <w:r w:rsidRPr="005C66B6">
        <w:rPr>
          <w:szCs w:val="24"/>
          <w:lang w:val="es-AR"/>
        </w:rPr>
        <w:t>Busán</w:t>
      </w:r>
      <w:proofErr w:type="spellEnd"/>
      <w:r w:rsidRPr="005C66B6">
        <w:rPr>
          <w:szCs w:val="24"/>
          <w:lang w:val="es-AR"/>
        </w:rPr>
        <w:t xml:space="preserve">, 2014), la misión del UIT-T consiste en proporcionar un foro mundial único donde la industria y los gobiernos puedan colaborar para fomentar el establecimiento y la utilización de normas </w:t>
      </w:r>
      <w:r w:rsidRPr="005C66B6">
        <w:rPr>
          <w:szCs w:val="24"/>
          <w:lang w:val="es-AR"/>
        </w:rPr>
        <w:lastRenderedPageBreak/>
        <w:t>internacionales compatibles, no discriminatorias y adaptadas a la demanda que estén basadas en la apertura y tomen en consideración las necesidades de los usuarios, a fin de crear un entorno en el cual éstos puedan acceder a servicios asequibles en todo el mundo, independientemente de la tecnología subyacente, en particular en los países en desarrollo, y establecer al mismo tiempo vínculos entre las actividades del UIT-T y los correspondientes resultados de la Cumbre Mundial sobre la Sociedad de la Información (CMSI);</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numPr>
          <w:ilvl w:val="0"/>
          <w:numId w:val="39"/>
        </w:numPr>
        <w:tabs>
          <w:tab w:val="clear" w:pos="1134"/>
          <w:tab w:val="clear" w:pos="1871"/>
          <w:tab w:val="clear" w:pos="2268"/>
        </w:tabs>
        <w:overflowPunct/>
        <w:autoSpaceDE/>
        <w:autoSpaceDN/>
        <w:adjustRightInd/>
        <w:spacing w:before="0"/>
        <w:ind w:left="0" w:firstLine="0"/>
        <w:jc w:val="both"/>
        <w:textAlignment w:val="auto"/>
        <w:rPr>
          <w:szCs w:val="24"/>
          <w:lang w:val="es-AR"/>
        </w:rPr>
      </w:pPr>
      <w:r w:rsidRPr="005C66B6">
        <w:rPr>
          <w:szCs w:val="24"/>
          <w:lang w:val="es-AR"/>
        </w:rPr>
        <w:t>que la misma Resolución, establece como resultado del UIT-T en el Plan Estratégico de la Unión para 2016-2019: “Mayor participación en el proceso de normalización del UIT-T, incluida la asistencia a reuniones, la presentación de contribuciones, la adopción de posiciones de liderazgo y la acogida de reuniones/talleres, especialmente por parte de los países en desarrollo”;</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numPr>
          <w:ilvl w:val="0"/>
          <w:numId w:val="39"/>
        </w:numPr>
        <w:tabs>
          <w:tab w:val="clear" w:pos="1134"/>
          <w:tab w:val="clear" w:pos="1871"/>
          <w:tab w:val="clear" w:pos="2268"/>
        </w:tabs>
        <w:overflowPunct/>
        <w:autoSpaceDE/>
        <w:autoSpaceDN/>
        <w:adjustRightInd/>
        <w:spacing w:before="0"/>
        <w:ind w:left="0" w:firstLine="0"/>
        <w:jc w:val="both"/>
        <w:textAlignment w:val="auto"/>
        <w:rPr>
          <w:szCs w:val="24"/>
          <w:lang w:val="es-AR"/>
        </w:rPr>
      </w:pPr>
      <w:r w:rsidRPr="005C66B6">
        <w:rPr>
          <w:szCs w:val="24"/>
          <w:lang w:val="es-AR"/>
        </w:rPr>
        <w:t>que una mayor participación de los países en desarrollo en la elaboración y la aplicación de normas podría redundar también en provecho de las actividades del UIT-T, así como del mercado de las telecomunicaciones/TIC en general;</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numPr>
          <w:ilvl w:val="0"/>
          <w:numId w:val="39"/>
        </w:numPr>
        <w:tabs>
          <w:tab w:val="clear" w:pos="1134"/>
          <w:tab w:val="clear" w:pos="1871"/>
          <w:tab w:val="clear" w:pos="2268"/>
        </w:tabs>
        <w:overflowPunct/>
        <w:autoSpaceDE/>
        <w:autoSpaceDN/>
        <w:adjustRightInd/>
        <w:spacing w:before="0"/>
        <w:ind w:left="0" w:firstLine="0"/>
        <w:jc w:val="both"/>
        <w:textAlignment w:val="auto"/>
        <w:rPr>
          <w:szCs w:val="24"/>
          <w:lang w:val="es-AR"/>
        </w:rPr>
      </w:pPr>
      <w:r w:rsidRPr="005C66B6">
        <w:rPr>
          <w:szCs w:val="24"/>
          <w:lang w:val="es-AR"/>
        </w:rPr>
        <w:t>que las necesidades y realidades socio-económicas y tecnológicas varían de un país a otro y de una región a otra, y en muchos casos los países en desarrollo no tienen la oportunidad ni los mecanismos para darlas a conocer;</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numPr>
          <w:ilvl w:val="0"/>
          <w:numId w:val="39"/>
        </w:numPr>
        <w:tabs>
          <w:tab w:val="clear" w:pos="1134"/>
          <w:tab w:val="clear" w:pos="1871"/>
          <w:tab w:val="clear" w:pos="2268"/>
        </w:tabs>
        <w:overflowPunct/>
        <w:autoSpaceDE/>
        <w:autoSpaceDN/>
        <w:adjustRightInd/>
        <w:spacing w:before="0"/>
        <w:ind w:left="0" w:firstLine="0"/>
        <w:jc w:val="both"/>
        <w:textAlignment w:val="auto"/>
        <w:rPr>
          <w:szCs w:val="24"/>
          <w:lang w:val="es-AR"/>
        </w:rPr>
      </w:pPr>
      <w:r w:rsidRPr="005C66B6">
        <w:rPr>
          <w:szCs w:val="24"/>
          <w:lang w:val="es-AR"/>
        </w:rPr>
        <w:t xml:space="preserve">que, consciente de ello, la UIT ha lanzado, en 2014, una “Iniciativa Global de Empresas TIC”, y que luego de ello, la ITU TELECOM ha venido convocando a participar de la Plataforma PYME durante dicho evento, </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tabs>
          <w:tab w:val="clear" w:pos="1134"/>
          <w:tab w:val="clear" w:pos="1871"/>
          <w:tab w:val="clear" w:pos="2268"/>
          <w:tab w:val="left" w:pos="720"/>
        </w:tabs>
        <w:overflowPunct/>
        <w:autoSpaceDE/>
        <w:autoSpaceDN/>
        <w:adjustRightInd/>
        <w:spacing w:before="0"/>
        <w:ind w:left="720"/>
        <w:jc w:val="both"/>
        <w:textAlignment w:val="auto"/>
        <w:rPr>
          <w:i/>
          <w:szCs w:val="24"/>
          <w:lang w:val="es-AR"/>
        </w:rPr>
      </w:pPr>
      <w:proofErr w:type="gramStart"/>
      <w:r w:rsidRPr="005C66B6">
        <w:rPr>
          <w:i/>
          <w:szCs w:val="24"/>
          <w:lang w:val="es-AR"/>
        </w:rPr>
        <w:t>teniendo</w:t>
      </w:r>
      <w:proofErr w:type="gramEnd"/>
      <w:r w:rsidRPr="005C66B6">
        <w:rPr>
          <w:i/>
          <w:szCs w:val="24"/>
          <w:lang w:val="es-AR"/>
        </w:rPr>
        <w:t xml:space="preserve"> en cuenta</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pStyle w:val="ListParagraph"/>
        <w:numPr>
          <w:ilvl w:val="0"/>
          <w:numId w:val="42"/>
        </w:numPr>
        <w:tabs>
          <w:tab w:val="clear" w:pos="1134"/>
          <w:tab w:val="clear" w:pos="1871"/>
          <w:tab w:val="clear" w:pos="2268"/>
          <w:tab w:val="left" w:pos="720"/>
          <w:tab w:val="left" w:pos="794"/>
          <w:tab w:val="left" w:pos="1588"/>
          <w:tab w:val="left" w:pos="1985"/>
        </w:tabs>
        <w:overflowPunct/>
        <w:autoSpaceDE/>
        <w:autoSpaceDN/>
        <w:adjustRightInd/>
        <w:spacing w:before="0"/>
        <w:ind w:left="18" w:hanging="18"/>
        <w:jc w:val="both"/>
        <w:textAlignment w:val="auto"/>
        <w:rPr>
          <w:szCs w:val="24"/>
          <w:lang w:eastAsia="en-AU"/>
        </w:rPr>
      </w:pPr>
      <w:r w:rsidRPr="005C66B6">
        <w:rPr>
          <w:szCs w:val="24"/>
          <w:lang w:eastAsia="en-AU"/>
        </w:rPr>
        <w:t xml:space="preserve">Que cada vez más son las pequeñas, innovadoras e incluso </w:t>
      </w:r>
      <w:proofErr w:type="gramStart"/>
      <w:r w:rsidRPr="005C66B6">
        <w:rPr>
          <w:szCs w:val="24"/>
          <w:lang w:eastAsia="en-AU"/>
        </w:rPr>
        <w:t>las micro</w:t>
      </w:r>
      <w:proofErr w:type="gramEnd"/>
      <w:r w:rsidRPr="005C66B6">
        <w:rPr>
          <w:szCs w:val="24"/>
          <w:lang w:eastAsia="en-AU"/>
        </w:rPr>
        <w:t xml:space="preserve"> empresas las que impulsan el desarrollo en el ecosistema de las TIC en todos los rincones del planeta. </w:t>
      </w:r>
    </w:p>
    <w:p w:rsidR="009D4AF6" w:rsidRPr="005C66B6" w:rsidRDefault="009D4AF6" w:rsidP="009D4AF6">
      <w:pPr>
        <w:tabs>
          <w:tab w:val="clear" w:pos="1134"/>
          <w:tab w:val="clear" w:pos="1871"/>
          <w:tab w:val="clear" w:pos="2268"/>
          <w:tab w:val="left" w:pos="720"/>
          <w:tab w:val="left" w:pos="794"/>
          <w:tab w:val="left" w:pos="1588"/>
          <w:tab w:val="left" w:pos="1985"/>
        </w:tabs>
        <w:overflowPunct/>
        <w:autoSpaceDE/>
        <w:autoSpaceDN/>
        <w:adjustRightInd/>
        <w:spacing w:before="0"/>
        <w:ind w:left="18" w:hanging="18"/>
        <w:jc w:val="both"/>
        <w:textAlignment w:val="auto"/>
        <w:rPr>
          <w:szCs w:val="24"/>
          <w:lang w:eastAsia="en-AU"/>
        </w:rPr>
      </w:pPr>
    </w:p>
    <w:p w:rsidR="009D4AF6" w:rsidRPr="005C66B6" w:rsidRDefault="009D4AF6" w:rsidP="009D4AF6">
      <w:pPr>
        <w:pStyle w:val="ListParagraph"/>
        <w:numPr>
          <w:ilvl w:val="0"/>
          <w:numId w:val="42"/>
        </w:numPr>
        <w:tabs>
          <w:tab w:val="clear" w:pos="1134"/>
          <w:tab w:val="clear" w:pos="1871"/>
          <w:tab w:val="clear" w:pos="2268"/>
          <w:tab w:val="left" w:pos="720"/>
          <w:tab w:val="left" w:pos="794"/>
          <w:tab w:val="left" w:pos="1588"/>
          <w:tab w:val="left" w:pos="1985"/>
        </w:tabs>
        <w:overflowPunct/>
        <w:autoSpaceDE/>
        <w:autoSpaceDN/>
        <w:adjustRightInd/>
        <w:spacing w:before="0"/>
        <w:ind w:left="18" w:hanging="18"/>
        <w:jc w:val="both"/>
        <w:textAlignment w:val="auto"/>
        <w:rPr>
          <w:szCs w:val="24"/>
          <w:lang w:eastAsia="en-AU"/>
        </w:rPr>
      </w:pPr>
      <w:r w:rsidRPr="005C66B6">
        <w:rPr>
          <w:szCs w:val="24"/>
          <w:lang w:eastAsia="en-AU"/>
        </w:rPr>
        <w:t>Que las pequeñas y medianas empresas (PYME), las microempresas y negocios locales, las nuevas empresas y los emprendedores son fundamentales para garantizar el crecimiento económico sostenible e integrador, tanto en los países desarrollados como en las economías incipientes;</w:t>
      </w:r>
    </w:p>
    <w:p w:rsidR="009D4AF6" w:rsidRPr="005C66B6" w:rsidRDefault="009D4AF6" w:rsidP="009D4AF6">
      <w:pPr>
        <w:tabs>
          <w:tab w:val="clear" w:pos="1134"/>
          <w:tab w:val="clear" w:pos="1871"/>
          <w:tab w:val="clear" w:pos="2268"/>
          <w:tab w:val="left" w:pos="794"/>
          <w:tab w:val="left" w:pos="1191"/>
          <w:tab w:val="left" w:pos="1588"/>
          <w:tab w:val="left" w:pos="1985"/>
        </w:tabs>
        <w:overflowPunct/>
        <w:autoSpaceDE/>
        <w:autoSpaceDN/>
        <w:adjustRightInd/>
        <w:spacing w:before="0"/>
        <w:ind w:left="360"/>
        <w:jc w:val="both"/>
        <w:textAlignment w:val="auto"/>
        <w:rPr>
          <w:szCs w:val="24"/>
          <w:lang w:eastAsia="en-AU"/>
        </w:rPr>
      </w:pPr>
    </w:p>
    <w:p w:rsidR="009D4AF6" w:rsidRPr="005C66B6" w:rsidRDefault="009D4AF6" w:rsidP="009D4AF6">
      <w:pPr>
        <w:pStyle w:val="ListParagraph"/>
        <w:numPr>
          <w:ilvl w:val="0"/>
          <w:numId w:val="42"/>
        </w:numPr>
        <w:tabs>
          <w:tab w:val="clear" w:pos="1134"/>
          <w:tab w:val="clear" w:pos="1871"/>
          <w:tab w:val="clear" w:pos="2268"/>
          <w:tab w:val="left" w:pos="720"/>
          <w:tab w:val="left" w:pos="794"/>
          <w:tab w:val="left" w:pos="1588"/>
          <w:tab w:val="left" w:pos="1985"/>
        </w:tabs>
        <w:overflowPunct/>
        <w:autoSpaceDE/>
        <w:autoSpaceDN/>
        <w:adjustRightInd/>
        <w:spacing w:before="0"/>
        <w:ind w:left="18" w:hanging="18"/>
        <w:jc w:val="both"/>
        <w:textAlignment w:val="auto"/>
        <w:rPr>
          <w:szCs w:val="24"/>
          <w:lang w:eastAsia="en-AU"/>
        </w:rPr>
      </w:pPr>
      <w:r w:rsidRPr="005C66B6">
        <w:rPr>
          <w:szCs w:val="24"/>
          <w:lang w:eastAsia="en-AU"/>
        </w:rPr>
        <w:t>Que las pequeñas y medianas empresas, son actores fundamentales de los piases en desarrollo, constituyendo un porcentaje muy relevante de su sector privado y favoreciendo el crecimiento económico y el desarrollo tecnológico de los mismos;</w:t>
      </w:r>
    </w:p>
    <w:p w:rsidR="009D4AF6" w:rsidRPr="005C66B6" w:rsidRDefault="009D4AF6" w:rsidP="009D4AF6">
      <w:pPr>
        <w:tabs>
          <w:tab w:val="clear" w:pos="1134"/>
          <w:tab w:val="clear" w:pos="1871"/>
          <w:tab w:val="clear" w:pos="2268"/>
          <w:tab w:val="left" w:pos="794"/>
          <w:tab w:val="left" w:pos="1191"/>
          <w:tab w:val="left" w:pos="1588"/>
          <w:tab w:val="left" w:pos="1985"/>
        </w:tabs>
        <w:overflowPunct/>
        <w:autoSpaceDE/>
        <w:autoSpaceDN/>
        <w:adjustRightInd/>
        <w:spacing w:before="0"/>
        <w:ind w:left="360"/>
        <w:jc w:val="both"/>
        <w:textAlignment w:val="auto"/>
        <w:rPr>
          <w:szCs w:val="24"/>
          <w:lang w:eastAsia="en-AU"/>
        </w:rPr>
      </w:pP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eastAsia="en-AU"/>
        </w:rPr>
      </w:pPr>
      <w:r w:rsidRPr="005C66B6">
        <w:rPr>
          <w:szCs w:val="24"/>
          <w:lang w:eastAsia="en-AU"/>
        </w:rPr>
        <w:t>4</w:t>
      </w:r>
      <w:r w:rsidRPr="005C66B6">
        <w:rPr>
          <w:szCs w:val="24"/>
          <w:lang w:eastAsia="en-AU"/>
        </w:rPr>
        <w:tab/>
        <w:t xml:space="preserve">Que las PYMES podrían contribuir a aumentar la participación de los países en desarrollo en el proceso de normalización del UIT-T, además de contribuir a difundir información sobre las actividades de la Unión en los ámbitos relacionados con las telecomunicaciones/TIC de todo el mundo; </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tabs>
          <w:tab w:val="clear" w:pos="1134"/>
          <w:tab w:val="clear" w:pos="1871"/>
          <w:tab w:val="clear" w:pos="2268"/>
        </w:tabs>
        <w:overflowPunct/>
        <w:autoSpaceDE/>
        <w:autoSpaceDN/>
        <w:adjustRightInd/>
        <w:spacing w:before="0"/>
        <w:ind w:left="720"/>
        <w:jc w:val="both"/>
        <w:textAlignment w:val="auto"/>
        <w:rPr>
          <w:i/>
          <w:szCs w:val="24"/>
          <w:lang w:val="es-AR"/>
        </w:rPr>
      </w:pPr>
      <w:proofErr w:type="gramStart"/>
      <w:r w:rsidRPr="005C66B6">
        <w:rPr>
          <w:i/>
          <w:szCs w:val="24"/>
          <w:lang w:val="es-AR"/>
        </w:rPr>
        <w:t>resuelve</w:t>
      </w:r>
      <w:proofErr w:type="gramEnd"/>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pStyle w:val="ListParagraph"/>
        <w:numPr>
          <w:ilvl w:val="0"/>
          <w:numId w:val="43"/>
        </w:numPr>
        <w:tabs>
          <w:tab w:val="clear" w:pos="1134"/>
          <w:tab w:val="clear" w:pos="1871"/>
          <w:tab w:val="clear" w:pos="2268"/>
          <w:tab w:val="left" w:pos="0"/>
          <w:tab w:val="left" w:pos="720"/>
          <w:tab w:val="left" w:pos="1588"/>
          <w:tab w:val="left" w:pos="1985"/>
        </w:tabs>
        <w:overflowPunct/>
        <w:autoSpaceDE/>
        <w:autoSpaceDN/>
        <w:adjustRightInd/>
        <w:spacing w:before="0"/>
        <w:ind w:left="0" w:firstLine="0"/>
        <w:jc w:val="both"/>
        <w:textAlignment w:val="auto"/>
        <w:rPr>
          <w:szCs w:val="24"/>
        </w:rPr>
      </w:pPr>
      <w:r w:rsidRPr="005C66B6">
        <w:rPr>
          <w:szCs w:val="24"/>
        </w:rPr>
        <w:t>establecer un periodo de prueba para la participación de Pequeñas y Medianas Empresas (PYMES)  en las Comisiones y/o Cuestiones de Estudio del UIT-T a fin de evaluar el posible beneficio para los trabajos de la Unión, y en particular del Sector de Normalización de las Telecomunicaciones;</w:t>
      </w:r>
    </w:p>
    <w:p w:rsidR="009D4AF6" w:rsidRPr="005C66B6" w:rsidRDefault="009D4AF6" w:rsidP="009D4AF6">
      <w:pPr>
        <w:tabs>
          <w:tab w:val="clear" w:pos="1134"/>
          <w:tab w:val="clear" w:pos="1871"/>
          <w:tab w:val="clear" w:pos="2268"/>
          <w:tab w:val="left" w:pos="0"/>
          <w:tab w:val="left" w:pos="720"/>
          <w:tab w:val="left" w:pos="1588"/>
          <w:tab w:val="left" w:pos="1985"/>
        </w:tabs>
        <w:overflowPunct/>
        <w:autoSpaceDE/>
        <w:autoSpaceDN/>
        <w:adjustRightInd/>
        <w:spacing w:before="0"/>
        <w:ind w:left="360"/>
        <w:jc w:val="both"/>
        <w:textAlignment w:val="auto"/>
        <w:rPr>
          <w:szCs w:val="24"/>
        </w:rPr>
      </w:pPr>
    </w:p>
    <w:p w:rsidR="009D4AF6" w:rsidRPr="005C66B6" w:rsidRDefault="009D4AF6" w:rsidP="009D4AF6">
      <w:pPr>
        <w:tabs>
          <w:tab w:val="clear" w:pos="1134"/>
          <w:tab w:val="clear" w:pos="1871"/>
          <w:tab w:val="clear" w:pos="2268"/>
          <w:tab w:val="left" w:pos="0"/>
          <w:tab w:val="left" w:pos="720"/>
          <w:tab w:val="left" w:pos="1588"/>
          <w:tab w:val="left" w:pos="1985"/>
        </w:tabs>
        <w:overflowPunct/>
        <w:autoSpaceDE/>
        <w:autoSpaceDN/>
        <w:adjustRightInd/>
        <w:spacing w:before="0"/>
        <w:contextualSpacing/>
        <w:jc w:val="both"/>
        <w:textAlignment w:val="auto"/>
        <w:rPr>
          <w:szCs w:val="24"/>
        </w:rPr>
      </w:pPr>
      <w:r w:rsidRPr="005C66B6">
        <w:rPr>
          <w:szCs w:val="24"/>
        </w:rPr>
        <w:lastRenderedPageBreak/>
        <w:t>2</w:t>
      </w:r>
      <w:r w:rsidRPr="005C66B6">
        <w:rPr>
          <w:szCs w:val="24"/>
        </w:rPr>
        <w:tab/>
        <w:t>solicitar al GANT que examine la necesidad de otras medidas y/o disposiciones adicionales para facilitar la participación de las pequeñas y medianas empresas, a fin de aprovechar sus conocimientos técnicos, y que presente un informe de los resultados, a través del Director de la Oficina de Normalización de las Telecomunicaciones, al Consejo de la UIT y a la próxima AMNT en 2020;</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tabs>
          <w:tab w:val="clear" w:pos="1134"/>
          <w:tab w:val="clear" w:pos="1871"/>
          <w:tab w:val="clear" w:pos="2268"/>
        </w:tabs>
        <w:overflowPunct/>
        <w:autoSpaceDE/>
        <w:autoSpaceDN/>
        <w:adjustRightInd/>
        <w:spacing w:before="0"/>
        <w:ind w:left="720"/>
        <w:jc w:val="both"/>
        <w:textAlignment w:val="auto"/>
        <w:rPr>
          <w:i/>
          <w:szCs w:val="24"/>
          <w:lang w:val="es-AR"/>
        </w:rPr>
      </w:pPr>
      <w:proofErr w:type="gramStart"/>
      <w:r w:rsidRPr="005C66B6">
        <w:rPr>
          <w:i/>
          <w:szCs w:val="24"/>
          <w:lang w:val="es-AR"/>
        </w:rPr>
        <w:t>encarga</w:t>
      </w:r>
      <w:proofErr w:type="gramEnd"/>
      <w:r w:rsidRPr="005C66B6">
        <w:rPr>
          <w:i/>
          <w:szCs w:val="24"/>
          <w:lang w:val="es-AR"/>
        </w:rPr>
        <w:t xml:space="preserve"> al Director de la Oficina de Normalización de las Telecomunicaciones</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lang w:val="es-AR"/>
        </w:rPr>
      </w:pPr>
    </w:p>
    <w:p w:rsidR="009D4AF6" w:rsidRPr="005C66B6" w:rsidRDefault="009D4AF6" w:rsidP="009D4AF6">
      <w:pPr>
        <w:pStyle w:val="ListParagraph"/>
        <w:numPr>
          <w:ilvl w:val="0"/>
          <w:numId w:val="44"/>
        </w:numPr>
        <w:tabs>
          <w:tab w:val="clear" w:pos="1134"/>
          <w:tab w:val="clear" w:pos="1871"/>
          <w:tab w:val="clear" w:pos="2268"/>
          <w:tab w:val="left" w:pos="0"/>
          <w:tab w:val="left" w:pos="720"/>
          <w:tab w:val="left" w:pos="1588"/>
          <w:tab w:val="left" w:pos="1985"/>
        </w:tabs>
        <w:overflowPunct/>
        <w:autoSpaceDE/>
        <w:autoSpaceDN/>
        <w:adjustRightInd/>
        <w:spacing w:before="0"/>
        <w:ind w:left="0" w:firstLine="0"/>
        <w:jc w:val="both"/>
        <w:textAlignment w:val="auto"/>
        <w:rPr>
          <w:szCs w:val="24"/>
          <w:lang w:eastAsia="en-AU"/>
        </w:rPr>
      </w:pPr>
      <w:r w:rsidRPr="005C66B6">
        <w:rPr>
          <w:szCs w:val="24"/>
          <w:lang w:eastAsia="en-AU"/>
        </w:rPr>
        <w:t>la tarea de explorar y recomendar, basándose en parte en el asesoramiento del GANT, la Comisión y/o Cuestión de Estudio en la cual iniciar el período de prueba;</w:t>
      </w:r>
    </w:p>
    <w:p w:rsidR="009D4AF6" w:rsidRPr="005C66B6" w:rsidRDefault="009D4AF6" w:rsidP="009D4AF6">
      <w:pPr>
        <w:tabs>
          <w:tab w:val="clear" w:pos="1134"/>
          <w:tab w:val="clear" w:pos="1871"/>
          <w:tab w:val="clear" w:pos="2268"/>
          <w:tab w:val="left" w:pos="0"/>
          <w:tab w:val="left" w:pos="720"/>
          <w:tab w:val="left" w:pos="1588"/>
          <w:tab w:val="left" w:pos="1985"/>
        </w:tabs>
        <w:overflowPunct/>
        <w:autoSpaceDE/>
        <w:autoSpaceDN/>
        <w:adjustRightInd/>
        <w:spacing w:before="0"/>
        <w:jc w:val="both"/>
        <w:textAlignment w:val="auto"/>
        <w:rPr>
          <w:szCs w:val="24"/>
          <w:lang w:eastAsia="en-AU"/>
        </w:rPr>
      </w:pPr>
    </w:p>
    <w:p w:rsidR="009D4AF6" w:rsidRPr="005C66B6" w:rsidRDefault="009D4AF6" w:rsidP="009D4AF6">
      <w:pPr>
        <w:pStyle w:val="ListParagraph"/>
        <w:numPr>
          <w:ilvl w:val="0"/>
          <w:numId w:val="44"/>
        </w:numPr>
        <w:tabs>
          <w:tab w:val="clear" w:pos="1134"/>
          <w:tab w:val="clear" w:pos="1871"/>
          <w:tab w:val="clear" w:pos="2268"/>
          <w:tab w:val="left" w:pos="0"/>
          <w:tab w:val="left" w:pos="720"/>
          <w:tab w:val="left" w:pos="1588"/>
          <w:tab w:val="left" w:pos="1985"/>
        </w:tabs>
        <w:overflowPunct/>
        <w:autoSpaceDE/>
        <w:autoSpaceDN/>
        <w:adjustRightInd/>
        <w:spacing w:before="0"/>
        <w:ind w:left="0" w:firstLine="0"/>
        <w:jc w:val="both"/>
        <w:textAlignment w:val="auto"/>
        <w:rPr>
          <w:szCs w:val="24"/>
          <w:lang w:eastAsia="en-AU"/>
        </w:rPr>
      </w:pPr>
      <w:r w:rsidRPr="005C66B6">
        <w:rPr>
          <w:szCs w:val="24"/>
          <w:lang w:eastAsia="en-AU"/>
        </w:rPr>
        <w:t>que mantenga informado al Consejo de la UIT de los avances y resultados de la prueba;</w:t>
      </w:r>
    </w:p>
    <w:p w:rsidR="009D4AF6" w:rsidRPr="005C66B6" w:rsidRDefault="009D4AF6" w:rsidP="009D4AF6">
      <w:pPr>
        <w:tabs>
          <w:tab w:val="clear" w:pos="1134"/>
          <w:tab w:val="clear" w:pos="1871"/>
          <w:tab w:val="clear" w:pos="2268"/>
          <w:tab w:val="left" w:pos="0"/>
          <w:tab w:val="left" w:pos="720"/>
          <w:tab w:val="left" w:pos="1588"/>
          <w:tab w:val="left" w:pos="1985"/>
        </w:tabs>
        <w:overflowPunct/>
        <w:autoSpaceDE/>
        <w:autoSpaceDN/>
        <w:adjustRightInd/>
        <w:spacing w:before="0"/>
        <w:ind w:left="360"/>
        <w:jc w:val="both"/>
        <w:textAlignment w:val="auto"/>
        <w:rPr>
          <w:szCs w:val="24"/>
          <w:lang w:eastAsia="en-AU"/>
        </w:rPr>
      </w:pPr>
    </w:p>
    <w:p w:rsidR="009D4AF6" w:rsidRPr="005C66B6" w:rsidRDefault="009D4AF6" w:rsidP="009D4AF6">
      <w:pPr>
        <w:tabs>
          <w:tab w:val="clear" w:pos="1134"/>
          <w:tab w:val="clear" w:pos="1871"/>
          <w:tab w:val="clear" w:pos="2268"/>
          <w:tab w:val="left" w:pos="0"/>
          <w:tab w:val="left" w:pos="720"/>
          <w:tab w:val="left" w:pos="1588"/>
          <w:tab w:val="left" w:pos="1985"/>
        </w:tabs>
        <w:overflowPunct/>
        <w:autoSpaceDE/>
        <w:autoSpaceDN/>
        <w:adjustRightInd/>
        <w:spacing w:before="0"/>
        <w:contextualSpacing/>
        <w:jc w:val="both"/>
        <w:textAlignment w:val="auto"/>
        <w:rPr>
          <w:szCs w:val="24"/>
          <w:lang w:eastAsia="en-AU"/>
        </w:rPr>
      </w:pPr>
      <w:r w:rsidRPr="005C66B6">
        <w:rPr>
          <w:szCs w:val="24"/>
        </w:rPr>
        <w:t>3</w:t>
      </w:r>
      <w:r w:rsidRPr="005C66B6">
        <w:rPr>
          <w:szCs w:val="24"/>
        </w:rPr>
        <w:tab/>
        <w:t>que colabore con ITU TELECOM y su Plataforma PYME, para dar a conocer el valor de la participación de las PYMES en el UIT-T,</w:t>
      </w:r>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rPr>
      </w:pPr>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rPr>
      </w:pPr>
      <w:proofErr w:type="gramStart"/>
      <w:r w:rsidRPr="005C66B6">
        <w:rPr>
          <w:i/>
          <w:szCs w:val="24"/>
        </w:rPr>
        <w:t>invita</w:t>
      </w:r>
      <w:proofErr w:type="gramEnd"/>
      <w:r w:rsidRPr="005C66B6">
        <w:rPr>
          <w:i/>
          <w:szCs w:val="24"/>
        </w:rPr>
        <w:t xml:space="preserve"> al Consejo</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rPr>
      </w:pPr>
    </w:p>
    <w:p w:rsidR="009D4AF6" w:rsidRPr="005C66B6" w:rsidRDefault="009D4AF6" w:rsidP="009D4AF6">
      <w:pPr>
        <w:tabs>
          <w:tab w:val="clear" w:pos="1134"/>
          <w:tab w:val="clear" w:pos="1871"/>
          <w:tab w:val="clear" w:pos="2268"/>
        </w:tabs>
        <w:overflowPunct/>
        <w:autoSpaceDE/>
        <w:autoSpaceDN/>
        <w:adjustRightInd/>
        <w:spacing w:before="0"/>
        <w:ind w:firstLine="708"/>
        <w:jc w:val="both"/>
        <w:textAlignment w:val="auto"/>
        <w:rPr>
          <w:szCs w:val="24"/>
          <w:lang w:val="es-AR"/>
        </w:rPr>
      </w:pPr>
      <w:proofErr w:type="gramStart"/>
      <w:r w:rsidRPr="005C66B6">
        <w:rPr>
          <w:szCs w:val="24"/>
          <w:lang w:val="es-AR"/>
        </w:rPr>
        <w:t>a</w:t>
      </w:r>
      <w:proofErr w:type="gramEnd"/>
      <w:r w:rsidRPr="005C66B6">
        <w:rPr>
          <w:szCs w:val="24"/>
          <w:lang w:val="es-AR"/>
        </w:rPr>
        <w:t xml:space="preserve"> que considere, al presentar su Informe a la próxima Conferencia de Plenipotenciarios de 2018, el aporte positivo a las diversas actividades del UIT-T realizado por las pequeñas y medianas empresas, y recomiende continuar promoviendo y ampliando su participación en la UIT,</w:t>
      </w:r>
    </w:p>
    <w:p w:rsidR="009D4AF6" w:rsidRPr="005C66B6" w:rsidRDefault="009D4AF6" w:rsidP="009D4AF6">
      <w:pPr>
        <w:keepNext/>
        <w:keepLines/>
        <w:tabs>
          <w:tab w:val="clear" w:pos="1134"/>
          <w:tab w:val="clear" w:pos="1871"/>
          <w:tab w:val="clear" w:pos="2268"/>
          <w:tab w:val="left" w:pos="794"/>
          <w:tab w:val="left" w:pos="1191"/>
          <w:tab w:val="left" w:pos="1588"/>
          <w:tab w:val="left" w:pos="1985"/>
        </w:tabs>
        <w:spacing w:before="160"/>
        <w:ind w:left="794"/>
        <w:jc w:val="both"/>
        <w:rPr>
          <w:i/>
          <w:szCs w:val="24"/>
        </w:rPr>
      </w:pPr>
      <w:proofErr w:type="gramStart"/>
      <w:r w:rsidRPr="005C66B6">
        <w:rPr>
          <w:i/>
          <w:szCs w:val="24"/>
        </w:rPr>
        <w:t>invita</w:t>
      </w:r>
      <w:proofErr w:type="gramEnd"/>
      <w:r w:rsidRPr="005C66B6">
        <w:rPr>
          <w:i/>
          <w:szCs w:val="24"/>
        </w:rPr>
        <w:t xml:space="preserve"> a los Miembros de la UIT</w:t>
      </w:r>
    </w:p>
    <w:p w:rsidR="009D4AF6" w:rsidRPr="005C66B6" w:rsidRDefault="009D4AF6" w:rsidP="009D4AF6">
      <w:pPr>
        <w:tabs>
          <w:tab w:val="clear" w:pos="1134"/>
          <w:tab w:val="clear" w:pos="1871"/>
          <w:tab w:val="clear" w:pos="2268"/>
        </w:tabs>
        <w:overflowPunct/>
        <w:autoSpaceDE/>
        <w:autoSpaceDN/>
        <w:adjustRightInd/>
        <w:spacing w:before="0"/>
        <w:jc w:val="both"/>
        <w:textAlignment w:val="auto"/>
        <w:rPr>
          <w:szCs w:val="24"/>
        </w:rPr>
      </w:pPr>
    </w:p>
    <w:p w:rsidR="009D4AF6" w:rsidRPr="005C66B6" w:rsidRDefault="009D4AF6" w:rsidP="009D4AF6">
      <w:pPr>
        <w:tabs>
          <w:tab w:val="clear" w:pos="1134"/>
          <w:tab w:val="clear" w:pos="1871"/>
          <w:tab w:val="clear" w:pos="2268"/>
        </w:tabs>
        <w:overflowPunct/>
        <w:autoSpaceDE/>
        <w:autoSpaceDN/>
        <w:adjustRightInd/>
        <w:spacing w:before="0"/>
        <w:ind w:firstLine="708"/>
        <w:jc w:val="both"/>
        <w:textAlignment w:val="auto"/>
        <w:rPr>
          <w:szCs w:val="24"/>
          <w:lang w:val="es-AR"/>
        </w:rPr>
      </w:pPr>
      <w:proofErr w:type="gramStart"/>
      <w:r w:rsidRPr="005C66B6">
        <w:rPr>
          <w:szCs w:val="24"/>
          <w:lang w:val="es-AR"/>
        </w:rPr>
        <w:t>a</w:t>
      </w:r>
      <w:proofErr w:type="gramEnd"/>
      <w:r w:rsidRPr="005C66B6">
        <w:rPr>
          <w:szCs w:val="24"/>
          <w:lang w:val="es-AR"/>
        </w:rPr>
        <w:t xml:space="preserve"> poner en conocimiento de sus pequeñas y medianas empresas la presente Resolución y a respaldarlas y alentarlas su participación en las actividades del UIT-T.</w:t>
      </w:r>
    </w:p>
    <w:p w:rsidR="009D4AF6" w:rsidRDefault="009D4AF6" w:rsidP="009D4AF6">
      <w:pPr>
        <w:tabs>
          <w:tab w:val="clear" w:pos="1134"/>
          <w:tab w:val="clear" w:pos="1871"/>
          <w:tab w:val="clear" w:pos="2268"/>
        </w:tabs>
        <w:overflowPunct/>
        <w:autoSpaceDE/>
        <w:autoSpaceDN/>
        <w:adjustRightInd/>
        <w:spacing w:before="0"/>
        <w:jc w:val="both"/>
        <w:textAlignment w:val="auto"/>
        <w:rPr>
          <w:sz w:val="22"/>
          <w:szCs w:val="22"/>
          <w:lang w:eastAsia="es-ES"/>
        </w:rPr>
      </w:pPr>
    </w:p>
    <w:p w:rsidR="009D4AF6" w:rsidRPr="009D4AF6" w:rsidRDefault="009D4AF6" w:rsidP="009D4AF6">
      <w:pPr>
        <w:spacing w:before="280"/>
        <w:jc w:val="both"/>
        <w:rPr>
          <w:b/>
          <w:sz w:val="22"/>
          <w:szCs w:val="22"/>
          <w:lang w:val="es-AR"/>
        </w:rPr>
      </w:pPr>
      <w:bookmarkStart w:id="0" w:name="_GoBack"/>
      <w:bookmarkEnd w:id="0"/>
    </w:p>
    <w:p w:rsidR="00F31DAB" w:rsidRPr="009D4AF6" w:rsidRDefault="00F31DAB" w:rsidP="009D4AF6">
      <w:pPr>
        <w:tabs>
          <w:tab w:val="clear" w:pos="1134"/>
          <w:tab w:val="clear" w:pos="1871"/>
          <w:tab w:val="clear" w:pos="2268"/>
        </w:tabs>
        <w:overflowPunct/>
        <w:autoSpaceDE/>
        <w:autoSpaceDN/>
        <w:adjustRightInd/>
        <w:spacing w:before="0"/>
        <w:jc w:val="both"/>
        <w:textAlignment w:val="auto"/>
        <w:rPr>
          <w:b/>
          <w:sz w:val="22"/>
          <w:szCs w:val="22"/>
          <w:lang w:val="es-ES"/>
        </w:rPr>
      </w:pPr>
    </w:p>
    <w:sectPr w:rsidR="00F31DAB" w:rsidRPr="009D4AF6">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78" w:rsidRDefault="00336478">
      <w:r>
        <w:separator/>
      </w:r>
    </w:p>
  </w:endnote>
  <w:endnote w:type="continuationSeparator" w:id="0">
    <w:p w:rsidR="00336478" w:rsidRDefault="0033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ED780D">
      <w:rPr>
        <w:noProof/>
      </w:rPr>
      <w:t>14.09.16</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EF" w:rsidRPr="000414E0" w:rsidRDefault="007C1DEF" w:rsidP="007C1DEF">
    <w:pPr>
      <w:pStyle w:val="Footer"/>
      <w:rPr>
        <w:lang w:val="fr-CH"/>
      </w:rPr>
    </w:pPr>
    <w:r w:rsidRPr="000414E0">
      <w:rPr>
        <w:lang w:val="fr-CH"/>
      </w:rPr>
      <w:t>ITU-T\CONF-T\WTSA16\000\04</w:t>
    </w:r>
    <w:r>
      <w:rPr>
        <w:lang w:val="fr-CH"/>
      </w:rPr>
      <w:t>6ADD1</w:t>
    </w:r>
    <w:r w:rsidR="009D4AF6">
      <w:rPr>
        <w:lang w:val="fr-CH"/>
      </w:rPr>
      <w:t>8</w:t>
    </w:r>
    <w:r w:rsidRPr="000414E0">
      <w:rPr>
        <w:lang w:val="fr-CH"/>
      </w:rPr>
      <w:t>S.DOC</w:t>
    </w:r>
  </w:p>
  <w:p w:rsidR="0077084A" w:rsidRPr="007C1DEF" w:rsidRDefault="0077084A" w:rsidP="007C1DEF">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8F3576" w:rsidTr="0068006E">
      <w:trPr>
        <w:cantSplit/>
        <w:trHeight w:val="204"/>
      </w:trPr>
      <w:tc>
        <w:tcPr>
          <w:tcW w:w="1617" w:type="dxa"/>
          <w:tcBorders>
            <w:top w:val="single" w:sz="12" w:space="0" w:color="auto"/>
          </w:tcBorders>
        </w:tcPr>
        <w:p w:rsidR="008F3576" w:rsidRDefault="008F3576" w:rsidP="008F3576">
          <w:pPr>
            <w:rPr>
              <w:b/>
              <w:bCs/>
            </w:rPr>
          </w:pPr>
          <w:bookmarkStart w:id="1" w:name="dcontact"/>
          <w:r>
            <w:rPr>
              <w:b/>
              <w:bCs/>
            </w:rPr>
            <w:t>Contacto:</w:t>
          </w:r>
        </w:p>
      </w:tc>
      <w:tc>
        <w:tcPr>
          <w:tcW w:w="4394" w:type="dxa"/>
          <w:tcBorders>
            <w:top w:val="single" w:sz="12" w:space="0" w:color="auto"/>
          </w:tcBorders>
        </w:tcPr>
        <w:p w:rsidR="00817F74" w:rsidRDefault="00817F74" w:rsidP="00817F74">
          <w:r>
            <w:t>Oscar León</w:t>
          </w:r>
        </w:p>
        <w:p w:rsidR="008F3576" w:rsidRDefault="00817F74" w:rsidP="008F3576">
          <w:pPr>
            <w:spacing w:before="0"/>
          </w:pPr>
          <w:r>
            <w:t>CITEL</w:t>
          </w:r>
        </w:p>
        <w:p w:rsidR="008F3576" w:rsidRDefault="00817F74" w:rsidP="008F3576">
          <w:pPr>
            <w:spacing w:before="0"/>
          </w:pPr>
          <w:r>
            <w:t>Washington, DC, USA</w:t>
          </w:r>
        </w:p>
      </w:tc>
      <w:tc>
        <w:tcPr>
          <w:tcW w:w="3912" w:type="dxa"/>
          <w:tcBorders>
            <w:top w:val="single" w:sz="12" w:space="0" w:color="auto"/>
          </w:tcBorders>
        </w:tcPr>
        <w:p w:rsidR="008F3576" w:rsidRDefault="008F3576" w:rsidP="008F3576">
          <w:r>
            <w:t>Tel:</w:t>
          </w:r>
          <w:r w:rsidR="00817F74">
            <w:t xml:space="preserve"> + 1 (202) 370-4713</w:t>
          </w:r>
        </w:p>
        <w:p w:rsidR="008F3576" w:rsidRDefault="008F3576" w:rsidP="008F3576">
          <w:pPr>
            <w:spacing w:before="0"/>
          </w:pPr>
          <w:r>
            <w:t>Fax:</w:t>
          </w:r>
          <w:r w:rsidR="00817F74">
            <w:t xml:space="preserve"> + (202) 458-6854</w:t>
          </w:r>
        </w:p>
        <w:p w:rsidR="008F3576" w:rsidRDefault="008F3576" w:rsidP="008F3576">
          <w:pPr>
            <w:spacing w:before="0"/>
          </w:pPr>
          <w:r>
            <w:t>Correo:</w:t>
          </w:r>
          <w:r w:rsidR="00817F74">
            <w:t xml:space="preserve"> citel@oas.org</w:t>
          </w:r>
        </w:p>
      </w:tc>
    </w:tr>
    <w:bookmarkEnd w:id="1"/>
  </w:tbl>
  <w:p w:rsidR="00E83D45" w:rsidRPr="008F3576" w:rsidRDefault="00E83D45" w:rsidP="008F3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78" w:rsidRDefault="00336478">
      <w:r>
        <w:rPr>
          <w:b/>
        </w:rPr>
        <w:t>_______________</w:t>
      </w:r>
    </w:p>
  </w:footnote>
  <w:footnote w:type="continuationSeparator" w:id="0">
    <w:p w:rsidR="00336478" w:rsidRDefault="00336478">
      <w:r>
        <w:continuationSeparator/>
      </w:r>
    </w:p>
  </w:footnote>
  <w:footnote w:id="1">
    <w:p w:rsidR="009D4AF6" w:rsidRPr="009D4AF6" w:rsidRDefault="009D4AF6" w:rsidP="009D4AF6">
      <w:pPr>
        <w:pStyle w:val="FootnoteText"/>
        <w:rPr>
          <w:sz w:val="22"/>
          <w:szCs w:val="22"/>
          <w:lang w:val="es-US"/>
        </w:rPr>
      </w:pPr>
      <w:r w:rsidRPr="009D4AF6">
        <w:rPr>
          <w:rStyle w:val="FootnoteReference"/>
          <w:sz w:val="22"/>
          <w:szCs w:val="22"/>
        </w:rPr>
        <w:footnoteRef/>
      </w:r>
      <w:r w:rsidRPr="009D4AF6">
        <w:rPr>
          <w:sz w:val="22"/>
          <w:szCs w:val="22"/>
        </w:rPr>
        <w:t xml:space="preserve"> </w:t>
      </w:r>
      <w:r w:rsidRPr="009D4AF6">
        <w:rPr>
          <w:sz w:val="22"/>
          <w:szCs w:val="22"/>
          <w:lang w:val="es-ES"/>
        </w:rPr>
        <w:t xml:space="preserve">Abarca innovadores, emprendedores, </w:t>
      </w:r>
      <w:proofErr w:type="spellStart"/>
      <w:r w:rsidRPr="009D4AF6">
        <w:rPr>
          <w:sz w:val="22"/>
          <w:szCs w:val="22"/>
          <w:lang w:val="es-ES"/>
        </w:rPr>
        <w:t>start</w:t>
      </w:r>
      <w:proofErr w:type="spellEnd"/>
      <w:r w:rsidRPr="009D4AF6">
        <w:rPr>
          <w:sz w:val="22"/>
          <w:szCs w:val="22"/>
          <w:lang w:val="es-ES"/>
        </w:rPr>
        <w:t>-ups, negocios locales, micro, pequeñas y medianas empresas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45" w:rsidRDefault="00E83D45" w:rsidP="00E83D45">
    <w:pPr>
      <w:pStyle w:val="Header"/>
    </w:pPr>
    <w:r>
      <w:fldChar w:fldCharType="begin"/>
    </w:r>
    <w:r>
      <w:instrText xml:space="preserve"> PAGE  \* MERGEFORMAT </w:instrText>
    </w:r>
    <w:r>
      <w:fldChar w:fldCharType="separate"/>
    </w:r>
    <w:r w:rsidR="005C66B6">
      <w:rPr>
        <w:noProof/>
      </w:rPr>
      <w:t>2</w:t>
    </w:r>
    <w:r>
      <w:fldChar w:fldCharType="end"/>
    </w:r>
  </w:p>
  <w:p w:rsidR="007C1DEF" w:rsidRPr="00C72D5C" w:rsidRDefault="007C1DEF" w:rsidP="007C1DEF">
    <w:pPr>
      <w:pStyle w:val="Header"/>
    </w:pPr>
    <w:r w:rsidRPr="008F3576">
      <w:t>AMNT16/</w:t>
    </w:r>
    <w:r>
      <w:t>46 (Add.1</w:t>
    </w:r>
    <w:r w:rsidR="009D4AF6">
      <w:t>8</w:t>
    </w:r>
    <w:r>
      <w:t>)</w:t>
    </w:r>
    <w:r w:rsidRPr="008F3576">
      <w:t>-S</w:t>
    </w:r>
  </w:p>
  <w:p w:rsidR="00E83D45" w:rsidRPr="00C72D5C" w:rsidRDefault="00E83D45" w:rsidP="008F3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66C6D4"/>
    <w:lvl w:ilvl="0">
      <w:start w:val="1"/>
      <w:numFmt w:val="decimal"/>
      <w:lvlText w:val="%1."/>
      <w:lvlJc w:val="left"/>
      <w:pPr>
        <w:tabs>
          <w:tab w:val="num" w:pos="1492"/>
        </w:tabs>
        <w:ind w:left="1492" w:hanging="360"/>
      </w:pPr>
    </w:lvl>
  </w:abstractNum>
  <w:abstractNum w:abstractNumId="1">
    <w:nsid w:val="FFFFFF7D"/>
    <w:multiLevelType w:val="singleLevel"/>
    <w:tmpl w:val="4C70E95E"/>
    <w:lvl w:ilvl="0">
      <w:start w:val="1"/>
      <w:numFmt w:val="decimal"/>
      <w:lvlText w:val="%1."/>
      <w:lvlJc w:val="left"/>
      <w:pPr>
        <w:tabs>
          <w:tab w:val="num" w:pos="1209"/>
        </w:tabs>
        <w:ind w:left="1209" w:hanging="360"/>
      </w:pPr>
    </w:lvl>
  </w:abstractNum>
  <w:abstractNum w:abstractNumId="2">
    <w:nsid w:val="FFFFFF7E"/>
    <w:multiLevelType w:val="singleLevel"/>
    <w:tmpl w:val="731EE99C"/>
    <w:lvl w:ilvl="0">
      <w:start w:val="1"/>
      <w:numFmt w:val="decimal"/>
      <w:lvlText w:val="%1."/>
      <w:lvlJc w:val="left"/>
      <w:pPr>
        <w:tabs>
          <w:tab w:val="num" w:pos="926"/>
        </w:tabs>
        <w:ind w:left="926" w:hanging="360"/>
      </w:pPr>
    </w:lvl>
  </w:abstractNum>
  <w:abstractNum w:abstractNumId="3">
    <w:nsid w:val="FFFFFF7F"/>
    <w:multiLevelType w:val="singleLevel"/>
    <w:tmpl w:val="176A9A66"/>
    <w:lvl w:ilvl="0">
      <w:start w:val="1"/>
      <w:numFmt w:val="decimal"/>
      <w:lvlText w:val="%1."/>
      <w:lvlJc w:val="left"/>
      <w:pPr>
        <w:tabs>
          <w:tab w:val="num" w:pos="643"/>
        </w:tabs>
        <w:ind w:left="643" w:hanging="360"/>
      </w:pPr>
    </w:lvl>
  </w:abstractNum>
  <w:abstractNum w:abstractNumId="4">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2CD5F0"/>
    <w:lvl w:ilvl="0">
      <w:start w:val="1"/>
      <w:numFmt w:val="decimal"/>
      <w:lvlText w:val="%1."/>
      <w:lvlJc w:val="left"/>
      <w:pPr>
        <w:tabs>
          <w:tab w:val="num" w:pos="360"/>
        </w:tabs>
        <w:ind w:left="360" w:hanging="360"/>
      </w:pPr>
    </w:lvl>
  </w:abstractNum>
  <w:abstractNum w:abstractNumId="9">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1024562"/>
    <w:multiLevelType w:val="hybridMultilevel"/>
    <w:tmpl w:val="ED905590"/>
    <w:lvl w:ilvl="0" w:tplc="0409000F">
      <w:start w:val="1"/>
      <w:numFmt w:val="decimal"/>
      <w:lvlText w:val="%1."/>
      <w:lvlJc w:val="left"/>
      <w:pPr>
        <w:ind w:left="720" w:hanging="360"/>
      </w:pPr>
    </w:lvl>
    <w:lvl w:ilvl="1" w:tplc="DFD6CAA6">
      <w:start w:val="1"/>
      <w:numFmt w:val="lowerLetter"/>
      <w:lvlText w:val="%2)"/>
      <w:lvlJc w:val="left"/>
      <w:pPr>
        <w:ind w:left="1440" w:hanging="360"/>
      </w:pPr>
      <w:rPr>
        <w:rFonts w:ascii="Times New Roman" w:hAnsi="Times New Roman" w:hint="default"/>
        <w:i/>
      </w:r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036A3661"/>
    <w:multiLevelType w:val="hybridMultilevel"/>
    <w:tmpl w:val="CEA085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04A7A4D1"/>
    <w:multiLevelType w:val="singleLevel"/>
    <w:tmpl w:val="62696C98"/>
    <w:lvl w:ilvl="0">
      <w:start w:val="1"/>
      <w:numFmt w:val="lowerLetter"/>
      <w:lvlText w:val="%1)"/>
      <w:lvlJc w:val="left"/>
      <w:pPr>
        <w:tabs>
          <w:tab w:val="num" w:pos="792"/>
        </w:tabs>
        <w:ind w:left="72" w:firstLine="72"/>
      </w:pPr>
      <w:rPr>
        <w:snapToGrid/>
        <w:spacing w:val="-5"/>
        <w:w w:val="105"/>
        <w:sz w:val="22"/>
        <w:szCs w:val="22"/>
      </w:rPr>
    </w:lvl>
  </w:abstractNum>
  <w:abstractNum w:abstractNumId="14">
    <w:nsid w:val="04D60301"/>
    <w:multiLevelType w:val="singleLevel"/>
    <w:tmpl w:val="73D3F6CF"/>
    <w:lvl w:ilvl="0">
      <w:start w:val="1"/>
      <w:numFmt w:val="lowerLetter"/>
      <w:lvlText w:val="%1)"/>
      <w:lvlJc w:val="left"/>
      <w:pPr>
        <w:tabs>
          <w:tab w:val="num" w:pos="792"/>
        </w:tabs>
        <w:ind w:left="72" w:firstLine="72"/>
      </w:pPr>
      <w:rPr>
        <w:snapToGrid/>
        <w:spacing w:val="-4"/>
        <w:w w:val="105"/>
        <w:sz w:val="22"/>
        <w:szCs w:val="22"/>
      </w:rPr>
    </w:lvl>
  </w:abstractNum>
  <w:abstractNum w:abstractNumId="15">
    <w:nsid w:val="077012FD"/>
    <w:multiLevelType w:val="hybridMultilevel"/>
    <w:tmpl w:val="3AAC3CF6"/>
    <w:lvl w:ilvl="0" w:tplc="04090011">
      <w:start w:val="1"/>
      <w:numFmt w:val="decimal"/>
      <w:lvlText w:val="%1)"/>
      <w:lvlJc w:val="left"/>
      <w:pPr>
        <w:ind w:left="795" w:hanging="79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07DC3979"/>
    <w:multiLevelType w:val="hybridMultilevel"/>
    <w:tmpl w:val="1AB87E16"/>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nsid w:val="085D14E2"/>
    <w:multiLevelType w:val="hybridMultilevel"/>
    <w:tmpl w:val="E3E0A618"/>
    <w:lvl w:ilvl="0" w:tplc="A330E726">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177E6CC3"/>
    <w:multiLevelType w:val="hybridMultilevel"/>
    <w:tmpl w:val="A6C8BF30"/>
    <w:lvl w:ilvl="0" w:tplc="A968941E">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180B1890"/>
    <w:multiLevelType w:val="hybridMultilevel"/>
    <w:tmpl w:val="E43C4EC4"/>
    <w:lvl w:ilvl="0" w:tplc="A352EAD8">
      <w:start w:val="1"/>
      <w:numFmt w:val="lowerLetter"/>
      <w:lvlText w:val="%1)"/>
      <w:lvlJc w:val="left"/>
      <w:pPr>
        <w:ind w:left="720" w:hanging="360"/>
      </w:pPr>
      <w:rPr>
        <w:rFonts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nsid w:val="18CE5C1E"/>
    <w:multiLevelType w:val="hybridMultilevel"/>
    <w:tmpl w:val="7C8A574E"/>
    <w:lvl w:ilvl="0" w:tplc="04090011">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19F57135"/>
    <w:multiLevelType w:val="hybridMultilevel"/>
    <w:tmpl w:val="592EB810"/>
    <w:lvl w:ilvl="0" w:tplc="A968941E">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1C843C47"/>
    <w:multiLevelType w:val="hybridMultilevel"/>
    <w:tmpl w:val="5C581DD6"/>
    <w:lvl w:ilvl="0" w:tplc="A968941E">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24574B22"/>
    <w:multiLevelType w:val="hybridMultilevel"/>
    <w:tmpl w:val="56CA0394"/>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28E45B49"/>
    <w:multiLevelType w:val="hybridMultilevel"/>
    <w:tmpl w:val="7E200952"/>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D7F2B9A"/>
    <w:multiLevelType w:val="hybridMultilevel"/>
    <w:tmpl w:val="F7F037F2"/>
    <w:lvl w:ilvl="0" w:tplc="A968941E">
      <w:start w:val="1"/>
      <w:numFmt w:val="lowerLetter"/>
      <w:lvlText w:val="%1)"/>
      <w:lvlJc w:val="left"/>
      <w:pPr>
        <w:ind w:left="504" w:hanging="360"/>
      </w:pPr>
      <w:rPr>
        <w:rFonts w:hint="default"/>
        <w:i/>
      </w:rPr>
    </w:lvl>
    <w:lvl w:ilvl="1" w:tplc="040A0019" w:tentative="1">
      <w:start w:val="1"/>
      <w:numFmt w:val="lowerLetter"/>
      <w:lvlText w:val="%2."/>
      <w:lvlJc w:val="left"/>
      <w:pPr>
        <w:ind w:left="1224" w:hanging="360"/>
      </w:pPr>
    </w:lvl>
    <w:lvl w:ilvl="2" w:tplc="040A001B" w:tentative="1">
      <w:start w:val="1"/>
      <w:numFmt w:val="lowerRoman"/>
      <w:lvlText w:val="%3."/>
      <w:lvlJc w:val="right"/>
      <w:pPr>
        <w:ind w:left="1944" w:hanging="180"/>
      </w:pPr>
    </w:lvl>
    <w:lvl w:ilvl="3" w:tplc="040A000F" w:tentative="1">
      <w:start w:val="1"/>
      <w:numFmt w:val="decimal"/>
      <w:lvlText w:val="%4."/>
      <w:lvlJc w:val="left"/>
      <w:pPr>
        <w:ind w:left="2664" w:hanging="360"/>
      </w:pPr>
    </w:lvl>
    <w:lvl w:ilvl="4" w:tplc="040A0019" w:tentative="1">
      <w:start w:val="1"/>
      <w:numFmt w:val="lowerLetter"/>
      <w:lvlText w:val="%5."/>
      <w:lvlJc w:val="left"/>
      <w:pPr>
        <w:ind w:left="3384" w:hanging="360"/>
      </w:pPr>
    </w:lvl>
    <w:lvl w:ilvl="5" w:tplc="040A001B" w:tentative="1">
      <w:start w:val="1"/>
      <w:numFmt w:val="lowerRoman"/>
      <w:lvlText w:val="%6."/>
      <w:lvlJc w:val="right"/>
      <w:pPr>
        <w:ind w:left="4104" w:hanging="180"/>
      </w:pPr>
    </w:lvl>
    <w:lvl w:ilvl="6" w:tplc="040A000F" w:tentative="1">
      <w:start w:val="1"/>
      <w:numFmt w:val="decimal"/>
      <w:lvlText w:val="%7."/>
      <w:lvlJc w:val="left"/>
      <w:pPr>
        <w:ind w:left="4824" w:hanging="360"/>
      </w:pPr>
    </w:lvl>
    <w:lvl w:ilvl="7" w:tplc="040A0019" w:tentative="1">
      <w:start w:val="1"/>
      <w:numFmt w:val="lowerLetter"/>
      <w:lvlText w:val="%8."/>
      <w:lvlJc w:val="left"/>
      <w:pPr>
        <w:ind w:left="5544" w:hanging="360"/>
      </w:pPr>
    </w:lvl>
    <w:lvl w:ilvl="8" w:tplc="040A001B" w:tentative="1">
      <w:start w:val="1"/>
      <w:numFmt w:val="lowerRoman"/>
      <w:lvlText w:val="%9."/>
      <w:lvlJc w:val="right"/>
      <w:pPr>
        <w:ind w:left="6264" w:hanging="180"/>
      </w:pPr>
    </w:lvl>
  </w:abstractNum>
  <w:abstractNum w:abstractNumId="26">
    <w:nsid w:val="32FA6ED5"/>
    <w:multiLevelType w:val="hybridMultilevel"/>
    <w:tmpl w:val="85384166"/>
    <w:lvl w:ilvl="0" w:tplc="A968941E">
      <w:start w:val="1"/>
      <w:numFmt w:val="lowerLetter"/>
      <w:lvlText w:val="%1)"/>
      <w:lvlJc w:val="left"/>
      <w:pPr>
        <w:ind w:left="450" w:hanging="45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351B0294"/>
    <w:multiLevelType w:val="hybridMultilevel"/>
    <w:tmpl w:val="359AC2B8"/>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8">
    <w:nsid w:val="362A3423"/>
    <w:multiLevelType w:val="hybridMultilevel"/>
    <w:tmpl w:val="C13A740C"/>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nsid w:val="37F918F6"/>
    <w:multiLevelType w:val="hybridMultilevel"/>
    <w:tmpl w:val="ABA08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4124A3"/>
    <w:multiLevelType w:val="hybridMultilevel"/>
    <w:tmpl w:val="82767D68"/>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nsid w:val="43862EC7"/>
    <w:multiLevelType w:val="hybridMultilevel"/>
    <w:tmpl w:val="BBA2E6C4"/>
    <w:lvl w:ilvl="0" w:tplc="54BC4064">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E63F1"/>
    <w:multiLevelType w:val="hybridMultilevel"/>
    <w:tmpl w:val="D58AC0FE"/>
    <w:lvl w:ilvl="0" w:tplc="4AD09ECE">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4DB27DC0"/>
    <w:multiLevelType w:val="hybridMultilevel"/>
    <w:tmpl w:val="118A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6847FD"/>
    <w:multiLevelType w:val="hybridMultilevel"/>
    <w:tmpl w:val="F116800C"/>
    <w:lvl w:ilvl="0" w:tplc="C0EA5B7A">
      <w:start w:val="1"/>
      <w:numFmt w:val="decimal"/>
      <w:lvlText w:val="%1"/>
      <w:lvlJc w:val="left"/>
      <w:pPr>
        <w:ind w:left="1152" w:hanging="792"/>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591A0E05"/>
    <w:multiLevelType w:val="hybridMultilevel"/>
    <w:tmpl w:val="725CA122"/>
    <w:lvl w:ilvl="0" w:tplc="E72075CC">
      <w:start w:val="1"/>
      <w:numFmt w:val="lowerLetter"/>
      <w:lvlText w:val="%1)"/>
      <w:lvlJc w:val="left"/>
      <w:pPr>
        <w:ind w:left="1080" w:hanging="72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5A4E1E72"/>
    <w:multiLevelType w:val="hybridMultilevel"/>
    <w:tmpl w:val="41EC7BBC"/>
    <w:lvl w:ilvl="0" w:tplc="D188EBDE">
      <w:start w:val="1"/>
      <w:numFmt w:val="lowerLetter"/>
      <w:lvlText w:val="%1)"/>
      <w:lvlJc w:val="left"/>
      <w:pPr>
        <w:ind w:left="450" w:hanging="45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0961FF9"/>
    <w:multiLevelType w:val="hybridMultilevel"/>
    <w:tmpl w:val="2D5C8E8A"/>
    <w:lvl w:ilvl="0" w:tplc="DBD28300">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2BD2FAB"/>
    <w:multiLevelType w:val="hybridMultilevel"/>
    <w:tmpl w:val="DF847F4C"/>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9">
    <w:nsid w:val="635202A5"/>
    <w:multiLevelType w:val="hybridMultilevel"/>
    <w:tmpl w:val="335A842E"/>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nsid w:val="635D2175"/>
    <w:multiLevelType w:val="hybridMultilevel"/>
    <w:tmpl w:val="691842EE"/>
    <w:lvl w:ilvl="0" w:tplc="04090011">
      <w:start w:val="1"/>
      <w:numFmt w:val="decimal"/>
      <w:lvlText w:val="%1)"/>
      <w:lvlJc w:val="left"/>
      <w:pPr>
        <w:ind w:left="795" w:hanging="79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679474D7"/>
    <w:multiLevelType w:val="hybridMultilevel"/>
    <w:tmpl w:val="490A767C"/>
    <w:lvl w:ilvl="0" w:tplc="A968941E">
      <w:start w:val="1"/>
      <w:numFmt w:val="low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6F5D0BD1"/>
    <w:multiLevelType w:val="hybridMultilevel"/>
    <w:tmpl w:val="141604F6"/>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3">
    <w:nsid w:val="75587CD4"/>
    <w:multiLevelType w:val="hybridMultilevel"/>
    <w:tmpl w:val="35E4EA3A"/>
    <w:lvl w:ilvl="0" w:tplc="04090011">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3"/>
  </w:num>
  <w:num w:numId="13">
    <w:abstractNumId w:val="31"/>
  </w:num>
  <w:num w:numId="14">
    <w:abstractNumId w:val="29"/>
  </w:num>
  <w:num w:numId="15">
    <w:abstractNumId w:val="11"/>
  </w:num>
  <w:num w:numId="16">
    <w:abstractNumId w:val="21"/>
  </w:num>
  <w:num w:numId="17">
    <w:abstractNumId w:val="35"/>
  </w:num>
  <w:num w:numId="18">
    <w:abstractNumId w:val="42"/>
  </w:num>
  <w:num w:numId="19">
    <w:abstractNumId w:val="23"/>
  </w:num>
  <w:num w:numId="20">
    <w:abstractNumId w:val="16"/>
  </w:num>
  <w:num w:numId="21">
    <w:abstractNumId w:val="30"/>
  </w:num>
  <w:num w:numId="22">
    <w:abstractNumId w:val="38"/>
  </w:num>
  <w:num w:numId="23">
    <w:abstractNumId w:val="27"/>
  </w:num>
  <w:num w:numId="24">
    <w:abstractNumId w:val="43"/>
  </w:num>
  <w:num w:numId="25">
    <w:abstractNumId w:val="28"/>
  </w:num>
  <w:num w:numId="26">
    <w:abstractNumId w:val="17"/>
  </w:num>
  <w:num w:numId="27">
    <w:abstractNumId w:val="12"/>
  </w:num>
  <w:num w:numId="28">
    <w:abstractNumId w:val="13"/>
  </w:num>
  <w:num w:numId="29">
    <w:abstractNumId w:val="14"/>
  </w:num>
  <w:num w:numId="30">
    <w:abstractNumId w:val="24"/>
  </w:num>
  <w:num w:numId="31">
    <w:abstractNumId w:val="39"/>
  </w:num>
  <w:num w:numId="32">
    <w:abstractNumId w:val="25"/>
  </w:num>
  <w:num w:numId="33">
    <w:abstractNumId w:val="18"/>
  </w:num>
  <w:num w:numId="34">
    <w:abstractNumId w:val="41"/>
  </w:num>
  <w:num w:numId="35">
    <w:abstractNumId w:val="36"/>
  </w:num>
  <w:num w:numId="36">
    <w:abstractNumId w:val="20"/>
  </w:num>
  <w:num w:numId="37">
    <w:abstractNumId w:val="40"/>
  </w:num>
  <w:num w:numId="38">
    <w:abstractNumId w:val="15"/>
  </w:num>
  <w:num w:numId="39">
    <w:abstractNumId w:val="19"/>
  </w:num>
  <w:num w:numId="40">
    <w:abstractNumId w:val="26"/>
  </w:num>
  <w:num w:numId="41">
    <w:abstractNumId w:val="22"/>
  </w:num>
  <w:num w:numId="42">
    <w:abstractNumId w:val="34"/>
  </w:num>
  <w:num w:numId="43">
    <w:abstractNumId w:val="3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7B"/>
    <w:rsid w:val="000121A4"/>
    <w:rsid w:val="00023137"/>
    <w:rsid w:val="0002785D"/>
    <w:rsid w:val="00057296"/>
    <w:rsid w:val="00087AE8"/>
    <w:rsid w:val="000A5B9A"/>
    <w:rsid w:val="000C7758"/>
    <w:rsid w:val="000E5BF9"/>
    <w:rsid w:val="000E5EE9"/>
    <w:rsid w:val="000F0E6D"/>
    <w:rsid w:val="000F594F"/>
    <w:rsid w:val="00120191"/>
    <w:rsid w:val="00121170"/>
    <w:rsid w:val="00123CC5"/>
    <w:rsid w:val="0015142D"/>
    <w:rsid w:val="001616DC"/>
    <w:rsid w:val="00163962"/>
    <w:rsid w:val="00191A97"/>
    <w:rsid w:val="001A083F"/>
    <w:rsid w:val="001A56F4"/>
    <w:rsid w:val="001C0D2F"/>
    <w:rsid w:val="001C41FA"/>
    <w:rsid w:val="001D380F"/>
    <w:rsid w:val="001E2B52"/>
    <w:rsid w:val="001E3F27"/>
    <w:rsid w:val="001F20F0"/>
    <w:rsid w:val="0021371A"/>
    <w:rsid w:val="00217777"/>
    <w:rsid w:val="00231A8D"/>
    <w:rsid w:val="002337D9"/>
    <w:rsid w:val="00236D2A"/>
    <w:rsid w:val="00255F12"/>
    <w:rsid w:val="00262C09"/>
    <w:rsid w:val="00263815"/>
    <w:rsid w:val="0028017B"/>
    <w:rsid w:val="00286495"/>
    <w:rsid w:val="002A791F"/>
    <w:rsid w:val="002B52AF"/>
    <w:rsid w:val="002C1B26"/>
    <w:rsid w:val="002C79B8"/>
    <w:rsid w:val="002E701F"/>
    <w:rsid w:val="002F2F37"/>
    <w:rsid w:val="003237B0"/>
    <w:rsid w:val="003248A9"/>
    <w:rsid w:val="00324FFA"/>
    <w:rsid w:val="0032680B"/>
    <w:rsid w:val="00336478"/>
    <w:rsid w:val="00363A65"/>
    <w:rsid w:val="00375408"/>
    <w:rsid w:val="00377EC9"/>
    <w:rsid w:val="003B1A36"/>
    <w:rsid w:val="003B1E8C"/>
    <w:rsid w:val="003C2508"/>
    <w:rsid w:val="003C5012"/>
    <w:rsid w:val="003D0AA3"/>
    <w:rsid w:val="003D1A62"/>
    <w:rsid w:val="00403EDA"/>
    <w:rsid w:val="004104AC"/>
    <w:rsid w:val="00454553"/>
    <w:rsid w:val="00476FB2"/>
    <w:rsid w:val="00486CC3"/>
    <w:rsid w:val="004B124A"/>
    <w:rsid w:val="004B520A"/>
    <w:rsid w:val="004C3636"/>
    <w:rsid w:val="004C3A5A"/>
    <w:rsid w:val="004D5084"/>
    <w:rsid w:val="00523269"/>
    <w:rsid w:val="00532097"/>
    <w:rsid w:val="00566BEE"/>
    <w:rsid w:val="0058350F"/>
    <w:rsid w:val="005A374D"/>
    <w:rsid w:val="005C6657"/>
    <w:rsid w:val="005C66B6"/>
    <w:rsid w:val="005E782D"/>
    <w:rsid w:val="005F2605"/>
    <w:rsid w:val="005F48E0"/>
    <w:rsid w:val="00662039"/>
    <w:rsid w:val="00662BA0"/>
    <w:rsid w:val="006640E8"/>
    <w:rsid w:val="00681766"/>
    <w:rsid w:val="00692AAE"/>
    <w:rsid w:val="006B0F54"/>
    <w:rsid w:val="006D6E67"/>
    <w:rsid w:val="006E0078"/>
    <w:rsid w:val="006E1A13"/>
    <w:rsid w:val="006E76B9"/>
    <w:rsid w:val="00701C20"/>
    <w:rsid w:val="00702F3D"/>
    <w:rsid w:val="0070518E"/>
    <w:rsid w:val="007179A1"/>
    <w:rsid w:val="00734034"/>
    <w:rsid w:val="007354E9"/>
    <w:rsid w:val="00753A4F"/>
    <w:rsid w:val="00765578"/>
    <w:rsid w:val="0077084A"/>
    <w:rsid w:val="00786250"/>
    <w:rsid w:val="00790506"/>
    <w:rsid w:val="007952C7"/>
    <w:rsid w:val="007C1DEF"/>
    <w:rsid w:val="007C2317"/>
    <w:rsid w:val="007C39FA"/>
    <w:rsid w:val="007D330A"/>
    <w:rsid w:val="007E667F"/>
    <w:rsid w:val="00817F74"/>
    <w:rsid w:val="00866AE6"/>
    <w:rsid w:val="00866BBD"/>
    <w:rsid w:val="00873B75"/>
    <w:rsid w:val="008750A8"/>
    <w:rsid w:val="008C502F"/>
    <w:rsid w:val="008E35DA"/>
    <w:rsid w:val="008E4453"/>
    <w:rsid w:val="008F3576"/>
    <w:rsid w:val="0090121B"/>
    <w:rsid w:val="009144C9"/>
    <w:rsid w:val="00915B3E"/>
    <w:rsid w:val="00916196"/>
    <w:rsid w:val="0094091F"/>
    <w:rsid w:val="00942953"/>
    <w:rsid w:val="00973754"/>
    <w:rsid w:val="0097673E"/>
    <w:rsid w:val="009802EE"/>
    <w:rsid w:val="00986E55"/>
    <w:rsid w:val="00990278"/>
    <w:rsid w:val="009A137D"/>
    <w:rsid w:val="009C0BED"/>
    <w:rsid w:val="009D4AF6"/>
    <w:rsid w:val="009D5222"/>
    <w:rsid w:val="009E11EC"/>
    <w:rsid w:val="009F6A67"/>
    <w:rsid w:val="00A118DB"/>
    <w:rsid w:val="00A24AC0"/>
    <w:rsid w:val="00A4450C"/>
    <w:rsid w:val="00A97DA3"/>
    <w:rsid w:val="00AA5E6C"/>
    <w:rsid w:val="00AB4E90"/>
    <w:rsid w:val="00AE5677"/>
    <w:rsid w:val="00AE658F"/>
    <w:rsid w:val="00AF2F78"/>
    <w:rsid w:val="00B06699"/>
    <w:rsid w:val="00B07178"/>
    <w:rsid w:val="00B1727C"/>
    <w:rsid w:val="00B173B3"/>
    <w:rsid w:val="00B257B2"/>
    <w:rsid w:val="00B44777"/>
    <w:rsid w:val="00B51263"/>
    <w:rsid w:val="00B52D55"/>
    <w:rsid w:val="00B61807"/>
    <w:rsid w:val="00B627DD"/>
    <w:rsid w:val="00B75455"/>
    <w:rsid w:val="00B8288C"/>
    <w:rsid w:val="00B85BE6"/>
    <w:rsid w:val="00BB6877"/>
    <w:rsid w:val="00BD5FE4"/>
    <w:rsid w:val="00BE2E80"/>
    <w:rsid w:val="00BE5EDD"/>
    <w:rsid w:val="00BE6A1F"/>
    <w:rsid w:val="00C126C4"/>
    <w:rsid w:val="00C1533D"/>
    <w:rsid w:val="00C614DC"/>
    <w:rsid w:val="00C63EB5"/>
    <w:rsid w:val="00C7182E"/>
    <w:rsid w:val="00C858D0"/>
    <w:rsid w:val="00CA1F40"/>
    <w:rsid w:val="00CB35C9"/>
    <w:rsid w:val="00CC01E0"/>
    <w:rsid w:val="00CC4343"/>
    <w:rsid w:val="00CD5FEE"/>
    <w:rsid w:val="00CD663E"/>
    <w:rsid w:val="00CE60D2"/>
    <w:rsid w:val="00CF3005"/>
    <w:rsid w:val="00D0288A"/>
    <w:rsid w:val="00D55AB4"/>
    <w:rsid w:val="00D56781"/>
    <w:rsid w:val="00D72A5D"/>
    <w:rsid w:val="00D7525E"/>
    <w:rsid w:val="00DC629B"/>
    <w:rsid w:val="00E05BFF"/>
    <w:rsid w:val="00E10EC2"/>
    <w:rsid w:val="00E21778"/>
    <w:rsid w:val="00E262F1"/>
    <w:rsid w:val="00E32BEE"/>
    <w:rsid w:val="00E47B44"/>
    <w:rsid w:val="00E6673B"/>
    <w:rsid w:val="00E71D14"/>
    <w:rsid w:val="00E8097C"/>
    <w:rsid w:val="00E83D45"/>
    <w:rsid w:val="00E94A4A"/>
    <w:rsid w:val="00ED780D"/>
    <w:rsid w:val="00EE1723"/>
    <w:rsid w:val="00EE1779"/>
    <w:rsid w:val="00EF0D6D"/>
    <w:rsid w:val="00EF4610"/>
    <w:rsid w:val="00EF7DA7"/>
    <w:rsid w:val="00F0220A"/>
    <w:rsid w:val="00F02C63"/>
    <w:rsid w:val="00F247BB"/>
    <w:rsid w:val="00F26F4E"/>
    <w:rsid w:val="00F31DAB"/>
    <w:rsid w:val="00F54E0E"/>
    <w:rsid w:val="00F606A0"/>
    <w:rsid w:val="00F61F6A"/>
    <w:rsid w:val="00F62AB3"/>
    <w:rsid w:val="00F63177"/>
    <w:rsid w:val="00F66597"/>
    <w:rsid w:val="00F7212F"/>
    <w:rsid w:val="00F8150C"/>
    <w:rsid w:val="00FA6651"/>
    <w:rsid w:val="00FA71DE"/>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styleId="BalloonText">
    <w:name w:val="Balloon Text"/>
    <w:basedOn w:val="Normal"/>
    <w:link w:val="BalloonTextChar"/>
    <w:semiHidden/>
    <w:unhideWhenUsed/>
    <w:rsid w:val="00B0669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06699"/>
    <w:rPr>
      <w:rFonts w:ascii="Tahoma" w:hAnsi="Tahoma" w:cs="Tahoma"/>
      <w:sz w:val="16"/>
      <w:szCs w:val="16"/>
      <w:lang w:val="es-ES_tradnl" w:eastAsia="en-US"/>
    </w:rPr>
  </w:style>
  <w:style w:type="paragraph" w:styleId="ListParagraph">
    <w:name w:val="List Paragraph"/>
    <w:basedOn w:val="Normal"/>
    <w:uiPriority w:val="34"/>
    <w:qFormat/>
    <w:rsid w:val="00986E55"/>
    <w:pPr>
      <w:ind w:left="720"/>
      <w:contextualSpacing/>
    </w:pPr>
  </w:style>
  <w:style w:type="character" w:customStyle="1" w:styleId="enumlev1Char">
    <w:name w:val="enumlev1 Char"/>
    <w:link w:val="enumlev1"/>
    <w:uiPriority w:val="99"/>
    <w:locked/>
    <w:rsid w:val="009D5222"/>
    <w:rPr>
      <w:rFonts w:ascii="Times New Roman" w:hAnsi="Times New Roman"/>
      <w:sz w:val="24"/>
      <w:lang w:val="es-ES_tradnl" w:eastAsia="en-US"/>
    </w:rPr>
  </w:style>
  <w:style w:type="paragraph" w:customStyle="1" w:styleId="Style7">
    <w:name w:val="Style 7"/>
    <w:basedOn w:val="Normal"/>
    <w:uiPriority w:val="99"/>
    <w:rsid w:val="004D5084"/>
    <w:pPr>
      <w:widowControl w:val="0"/>
      <w:tabs>
        <w:tab w:val="clear" w:pos="1134"/>
        <w:tab w:val="clear" w:pos="1871"/>
        <w:tab w:val="clear" w:pos="2268"/>
      </w:tabs>
      <w:overflowPunct/>
      <w:spacing w:before="0"/>
      <w:textAlignment w:val="auto"/>
    </w:pPr>
    <w:rPr>
      <w:sz w:val="20"/>
      <w:lang w:val="en-US"/>
    </w:rPr>
  </w:style>
  <w:style w:type="character" w:customStyle="1" w:styleId="CharacterStyle6">
    <w:name w:val="Character Style 6"/>
    <w:uiPriority w:val="99"/>
    <w:rsid w:val="004D508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styleId="BalloonText">
    <w:name w:val="Balloon Text"/>
    <w:basedOn w:val="Normal"/>
    <w:link w:val="BalloonTextChar"/>
    <w:semiHidden/>
    <w:unhideWhenUsed/>
    <w:rsid w:val="00B0669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06699"/>
    <w:rPr>
      <w:rFonts w:ascii="Tahoma" w:hAnsi="Tahoma" w:cs="Tahoma"/>
      <w:sz w:val="16"/>
      <w:szCs w:val="16"/>
      <w:lang w:val="es-ES_tradnl" w:eastAsia="en-US"/>
    </w:rPr>
  </w:style>
  <w:style w:type="paragraph" w:styleId="ListParagraph">
    <w:name w:val="List Paragraph"/>
    <w:basedOn w:val="Normal"/>
    <w:uiPriority w:val="34"/>
    <w:qFormat/>
    <w:rsid w:val="00986E55"/>
    <w:pPr>
      <w:ind w:left="720"/>
      <w:contextualSpacing/>
    </w:pPr>
  </w:style>
  <w:style w:type="character" w:customStyle="1" w:styleId="enumlev1Char">
    <w:name w:val="enumlev1 Char"/>
    <w:link w:val="enumlev1"/>
    <w:uiPriority w:val="99"/>
    <w:locked/>
    <w:rsid w:val="009D5222"/>
    <w:rPr>
      <w:rFonts w:ascii="Times New Roman" w:hAnsi="Times New Roman"/>
      <w:sz w:val="24"/>
      <w:lang w:val="es-ES_tradnl" w:eastAsia="en-US"/>
    </w:rPr>
  </w:style>
  <w:style w:type="paragraph" w:customStyle="1" w:styleId="Style7">
    <w:name w:val="Style 7"/>
    <w:basedOn w:val="Normal"/>
    <w:uiPriority w:val="99"/>
    <w:rsid w:val="004D5084"/>
    <w:pPr>
      <w:widowControl w:val="0"/>
      <w:tabs>
        <w:tab w:val="clear" w:pos="1134"/>
        <w:tab w:val="clear" w:pos="1871"/>
        <w:tab w:val="clear" w:pos="2268"/>
      </w:tabs>
      <w:overflowPunct/>
      <w:spacing w:before="0"/>
      <w:textAlignment w:val="auto"/>
    </w:pPr>
    <w:rPr>
      <w:sz w:val="20"/>
      <w:lang w:val="en-US"/>
    </w:rPr>
  </w:style>
  <w:style w:type="character" w:customStyle="1" w:styleId="CharacterStyle6">
    <w:name w:val="Character Style 6"/>
    <w:uiPriority w:val="99"/>
    <w:rsid w:val="004D50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E8"/>
    <w:rsid w:val="001F2070"/>
    <w:rsid w:val="002C1D30"/>
    <w:rsid w:val="003331C5"/>
    <w:rsid w:val="00472277"/>
    <w:rsid w:val="00502EF4"/>
    <w:rsid w:val="00503226"/>
    <w:rsid w:val="005A230A"/>
    <w:rsid w:val="005D4573"/>
    <w:rsid w:val="00690C7B"/>
    <w:rsid w:val="007A7B4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30BFA-D2D1-4462-9EDE-8D504E081F9F}"/>
</file>

<file path=customXml/itemProps2.xml><?xml version="1.0" encoding="utf-8"?>
<ds:datastoreItem xmlns:ds="http://schemas.openxmlformats.org/officeDocument/2006/customXml" ds:itemID="{8754BE80-7316-47A7-B897-2B0587BCDC92}"/>
</file>

<file path=customXml/itemProps3.xml><?xml version="1.0" encoding="utf-8"?>
<ds:datastoreItem xmlns:ds="http://schemas.openxmlformats.org/officeDocument/2006/customXml" ds:itemID="{905B5D60-64CB-4F66-93C1-7E6672FC3C6D}"/>
</file>

<file path=customXml/itemProps4.xml><?xml version="1.0" encoding="utf-8"?>
<ds:datastoreItem xmlns:ds="http://schemas.openxmlformats.org/officeDocument/2006/customXml" ds:itemID="{ACACBB1B-A1CB-4189-98B2-50CAB688079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5948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International Telecommunication Union (ITU)</Company>
  <LinksUpToDate>false</LinksUpToDate>
  <CharactersWithSpaces>7015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Telecommunication Standardization Assembly</dc:subject>
  <dc:creator>Spanish</dc:creator>
  <dc:description>Template used by DPM and CPI for the WTSA-16</dc:description>
  <cp:lastModifiedBy>Fuenmayor, Maria C</cp:lastModifiedBy>
  <cp:revision>3</cp:revision>
  <cp:lastPrinted>2016-03-08T15:23:00Z</cp:lastPrinted>
  <dcterms:created xsi:type="dcterms:W3CDTF">2016-09-16T21:59:00Z</dcterms:created>
  <dcterms:modified xsi:type="dcterms:W3CDTF">2016-09-16T22:08:00Z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