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ook w:val="0000" w:firstRow="0" w:lastRow="0" w:firstColumn="0" w:lastColumn="0" w:noHBand="0" w:noVBand="0"/>
      </w:tblPr>
      <w:tblGrid>
        <w:gridCol w:w="1409"/>
        <w:gridCol w:w="5351"/>
        <w:gridCol w:w="1355"/>
        <w:gridCol w:w="1915"/>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s-US" w:eastAsia="es-US"/>
              </w:rPr>
              <w:drawing>
                <wp:inline distT="0" distB="0" distL="0" distR="0" wp14:anchorId="502A0E03" wp14:editId="786864CD">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s-US" w:eastAsia="es-US"/>
              </w:rPr>
              <w:drawing>
                <wp:inline distT="0" distB="0" distL="0" distR="0" wp14:anchorId="57EFF2E6" wp14:editId="2B464716">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8F3576" w:rsidP="004B520A">
            <w:pPr>
              <w:pStyle w:val="Committee"/>
              <w:framePr w:hSpace="0" w:wrap="auto" w:hAnchor="text" w:yAlign="inline"/>
            </w:pPr>
            <w:r w:rsidRPr="008F3576">
              <w:t>SESIÓN PLENARIA</w:t>
            </w:r>
          </w:p>
        </w:tc>
        <w:tc>
          <w:tcPr>
            <w:tcW w:w="3198" w:type="dxa"/>
            <w:gridSpan w:val="2"/>
          </w:tcPr>
          <w:p w:rsidR="00FE765B" w:rsidRPr="00FE765B" w:rsidRDefault="00FE765B" w:rsidP="00FE765B">
            <w:pPr>
              <w:spacing w:before="0"/>
              <w:rPr>
                <w:rFonts w:ascii="Verdana" w:hAnsi="Verdana"/>
                <w:b/>
                <w:sz w:val="20"/>
                <w:lang w:val="es-US"/>
              </w:rPr>
            </w:pPr>
            <w:proofErr w:type="spellStart"/>
            <w:r w:rsidRPr="007831B2">
              <w:rPr>
                <w:rFonts w:ascii="Verdana" w:hAnsi="Verdana"/>
                <w:b/>
                <w:sz w:val="20"/>
              </w:rPr>
              <w:t>Addéndum</w:t>
            </w:r>
            <w:proofErr w:type="spellEnd"/>
            <w:r w:rsidRPr="00FE765B">
              <w:rPr>
                <w:rFonts w:ascii="Verdana" w:hAnsi="Verdana"/>
                <w:b/>
                <w:sz w:val="20"/>
                <w:lang w:val="es-US"/>
              </w:rPr>
              <w:t xml:space="preserve"> </w:t>
            </w:r>
            <w:r w:rsidR="00B443AA">
              <w:rPr>
                <w:rFonts w:ascii="Verdana" w:hAnsi="Verdana"/>
                <w:b/>
                <w:sz w:val="20"/>
                <w:lang w:val="es-US"/>
              </w:rPr>
              <w:t>3</w:t>
            </w:r>
            <w:r w:rsidRPr="00FE765B">
              <w:rPr>
                <w:rFonts w:ascii="Verdana" w:hAnsi="Verdana"/>
                <w:b/>
                <w:sz w:val="20"/>
                <w:lang w:val="es-US"/>
              </w:rPr>
              <w:t xml:space="preserve"> al</w:t>
            </w:r>
          </w:p>
          <w:p w:rsidR="00E83D45" w:rsidRPr="002074EC" w:rsidRDefault="008F3576" w:rsidP="004B520A">
            <w:pPr>
              <w:spacing w:before="0"/>
              <w:rPr>
                <w:rFonts w:ascii="Verdana" w:hAnsi="Verdana"/>
                <w:b/>
                <w:bCs/>
                <w:sz w:val="20"/>
              </w:rPr>
            </w:pPr>
            <w:r w:rsidRPr="00FE765B">
              <w:rPr>
                <w:rFonts w:ascii="Verdana" w:hAnsi="Verdana"/>
                <w:b/>
                <w:sz w:val="20"/>
                <w:lang w:val="es-US"/>
              </w:rPr>
              <w:t xml:space="preserve">Documento </w:t>
            </w:r>
            <w:r w:rsidR="00FE765B" w:rsidRPr="00FE765B">
              <w:rPr>
                <w:rFonts w:ascii="Verdana" w:hAnsi="Verdana"/>
                <w:b/>
                <w:sz w:val="20"/>
                <w:lang w:val="es-US"/>
              </w:rPr>
              <w:t>46</w:t>
            </w:r>
            <w:r w:rsidRPr="00FE765B">
              <w:rPr>
                <w:rFonts w:ascii="Verdana" w:hAnsi="Verdana"/>
                <w:b/>
                <w:sz w:val="20"/>
                <w:lang w:val="es-US"/>
              </w:rPr>
              <w:t>-S</w:t>
            </w:r>
          </w:p>
        </w:tc>
      </w:tr>
      <w:tr w:rsidR="00E83D45" w:rsidTr="004B520A">
        <w:trPr>
          <w:cantSplit/>
        </w:trPr>
        <w:tc>
          <w:tcPr>
            <w:tcW w:w="6613" w:type="dxa"/>
            <w:gridSpan w:val="2"/>
          </w:tcPr>
          <w:p w:rsidR="00E83D45" w:rsidRPr="00FE765B" w:rsidRDefault="00E83D45" w:rsidP="004B520A">
            <w:pPr>
              <w:spacing w:before="0" w:after="48"/>
              <w:rPr>
                <w:rFonts w:ascii="Verdana" w:hAnsi="Verdana"/>
                <w:b/>
                <w:smallCaps/>
                <w:sz w:val="20"/>
                <w:lang w:val="es-US"/>
              </w:rPr>
            </w:pPr>
          </w:p>
        </w:tc>
        <w:tc>
          <w:tcPr>
            <w:tcW w:w="3198" w:type="dxa"/>
            <w:gridSpan w:val="2"/>
          </w:tcPr>
          <w:p w:rsidR="00E83D45" w:rsidRPr="002074EC" w:rsidRDefault="00FE765B" w:rsidP="004B520A">
            <w:pPr>
              <w:spacing w:before="0"/>
              <w:rPr>
                <w:rFonts w:ascii="Verdana" w:hAnsi="Verdana"/>
                <w:b/>
                <w:bCs/>
                <w:sz w:val="20"/>
              </w:rPr>
            </w:pPr>
            <w:proofErr w:type="spellStart"/>
            <w:r>
              <w:rPr>
                <w:rFonts w:ascii="Verdana" w:hAnsi="Verdana"/>
                <w:b/>
                <w:sz w:val="20"/>
                <w:lang w:val="en-US"/>
              </w:rPr>
              <w:t>Septiembre</w:t>
            </w:r>
            <w:proofErr w:type="spellEnd"/>
            <w:r>
              <w:rPr>
                <w:rFonts w:ascii="Verdana" w:hAnsi="Verdana"/>
                <w:b/>
                <w:sz w:val="20"/>
                <w:lang w:val="en-US"/>
              </w:rPr>
              <w:t xml:space="preserv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8F3576" w:rsidP="003E72B3">
            <w:pPr>
              <w:spacing w:before="0"/>
              <w:rPr>
                <w:rFonts w:ascii="Verdana" w:hAnsi="Verdana"/>
                <w:b/>
                <w:bCs/>
                <w:sz w:val="20"/>
              </w:rPr>
            </w:pPr>
            <w:r w:rsidRPr="008F3576">
              <w:rPr>
                <w:rFonts w:ascii="Verdana" w:hAnsi="Verdana"/>
                <w:b/>
                <w:sz w:val="20"/>
                <w:lang w:val="en-US"/>
              </w:rPr>
              <w:t xml:space="preserve">Original: </w:t>
            </w:r>
            <w:proofErr w:type="spellStart"/>
            <w:r w:rsidR="003E72B3">
              <w:rPr>
                <w:rFonts w:ascii="Verdana" w:hAnsi="Verdana"/>
                <w:b/>
                <w:sz w:val="20"/>
                <w:lang w:val="en-US"/>
              </w:rPr>
              <w:t>inglés</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FE765B" w:rsidP="004B520A">
            <w:pPr>
              <w:pStyle w:val="Source"/>
            </w:pPr>
            <w:r w:rsidRPr="00363B38">
              <w:rPr>
                <w:lang w:val="es-US"/>
              </w:rPr>
              <w:t xml:space="preserve">Estados Miembros de la Comisión Interamericana </w:t>
            </w:r>
            <w:r>
              <w:rPr>
                <w:lang w:val="es-US"/>
              </w:rPr>
              <w:t>de Telecomunicaciones (CITEL)</w:t>
            </w:r>
          </w:p>
        </w:tc>
      </w:tr>
      <w:tr w:rsidR="00E83D45" w:rsidTr="004B520A">
        <w:trPr>
          <w:cantSplit/>
        </w:trPr>
        <w:tc>
          <w:tcPr>
            <w:tcW w:w="9811" w:type="dxa"/>
            <w:gridSpan w:val="4"/>
          </w:tcPr>
          <w:p w:rsidR="00E83D45" w:rsidRPr="00551BAD" w:rsidRDefault="009A4690" w:rsidP="004B520A">
            <w:pPr>
              <w:pStyle w:val="Title1"/>
              <w:rPr>
                <w:szCs w:val="28"/>
              </w:rPr>
            </w:pPr>
            <w:r w:rsidRPr="00551BAD">
              <w:rPr>
                <w:rFonts w:eastAsia="Calibri"/>
                <w:szCs w:val="28"/>
                <w:lang w:val="es-ES" w:eastAsia="es-ES"/>
              </w:rPr>
              <w:t xml:space="preserve">PROPUESTA DE SUPRESIÓN DE LA RESOLUCIÓN 32 DE LA AMNT-12 </w:t>
            </w:r>
            <w:r w:rsidRPr="00551BAD">
              <w:rPr>
                <w:rFonts w:eastAsia="Calibri"/>
                <w:szCs w:val="28"/>
                <w:cs/>
                <w:lang w:val="es-ES" w:eastAsia="es-ES"/>
              </w:rPr>
              <w:t xml:space="preserve">– </w:t>
            </w:r>
            <w:r w:rsidRPr="00551BAD">
              <w:rPr>
                <w:rFonts w:eastAsia="Calibri"/>
                <w:szCs w:val="28"/>
                <w:lang w:val="es-ES" w:eastAsia="es-ES"/>
              </w:rPr>
              <w:t>Fortalecimiento de los métodos de trabajo electrónico del Sector de Normalización de las Telecomunicaciones de la UIT</w:t>
            </w:r>
          </w:p>
        </w:tc>
      </w:tr>
      <w:tr w:rsidR="00E83D45" w:rsidTr="004B520A">
        <w:trPr>
          <w:cantSplit/>
        </w:trPr>
        <w:tc>
          <w:tcPr>
            <w:tcW w:w="9811" w:type="dxa"/>
            <w:gridSpan w:val="4"/>
          </w:tcPr>
          <w:p w:rsidR="00E83D45" w:rsidRPr="00EA7FF1" w:rsidRDefault="00E83D45" w:rsidP="004B520A">
            <w:pPr>
              <w:pStyle w:val="Title2"/>
              <w:rPr>
                <w:szCs w:val="28"/>
              </w:rPr>
            </w:pPr>
          </w:p>
        </w:tc>
      </w:tr>
      <w:tr w:rsidR="00E83D45" w:rsidTr="004B520A">
        <w:trPr>
          <w:cantSplit/>
        </w:trPr>
        <w:tc>
          <w:tcPr>
            <w:tcW w:w="9811" w:type="dxa"/>
            <w:gridSpan w:val="4"/>
          </w:tcPr>
          <w:p w:rsidR="00E83D45" w:rsidRPr="009A4690" w:rsidRDefault="00E83D45" w:rsidP="004B520A">
            <w:pPr>
              <w:pStyle w:val="Agendaitem"/>
              <w:rPr>
                <w:lang w:val="es-US"/>
              </w:rPr>
            </w:pPr>
          </w:p>
        </w:tc>
      </w:tr>
    </w:tbl>
    <w:p w:rsidR="006B0F54" w:rsidRDefault="006B0F54" w:rsidP="006B0F54"/>
    <w:tbl>
      <w:tblPr>
        <w:tblW w:w="5089" w:type="pct"/>
        <w:tblLayout w:type="fixed"/>
        <w:tblLook w:val="0000" w:firstRow="0" w:lastRow="0" w:firstColumn="0" w:lastColumn="0" w:noHBand="0" w:noVBand="0"/>
      </w:tblPr>
      <w:tblGrid>
        <w:gridCol w:w="1595"/>
        <w:gridCol w:w="8435"/>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9A4690" w:rsidP="009A4690">
                <w:pPr>
                  <w:rPr>
                    <w:color w:val="000000" w:themeColor="text1"/>
                  </w:rPr>
                </w:pPr>
                <w:r w:rsidRPr="009A4690">
                  <w:t>El Director de la TSB ha propuesto directrices para reducir el número y la longitud de las Resoluciones de la AMNT en el GANT TD532. A fin de apoyar este objetivo, Estados Unidos propone suprimir la Resolución 32, Fortalecimiento de los métodos de trabajo electrónico del Sector de Normalización de las Telecomunicaciones de la UIT.</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9A4690" w:rsidRPr="00F5138B" w:rsidRDefault="009A4690" w:rsidP="00F5138B">
      <w:pPr>
        <w:jc w:val="both"/>
        <w:rPr>
          <w:rFonts w:eastAsia="Calibri"/>
          <w:b/>
          <w:szCs w:val="24"/>
        </w:rPr>
      </w:pPr>
      <w:r w:rsidRPr="00F5138B">
        <w:rPr>
          <w:rFonts w:eastAsia="Calibri"/>
          <w:b/>
          <w:szCs w:val="24"/>
        </w:rPr>
        <w:t>Introducción</w:t>
      </w:r>
    </w:p>
    <w:p w:rsidR="009A4690" w:rsidRPr="00F5138B" w:rsidRDefault="009A4690" w:rsidP="00F5138B">
      <w:pPr>
        <w:jc w:val="both"/>
        <w:rPr>
          <w:rFonts w:eastAsia="Calibri"/>
          <w:szCs w:val="24"/>
        </w:rPr>
      </w:pPr>
      <w:r w:rsidRPr="00F5138B">
        <w:rPr>
          <w:rFonts w:eastAsia="Calibri"/>
          <w:szCs w:val="24"/>
        </w:rPr>
        <w:t>La Resolución 32 ha estado en vigor desde la AMNT de Montreal (2000). En el momento en que se adoptó por primera vez, los métodos de trabajo del UIT-T se basaban principalmente en el papel, y existía la necesidad de acelerar la evolución del UIT-T hacia el uso de métodos de trabajo electrónicos. En los comienzos de la aplicación de la presente Resolución, el GANT tenía un grupo de trabajo centrado por completo en los métodos de trabajo electrónicos (EWM).</w:t>
      </w:r>
    </w:p>
    <w:p w:rsidR="009A4690" w:rsidRPr="00F5138B" w:rsidRDefault="009A4690" w:rsidP="00F5138B">
      <w:pPr>
        <w:jc w:val="both"/>
        <w:rPr>
          <w:rFonts w:eastAsia="Calibri"/>
          <w:szCs w:val="24"/>
        </w:rPr>
      </w:pPr>
      <w:r w:rsidRPr="00F5138B">
        <w:rPr>
          <w:rFonts w:eastAsia="Calibri"/>
          <w:szCs w:val="24"/>
        </w:rPr>
        <w:t>Actualmente, la mayoría de las reuniones del UIT-T se llevan a cabo sin papel. Todas las contribuciones están disponibles por medios electrónicos antes de la reunión, y nadie tiene que esperar a llegar a Ginebra para descubrir qué propuestas podrían estar esperándole en su casillero. Las capacidades electrónicas se someten a mejoras continuas como resultado de las iniciativas de la TSB, la retroalimentación de los grupos de estudio y las propuestas de los miembros. Ya no hay distinción entre el trabajo que el GANT realiza en los métodos de trabajo electrónicos y los métodos de trabajo en general.</w:t>
      </w:r>
    </w:p>
    <w:p w:rsidR="009A4690" w:rsidRPr="00F5138B" w:rsidRDefault="009A4690" w:rsidP="00F5138B">
      <w:pPr>
        <w:jc w:val="both"/>
        <w:rPr>
          <w:rFonts w:eastAsia="Calibri"/>
          <w:szCs w:val="24"/>
        </w:rPr>
      </w:pPr>
      <w:r w:rsidRPr="00F5138B">
        <w:rPr>
          <w:rFonts w:eastAsia="Calibri"/>
          <w:szCs w:val="24"/>
        </w:rPr>
        <w:lastRenderedPageBreak/>
        <w:t>El trabajo por medios electrónicos está completamente integrado en los procedimientos actuales. El Reglamento General ahora especifica que las propuestas para las reuniones están disponibles electrónicamente. El Anexo 2 de la Decisión 5 de la Conferencia de Plenipotenciarios indica que los métodos de trabajo electrónicos son una manera de ahorrar costos. La Decisión 12 de la Conferencia de Plenipotenciarios especifica la distribución electrónica de las publicaciones de la UIT. La Resolución 66 de la Conferencia de Plenipotenciarios especifica el manejo electrónico de los documentos y las publicaciones de la Unión. La Resolución 123 de la Conferencia de Plenipotenciarios llama a la utilización de métodos de trabajo electrónicos para facilitar la participación de los países en desarrollo. Y, por último, la Resolución 166 de la Conferencia de Plenipotenciarios pone de relieve las capacidades que existen para las reuniones electrónicas.</w:t>
      </w:r>
    </w:p>
    <w:p w:rsidR="009A4690" w:rsidRPr="00F5138B" w:rsidRDefault="009A4690" w:rsidP="00F5138B">
      <w:pPr>
        <w:jc w:val="both"/>
        <w:rPr>
          <w:rFonts w:eastAsia="Calibri"/>
          <w:szCs w:val="24"/>
        </w:rPr>
      </w:pPr>
      <w:r w:rsidRPr="00F5138B">
        <w:rPr>
          <w:rFonts w:eastAsia="Calibri"/>
          <w:szCs w:val="24"/>
        </w:rPr>
        <w:t>Ya no hay ninguna necesidad de prestar especial atención a los métodos de trabajo electrónicos: son simplemente un subconjunto de los métodos de trabajo en general.</w:t>
      </w:r>
    </w:p>
    <w:p w:rsidR="0011723D" w:rsidRPr="00F5138B" w:rsidRDefault="0011723D" w:rsidP="00F5138B">
      <w:pPr>
        <w:jc w:val="both"/>
        <w:rPr>
          <w:rFonts w:eastAsia="Calibri"/>
          <w:szCs w:val="24"/>
        </w:rPr>
      </w:pPr>
    </w:p>
    <w:p w:rsidR="009A4690" w:rsidRPr="00F5138B" w:rsidRDefault="0037312F" w:rsidP="00F5138B">
      <w:pPr>
        <w:jc w:val="both"/>
        <w:rPr>
          <w:rFonts w:eastAsia="Calibri"/>
          <w:b/>
          <w:szCs w:val="24"/>
        </w:rPr>
      </w:pPr>
      <w:r>
        <w:rPr>
          <w:rFonts w:eastAsia="Calibri"/>
          <w:b/>
          <w:szCs w:val="24"/>
        </w:rPr>
        <w:t>Propuesta</w:t>
      </w:r>
      <w:bookmarkStart w:id="0" w:name="_GoBack"/>
      <w:bookmarkEnd w:id="0"/>
    </w:p>
    <w:p w:rsidR="009A4690" w:rsidRPr="00F5138B" w:rsidRDefault="009A4690" w:rsidP="00F5138B">
      <w:pPr>
        <w:jc w:val="both"/>
        <w:rPr>
          <w:rFonts w:eastAsia="Calibri"/>
          <w:szCs w:val="24"/>
        </w:rPr>
      </w:pPr>
      <w:r w:rsidRPr="00F5138B">
        <w:rPr>
          <w:rFonts w:eastAsia="Calibri"/>
          <w:szCs w:val="24"/>
        </w:rPr>
        <w:t>Estados Unidos propone suprimir la Resolución 32, puesto que los métodos de trabajo electrónicos se han convertido en una parte normal de los métodos de trabajo en general. Su uso está bien cubierto en otros textos, y los métodos y herramientas electrónicos son un tema de mejora continua debido a las propuestas de los miembros y participantes y las iniciativas de la TSB.</w:t>
      </w:r>
    </w:p>
    <w:p w:rsidR="0011723D" w:rsidRDefault="0011723D" w:rsidP="009A4690">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F5138B" w:rsidRDefault="00F5138B" w:rsidP="00F5138B">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s-ES" w:eastAsia="es-ES"/>
        </w:rPr>
      </w:pPr>
    </w:p>
    <w:p w:rsidR="009A4690" w:rsidRPr="00F5138B" w:rsidRDefault="009A4690" w:rsidP="00F5138B">
      <w:pPr>
        <w:tabs>
          <w:tab w:val="clear" w:pos="1134"/>
          <w:tab w:val="clear" w:pos="1871"/>
          <w:tab w:val="clear" w:pos="2268"/>
        </w:tabs>
        <w:overflowPunct/>
        <w:autoSpaceDE/>
        <w:autoSpaceDN/>
        <w:adjustRightInd/>
        <w:spacing w:before="0" w:after="200" w:line="276" w:lineRule="auto"/>
        <w:textAlignment w:val="auto"/>
        <w:rPr>
          <w:rFonts w:eastAsia="Calibri"/>
          <w:b/>
          <w:szCs w:val="24"/>
          <w:lang w:val="es-ES" w:eastAsia="es-ES"/>
        </w:rPr>
      </w:pPr>
      <w:r w:rsidRPr="00F5138B">
        <w:rPr>
          <w:rFonts w:eastAsia="Calibri"/>
          <w:b/>
          <w:szCs w:val="24"/>
          <w:lang w:val="es-ES" w:eastAsia="es-ES"/>
        </w:rPr>
        <w:lastRenderedPageBreak/>
        <w:t>SUP</w:t>
      </w:r>
      <w:r w:rsidRPr="00F5138B">
        <w:rPr>
          <w:rFonts w:eastAsia="Calibri"/>
          <w:b/>
          <w:szCs w:val="24"/>
          <w:lang w:val="es-ES" w:eastAsia="es-ES"/>
        </w:rPr>
        <w:tab/>
        <w:t>IAP/46A3/1</w:t>
      </w:r>
    </w:p>
    <w:p w:rsidR="009A4690" w:rsidRPr="00F5138B" w:rsidRDefault="009A4690" w:rsidP="0011723D">
      <w:pPr>
        <w:keepNext/>
        <w:keepLines/>
        <w:tabs>
          <w:tab w:val="clear" w:pos="1134"/>
          <w:tab w:val="clear" w:pos="1871"/>
          <w:tab w:val="clear" w:pos="2268"/>
        </w:tabs>
        <w:spacing w:before="0" w:line="280" w:lineRule="exact"/>
        <w:jc w:val="center"/>
        <w:rPr>
          <w:caps/>
          <w:sz w:val="28"/>
          <w:szCs w:val="28"/>
          <w:lang w:val="es-ES" w:eastAsia="es-ES"/>
        </w:rPr>
      </w:pPr>
      <w:r w:rsidRPr="00F5138B">
        <w:rPr>
          <w:caps/>
          <w:sz w:val="28"/>
          <w:szCs w:val="28"/>
          <w:lang w:val="es-ES" w:eastAsia="es-ES"/>
        </w:rPr>
        <w:t>Resolución 32 (</w:t>
      </w:r>
      <w:r w:rsidRPr="00F5138B">
        <w:rPr>
          <w:sz w:val="28"/>
          <w:szCs w:val="28"/>
          <w:lang w:val="es-ES" w:eastAsia="es-ES"/>
        </w:rPr>
        <w:t xml:space="preserve">Rev. </w:t>
      </w:r>
      <w:proofErr w:type="spellStart"/>
      <w:r w:rsidRPr="00F5138B">
        <w:rPr>
          <w:sz w:val="28"/>
          <w:szCs w:val="28"/>
          <w:lang w:val="es-ES" w:eastAsia="es-ES"/>
        </w:rPr>
        <w:t>Dubai</w:t>
      </w:r>
      <w:proofErr w:type="spellEnd"/>
      <w:r w:rsidRPr="00F5138B">
        <w:rPr>
          <w:sz w:val="28"/>
          <w:szCs w:val="28"/>
          <w:lang w:val="es-ES" w:eastAsia="es-ES"/>
        </w:rPr>
        <w:t>, 2012</w:t>
      </w:r>
      <w:r w:rsidRPr="00F5138B">
        <w:rPr>
          <w:caps/>
          <w:sz w:val="28"/>
          <w:szCs w:val="28"/>
          <w:lang w:val="es-ES" w:eastAsia="es-ES"/>
        </w:rPr>
        <w:t>)</w:t>
      </w:r>
    </w:p>
    <w:p w:rsidR="009A4690" w:rsidRPr="00F5138B" w:rsidRDefault="009A4690" w:rsidP="009A4690">
      <w:pPr>
        <w:keepNext/>
        <w:keepLines/>
        <w:tabs>
          <w:tab w:val="clear" w:pos="1134"/>
          <w:tab w:val="clear" w:pos="1871"/>
          <w:tab w:val="clear" w:pos="2268"/>
          <w:tab w:val="left" w:pos="794"/>
          <w:tab w:val="left" w:pos="1191"/>
          <w:tab w:val="left" w:pos="1588"/>
          <w:tab w:val="left" w:pos="1985"/>
        </w:tabs>
        <w:spacing w:before="360"/>
        <w:jc w:val="center"/>
        <w:rPr>
          <w:b/>
          <w:sz w:val="28"/>
          <w:szCs w:val="28"/>
          <w:lang w:val="es-ES" w:eastAsia="es-ES"/>
        </w:rPr>
      </w:pPr>
      <w:r w:rsidRPr="00F5138B">
        <w:rPr>
          <w:b/>
          <w:sz w:val="28"/>
          <w:szCs w:val="28"/>
          <w:lang w:val="es-ES" w:eastAsia="es-ES"/>
        </w:rPr>
        <w:t>Fortalecimiento de los métodos de trabajo electrónico del Sector de Normalización de las Telecomunicaciones de la UIT</w:t>
      </w:r>
    </w:p>
    <w:p w:rsidR="009A4690" w:rsidRPr="00F5138B" w:rsidRDefault="009A4690" w:rsidP="0011723D">
      <w:pPr>
        <w:keepNext/>
        <w:keepLines/>
        <w:tabs>
          <w:tab w:val="clear" w:pos="1134"/>
          <w:tab w:val="clear" w:pos="1871"/>
          <w:tab w:val="clear" w:pos="2268"/>
        </w:tabs>
        <w:spacing w:before="160" w:line="280" w:lineRule="exact"/>
        <w:jc w:val="center"/>
        <w:rPr>
          <w:i/>
          <w:szCs w:val="24"/>
          <w:lang w:val="es-ES" w:eastAsia="es-ES"/>
        </w:rPr>
      </w:pPr>
      <w:r w:rsidRPr="00F5138B">
        <w:rPr>
          <w:i/>
          <w:szCs w:val="24"/>
          <w:lang w:val="es-ES" w:eastAsia="es-ES"/>
        </w:rPr>
        <w:t xml:space="preserve">(Montreal, 2000; Florianópolis, 2004; Johannesburgo, 2008; </w:t>
      </w:r>
      <w:proofErr w:type="spellStart"/>
      <w:r w:rsidRPr="00F5138B">
        <w:rPr>
          <w:i/>
          <w:szCs w:val="24"/>
          <w:lang w:val="es-ES" w:eastAsia="es-ES"/>
        </w:rPr>
        <w:t>Dubai</w:t>
      </w:r>
      <w:proofErr w:type="spellEnd"/>
      <w:r w:rsidRPr="00F5138B">
        <w:rPr>
          <w:i/>
          <w:szCs w:val="24"/>
          <w:lang w:val="es-ES" w:eastAsia="es-ES"/>
        </w:rPr>
        <w:t>, 2012)</w:t>
      </w:r>
    </w:p>
    <w:p w:rsidR="009A4690" w:rsidRPr="00F5138B" w:rsidRDefault="009A4690">
      <w:pPr>
        <w:tabs>
          <w:tab w:val="clear" w:pos="1134"/>
          <w:tab w:val="clear" w:pos="1871"/>
          <w:tab w:val="clear" w:pos="2268"/>
        </w:tabs>
        <w:overflowPunct/>
        <w:autoSpaceDE/>
        <w:autoSpaceDN/>
        <w:adjustRightInd/>
        <w:spacing w:before="0"/>
        <w:textAlignment w:val="auto"/>
        <w:rPr>
          <w:szCs w:val="24"/>
        </w:rPr>
      </w:pPr>
    </w:p>
    <w:p w:rsidR="00F5138B" w:rsidRDefault="00F5138B" w:rsidP="009A4690">
      <w:pPr>
        <w:tabs>
          <w:tab w:val="clear" w:pos="1134"/>
          <w:tab w:val="clear" w:pos="1871"/>
          <w:tab w:val="clear" w:pos="2268"/>
        </w:tabs>
        <w:overflowPunct/>
        <w:autoSpaceDE/>
        <w:autoSpaceDN/>
        <w:adjustRightInd/>
        <w:spacing w:before="0"/>
        <w:textAlignment w:val="auto"/>
        <w:rPr>
          <w:szCs w:val="24"/>
        </w:rPr>
      </w:pPr>
    </w:p>
    <w:p w:rsidR="009A4690" w:rsidRPr="00F5138B" w:rsidRDefault="009A4690" w:rsidP="009A4690">
      <w:pPr>
        <w:tabs>
          <w:tab w:val="clear" w:pos="1134"/>
          <w:tab w:val="clear" w:pos="1871"/>
          <w:tab w:val="clear" w:pos="2268"/>
        </w:tabs>
        <w:overflowPunct/>
        <w:autoSpaceDE/>
        <w:autoSpaceDN/>
        <w:adjustRightInd/>
        <w:spacing w:before="0"/>
        <w:textAlignment w:val="auto"/>
        <w:rPr>
          <w:szCs w:val="24"/>
        </w:rPr>
      </w:pPr>
      <w:r w:rsidRPr="00F5138B">
        <w:rPr>
          <w:szCs w:val="24"/>
        </w:rPr>
        <w:t>La Asamblea Mundial de Normalización de las Telecomunicaciones (</w:t>
      </w:r>
      <w:proofErr w:type="spellStart"/>
      <w:r w:rsidRPr="00F5138B">
        <w:rPr>
          <w:szCs w:val="24"/>
        </w:rPr>
        <w:t>Dubai</w:t>
      </w:r>
      <w:proofErr w:type="spellEnd"/>
      <w:r w:rsidRPr="00F5138B">
        <w:rPr>
          <w:szCs w:val="24"/>
        </w:rPr>
        <w:t>, 2012),</w:t>
      </w:r>
    </w:p>
    <w:p w:rsidR="009A4690" w:rsidRPr="00F5138B" w:rsidRDefault="009A4690" w:rsidP="009A4690">
      <w:pPr>
        <w:tabs>
          <w:tab w:val="clear" w:pos="1134"/>
          <w:tab w:val="clear" w:pos="1871"/>
          <w:tab w:val="clear" w:pos="2268"/>
        </w:tabs>
        <w:overflowPunct/>
        <w:autoSpaceDE/>
        <w:autoSpaceDN/>
        <w:adjustRightInd/>
        <w:spacing w:before="0"/>
        <w:textAlignment w:val="auto"/>
        <w:rPr>
          <w:szCs w:val="24"/>
        </w:rPr>
      </w:pPr>
    </w:p>
    <w:p w:rsidR="00E83D45" w:rsidRPr="00F5138B" w:rsidRDefault="009A4690" w:rsidP="00B443AA">
      <w:pPr>
        <w:tabs>
          <w:tab w:val="clear" w:pos="1134"/>
          <w:tab w:val="clear" w:pos="1871"/>
          <w:tab w:val="clear" w:pos="2268"/>
        </w:tabs>
        <w:overflowPunct/>
        <w:autoSpaceDE/>
        <w:autoSpaceDN/>
        <w:adjustRightInd/>
        <w:spacing w:before="0"/>
        <w:textAlignment w:val="auto"/>
        <w:rPr>
          <w:szCs w:val="24"/>
        </w:rPr>
      </w:pPr>
      <w:r w:rsidRPr="00F5138B">
        <w:rPr>
          <w:b/>
          <w:szCs w:val="24"/>
        </w:rPr>
        <w:t>Motivos:</w:t>
      </w:r>
      <w:r w:rsidRPr="00F5138B">
        <w:rPr>
          <w:szCs w:val="24"/>
        </w:rPr>
        <w:tab/>
        <w:t xml:space="preserve">Véase la introducción </w:t>
      </w:r>
      <w:r w:rsidR="0011723D" w:rsidRPr="00F5138B">
        <w:rPr>
          <w:szCs w:val="24"/>
        </w:rPr>
        <w:t xml:space="preserve">y propuesta </w:t>
      </w:r>
      <w:r w:rsidRPr="00F5138B">
        <w:rPr>
          <w:szCs w:val="24"/>
        </w:rPr>
        <w:t>al Documento 46 (</w:t>
      </w:r>
      <w:proofErr w:type="spellStart"/>
      <w:r w:rsidRPr="00F5138B">
        <w:rPr>
          <w:szCs w:val="24"/>
        </w:rPr>
        <w:t>Add</w:t>
      </w:r>
      <w:proofErr w:type="spellEnd"/>
      <w:r w:rsidRPr="00F5138B">
        <w:rPr>
          <w:szCs w:val="24"/>
        </w:rPr>
        <w:t>. 3)</w:t>
      </w:r>
    </w:p>
    <w:sectPr w:rsidR="00E83D45" w:rsidRPr="00F5138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DFE" w:rsidRDefault="007C5DFE">
      <w:r>
        <w:separator/>
      </w:r>
    </w:p>
  </w:endnote>
  <w:endnote w:type="continuationSeparator" w:id="0">
    <w:p w:rsidR="007C5DFE" w:rsidRDefault="007C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37312F">
      <w:rPr>
        <w:noProof/>
      </w:rPr>
      <w:t>16.09.16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5B" w:rsidRPr="000414E0" w:rsidRDefault="00FE765B" w:rsidP="00FE765B">
    <w:pPr>
      <w:pStyle w:val="Footer"/>
      <w:rPr>
        <w:lang w:val="fr-CH"/>
      </w:rPr>
    </w:pPr>
    <w:r w:rsidRPr="000414E0">
      <w:rPr>
        <w:lang w:val="fr-CH"/>
      </w:rPr>
      <w:t>ITU-T\CONF-T\WTSA16\000\04</w:t>
    </w:r>
    <w:r>
      <w:rPr>
        <w:lang w:val="fr-CH"/>
      </w:rPr>
      <w:t>6ADD</w:t>
    </w:r>
    <w:r w:rsidR="009A4690">
      <w:rPr>
        <w:lang w:val="fr-CH"/>
      </w:rPr>
      <w:t>3</w:t>
    </w:r>
    <w:r w:rsidRPr="000414E0">
      <w:rPr>
        <w:lang w:val="fr-CH"/>
      </w:rPr>
      <w:t>S.DOC</w:t>
    </w:r>
  </w:p>
  <w:p w:rsidR="0077084A" w:rsidRPr="00FE765B" w:rsidRDefault="0077084A" w:rsidP="00FE765B">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8F3576" w:rsidTr="0068006E">
      <w:trPr>
        <w:cantSplit/>
        <w:trHeight w:val="204"/>
      </w:trPr>
      <w:tc>
        <w:tcPr>
          <w:tcW w:w="1617" w:type="dxa"/>
          <w:tcBorders>
            <w:top w:val="single" w:sz="12" w:space="0" w:color="auto"/>
          </w:tcBorders>
        </w:tcPr>
        <w:p w:rsidR="008F3576" w:rsidRDefault="008F3576" w:rsidP="008F3576">
          <w:pPr>
            <w:rPr>
              <w:b/>
              <w:bCs/>
            </w:rPr>
          </w:pPr>
          <w:bookmarkStart w:id="1" w:name="dcontact"/>
          <w:r>
            <w:rPr>
              <w:b/>
              <w:bCs/>
            </w:rPr>
            <w:t>Contacto:</w:t>
          </w:r>
        </w:p>
      </w:tc>
      <w:tc>
        <w:tcPr>
          <w:tcW w:w="4394" w:type="dxa"/>
          <w:tcBorders>
            <w:top w:val="single" w:sz="12" w:space="0" w:color="auto"/>
          </w:tcBorders>
        </w:tcPr>
        <w:p w:rsidR="008F3576" w:rsidRDefault="00FE765B" w:rsidP="008F3576">
          <w:r>
            <w:t>Oscar León</w:t>
          </w:r>
        </w:p>
        <w:p w:rsidR="008F3576" w:rsidRDefault="00FE765B" w:rsidP="008F3576">
          <w:pPr>
            <w:spacing w:before="0"/>
          </w:pPr>
          <w:r>
            <w:t>CITEL</w:t>
          </w:r>
        </w:p>
        <w:p w:rsidR="008F3576" w:rsidRDefault="00FE765B" w:rsidP="008F3576">
          <w:pPr>
            <w:spacing w:before="0"/>
          </w:pPr>
          <w:r>
            <w:t>Washington, DC, USA</w:t>
          </w:r>
        </w:p>
      </w:tc>
      <w:tc>
        <w:tcPr>
          <w:tcW w:w="3912" w:type="dxa"/>
          <w:tcBorders>
            <w:top w:val="single" w:sz="12" w:space="0" w:color="auto"/>
          </w:tcBorders>
        </w:tcPr>
        <w:p w:rsidR="008F3576" w:rsidRDefault="008F3576" w:rsidP="008F3576">
          <w:r>
            <w:t>Tel:</w:t>
          </w:r>
          <w:r w:rsidR="00FE765B">
            <w:t xml:space="preserve"> + 1 (202) 370-4713</w:t>
          </w:r>
        </w:p>
        <w:p w:rsidR="008F3576" w:rsidRDefault="008F3576" w:rsidP="008F3576">
          <w:pPr>
            <w:spacing w:before="0"/>
          </w:pPr>
          <w:r>
            <w:t>Fax:</w:t>
          </w:r>
          <w:r w:rsidR="00FE765B">
            <w:t xml:space="preserve"> + (202) 458-6854</w:t>
          </w:r>
        </w:p>
        <w:p w:rsidR="008F3576" w:rsidRDefault="008F3576" w:rsidP="008F3576">
          <w:pPr>
            <w:spacing w:before="0"/>
          </w:pPr>
          <w:r>
            <w:t>Correo:</w:t>
          </w:r>
          <w:r w:rsidR="00FE765B">
            <w:t xml:space="preserve"> citel@oas.org</w:t>
          </w:r>
        </w:p>
      </w:tc>
    </w:tr>
    <w:bookmarkEnd w:id="1"/>
  </w:tbl>
  <w:p w:rsidR="00E83D45" w:rsidRPr="008F3576" w:rsidRDefault="00E83D45" w:rsidP="008F3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DFE" w:rsidRDefault="007C5DFE">
      <w:r>
        <w:rPr>
          <w:b/>
        </w:rPr>
        <w:t>_______________</w:t>
      </w:r>
    </w:p>
  </w:footnote>
  <w:footnote w:type="continuationSeparator" w:id="0">
    <w:p w:rsidR="007C5DFE" w:rsidRDefault="007C5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45" w:rsidRDefault="00E83D45" w:rsidP="00E83D45">
    <w:pPr>
      <w:pStyle w:val="Header"/>
    </w:pPr>
    <w:r>
      <w:fldChar w:fldCharType="begin"/>
    </w:r>
    <w:r>
      <w:instrText xml:space="preserve"> PAGE  \* MERGEFORMAT </w:instrText>
    </w:r>
    <w:r>
      <w:fldChar w:fldCharType="separate"/>
    </w:r>
    <w:r w:rsidR="0037312F">
      <w:rPr>
        <w:noProof/>
      </w:rPr>
      <w:t>3</w:t>
    </w:r>
    <w:r>
      <w:fldChar w:fldCharType="end"/>
    </w:r>
  </w:p>
  <w:p w:rsidR="00E83D45" w:rsidRPr="00C72D5C" w:rsidRDefault="008F3576" w:rsidP="008F3576">
    <w:pPr>
      <w:pStyle w:val="Header"/>
    </w:pPr>
    <w:r w:rsidRPr="008F3576">
      <w:t>AMNT16/</w:t>
    </w:r>
    <w:r w:rsidR="00FE765B">
      <w:t>46 (Add.</w:t>
    </w:r>
    <w:r w:rsidR="009A4690">
      <w:t>3</w:t>
    </w:r>
    <w:r w:rsidR="00FE765B">
      <w:t>)</w:t>
    </w:r>
    <w:r w:rsidRPr="008F3576">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1723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4352E"/>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312F"/>
    <w:rsid w:val="00377EC9"/>
    <w:rsid w:val="003A40C1"/>
    <w:rsid w:val="003B1E8C"/>
    <w:rsid w:val="003B35FB"/>
    <w:rsid w:val="003C2508"/>
    <w:rsid w:val="003D0AA3"/>
    <w:rsid w:val="003E72B3"/>
    <w:rsid w:val="004104AC"/>
    <w:rsid w:val="004107F9"/>
    <w:rsid w:val="00454553"/>
    <w:rsid w:val="00476FB2"/>
    <w:rsid w:val="004B124A"/>
    <w:rsid w:val="004B520A"/>
    <w:rsid w:val="004C3636"/>
    <w:rsid w:val="004C3A5A"/>
    <w:rsid w:val="00523269"/>
    <w:rsid w:val="00532097"/>
    <w:rsid w:val="00551BAD"/>
    <w:rsid w:val="00566BEE"/>
    <w:rsid w:val="0058350F"/>
    <w:rsid w:val="005A374D"/>
    <w:rsid w:val="005E782D"/>
    <w:rsid w:val="005F2605"/>
    <w:rsid w:val="005F7D9F"/>
    <w:rsid w:val="00662039"/>
    <w:rsid w:val="00662BA0"/>
    <w:rsid w:val="006744DA"/>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C5DFE"/>
    <w:rsid w:val="007D330A"/>
    <w:rsid w:val="007E667F"/>
    <w:rsid w:val="00832A83"/>
    <w:rsid w:val="00866AE6"/>
    <w:rsid w:val="00866BBD"/>
    <w:rsid w:val="00873B75"/>
    <w:rsid w:val="008750A8"/>
    <w:rsid w:val="008E35DA"/>
    <w:rsid w:val="008E4453"/>
    <w:rsid w:val="008F3576"/>
    <w:rsid w:val="0090121B"/>
    <w:rsid w:val="009144C9"/>
    <w:rsid w:val="0091530E"/>
    <w:rsid w:val="00916196"/>
    <w:rsid w:val="009220D7"/>
    <w:rsid w:val="0094091F"/>
    <w:rsid w:val="00973754"/>
    <w:rsid w:val="0097673E"/>
    <w:rsid w:val="00990278"/>
    <w:rsid w:val="009A137D"/>
    <w:rsid w:val="009A4690"/>
    <w:rsid w:val="009C0BED"/>
    <w:rsid w:val="009E11EC"/>
    <w:rsid w:val="009F6A67"/>
    <w:rsid w:val="00A118DB"/>
    <w:rsid w:val="00A24AC0"/>
    <w:rsid w:val="00A4450C"/>
    <w:rsid w:val="00A91995"/>
    <w:rsid w:val="00AA5E6C"/>
    <w:rsid w:val="00AB4E90"/>
    <w:rsid w:val="00AE5677"/>
    <w:rsid w:val="00AE658F"/>
    <w:rsid w:val="00AF2F78"/>
    <w:rsid w:val="00B07178"/>
    <w:rsid w:val="00B1727C"/>
    <w:rsid w:val="00B173B3"/>
    <w:rsid w:val="00B257B2"/>
    <w:rsid w:val="00B443AA"/>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D0288A"/>
    <w:rsid w:val="00D56781"/>
    <w:rsid w:val="00D72A5D"/>
    <w:rsid w:val="00DC629B"/>
    <w:rsid w:val="00E05BFF"/>
    <w:rsid w:val="00E21778"/>
    <w:rsid w:val="00E262F1"/>
    <w:rsid w:val="00E32BEE"/>
    <w:rsid w:val="00E47B44"/>
    <w:rsid w:val="00E71D14"/>
    <w:rsid w:val="00E8097C"/>
    <w:rsid w:val="00E83D45"/>
    <w:rsid w:val="00E94A4A"/>
    <w:rsid w:val="00EA7FF1"/>
    <w:rsid w:val="00EE1779"/>
    <w:rsid w:val="00EF0D6D"/>
    <w:rsid w:val="00F0220A"/>
    <w:rsid w:val="00F02C63"/>
    <w:rsid w:val="00F247BB"/>
    <w:rsid w:val="00F26F4E"/>
    <w:rsid w:val="00F5138B"/>
    <w:rsid w:val="00F54E0E"/>
    <w:rsid w:val="00F606A0"/>
    <w:rsid w:val="00F62AB3"/>
    <w:rsid w:val="00F63177"/>
    <w:rsid w:val="00F66597"/>
    <w:rsid w:val="00F7212F"/>
    <w:rsid w:val="00F8150C"/>
    <w:rsid w:val="00FC3528"/>
    <w:rsid w:val="00FD5C8C"/>
    <w:rsid w:val="00FE161E"/>
    <w:rsid w:val="00FE4574"/>
    <w:rsid w:val="00FE765B"/>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BalloonText">
    <w:name w:val="Balloon Text"/>
    <w:basedOn w:val="Normal"/>
    <w:link w:val="BalloonTextChar"/>
    <w:semiHidden/>
    <w:unhideWhenUsed/>
    <w:rsid w:val="003B35F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B35FB"/>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8"/>
    <w:rsid w:val="00091085"/>
    <w:rsid w:val="000A4E7E"/>
    <w:rsid w:val="000B5EED"/>
    <w:rsid w:val="000D2EF7"/>
    <w:rsid w:val="00120C9F"/>
    <w:rsid w:val="001F2070"/>
    <w:rsid w:val="002C1D30"/>
    <w:rsid w:val="003331C5"/>
    <w:rsid w:val="00502EF4"/>
    <w:rsid w:val="00503226"/>
    <w:rsid w:val="005A230A"/>
    <w:rsid w:val="005A49E1"/>
    <w:rsid w:val="00690C7B"/>
    <w:rsid w:val="007B3EF8"/>
    <w:rsid w:val="00851428"/>
    <w:rsid w:val="009124B2"/>
    <w:rsid w:val="00986969"/>
    <w:rsid w:val="009E7F8E"/>
    <w:rsid w:val="00BD59AE"/>
    <w:rsid w:val="00C20D74"/>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D04C6-BDF7-431C-9ACF-47FC9C7E0B45}"/>
</file>

<file path=customXml/itemProps2.xml><?xml version="1.0" encoding="utf-8"?>
<ds:datastoreItem xmlns:ds="http://schemas.openxmlformats.org/officeDocument/2006/customXml" ds:itemID="{905B5D60-64CB-4F66-93C1-7E6672FC3C6D}"/>
</file>

<file path=customXml/itemProps3.xml><?xml version="1.0" encoding="utf-8"?>
<ds:datastoreItem xmlns:ds="http://schemas.openxmlformats.org/officeDocument/2006/customXml" ds:itemID="{8754BE80-7316-47A7-B897-2B0587BCDC92}"/>
</file>

<file path=customXml/itemProps4.xml><?xml version="1.0" encoding="utf-8"?>
<ds:datastoreItem xmlns:ds="http://schemas.openxmlformats.org/officeDocument/2006/customXml" ds:itemID="{D0252F76-8C5C-47DD-998A-A843429A9259}"/>
</file>

<file path=docProps/app.xml><?xml version="1.0" encoding="utf-8"?>
<Properties xmlns="http://schemas.openxmlformats.org/officeDocument/2006/extended-properties" xmlns:vt="http://schemas.openxmlformats.org/officeDocument/2006/docPropsVTypes">
  <Template>Normal</Template>
  <TotalTime>6</TotalTime>
  <Pages>3</Pages>
  <Words>584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3793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Spanish</dc:creator>
  <dc:description>Template used by DPM and CPI for the WTSA-16</dc:description>
  <cp:lastModifiedBy>Fuenmayor, Maria C</cp:lastModifiedBy>
  <cp:revision>10</cp:revision>
  <cp:lastPrinted>2016-03-08T15:23:00Z</cp:lastPrinted>
  <dcterms:created xsi:type="dcterms:W3CDTF">2016-09-02T12:07:00Z</dcterms:created>
  <dcterms:modified xsi:type="dcterms:W3CDTF">2016-09-16T22:15:00Z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