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02" w:rsidRDefault="00AB3C02" w:rsidP="00AB3C02">
      <w:pPr>
        <w:spacing w:line="200" w:lineRule="exact"/>
        <w:rPr>
          <w:rFonts w:ascii="Times New Roman" w:eastAsia="Times New Roman" w:hAnsi="Times New Roman"/>
          <w:sz w:val="24"/>
        </w:rPr>
      </w:pPr>
      <w:bookmarkStart w:id="0" w:name="page1"/>
      <w:bookmarkEnd w:id="0"/>
      <w:r>
        <w:rPr>
          <w:noProof/>
          <w:lang w:val="en-US" w:eastAsia="en-US"/>
        </w:rPr>
        <w:drawing>
          <wp:anchor distT="0" distB="0" distL="114300" distR="114300" simplePos="0" relativeHeight="251659264" behindDoc="1" locked="0" layoutInCell="1" allowOverlap="1" wp14:anchorId="67341315" wp14:editId="53CD021E">
            <wp:simplePos x="0" y="0"/>
            <wp:positionH relativeFrom="page">
              <wp:posOffset>3562350</wp:posOffset>
            </wp:positionH>
            <wp:positionV relativeFrom="page">
              <wp:posOffset>914400</wp:posOffset>
            </wp:positionV>
            <wp:extent cx="647700" cy="733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pic:spPr>
                </pic:pic>
              </a:graphicData>
            </a:graphic>
            <wp14:sizeRelH relativeFrom="page">
              <wp14:pctWidth>0</wp14:pctWidth>
            </wp14:sizeRelH>
            <wp14:sizeRelV relativeFrom="page">
              <wp14:pctHeight>0</wp14:pctHeight>
            </wp14:sizeRelV>
          </wp:anchor>
        </w:drawing>
      </w:r>
    </w:p>
    <w:p w:rsidR="00AB3C02" w:rsidRDefault="00AB3C02" w:rsidP="00AB3C02">
      <w:pPr>
        <w:spacing w:line="200" w:lineRule="exact"/>
        <w:rPr>
          <w:rFonts w:ascii="Times New Roman" w:eastAsia="Times New Roman" w:hAnsi="Times New Roman"/>
          <w:sz w:val="24"/>
        </w:rPr>
      </w:pPr>
    </w:p>
    <w:p w:rsidR="00AB3C02" w:rsidRDefault="00AB3C02" w:rsidP="00AB3C02">
      <w:pPr>
        <w:spacing w:line="200" w:lineRule="exact"/>
        <w:rPr>
          <w:rFonts w:ascii="Times New Roman" w:eastAsia="Times New Roman" w:hAnsi="Times New Roman"/>
          <w:sz w:val="24"/>
        </w:rPr>
      </w:pPr>
    </w:p>
    <w:p w:rsidR="00AB3C02" w:rsidRDefault="00AB3C02" w:rsidP="00AB3C02">
      <w:pPr>
        <w:spacing w:line="200" w:lineRule="exact"/>
        <w:rPr>
          <w:rFonts w:ascii="Times New Roman" w:eastAsia="Times New Roman" w:hAnsi="Times New Roman"/>
          <w:sz w:val="24"/>
        </w:rPr>
      </w:pPr>
    </w:p>
    <w:p w:rsidR="00AB3C02" w:rsidRDefault="00AB3C02" w:rsidP="00AB3C02">
      <w:pPr>
        <w:spacing w:line="200" w:lineRule="exact"/>
        <w:rPr>
          <w:rFonts w:ascii="Times New Roman" w:eastAsia="Times New Roman" w:hAnsi="Times New Roman"/>
          <w:sz w:val="24"/>
        </w:rPr>
      </w:pPr>
    </w:p>
    <w:p w:rsidR="00AB3C02" w:rsidRDefault="00AB3C02" w:rsidP="00AB3C02">
      <w:pPr>
        <w:spacing w:line="200" w:lineRule="exact"/>
        <w:rPr>
          <w:rFonts w:ascii="Times New Roman" w:eastAsia="Times New Roman" w:hAnsi="Times New Roman"/>
          <w:sz w:val="24"/>
        </w:rPr>
      </w:pPr>
    </w:p>
    <w:p w:rsidR="00AB3C02" w:rsidRDefault="00AB3C02" w:rsidP="00AB3C02">
      <w:pPr>
        <w:spacing w:line="278" w:lineRule="exact"/>
        <w:rPr>
          <w:rFonts w:ascii="Times New Roman" w:eastAsia="Times New Roman" w:hAnsi="Times New Roman"/>
          <w:sz w:val="24"/>
        </w:rPr>
      </w:pPr>
    </w:p>
    <w:p w:rsidR="00AB3C02" w:rsidRDefault="00AB3C02" w:rsidP="00AB3C02">
      <w:pPr>
        <w:spacing w:line="0" w:lineRule="atLeast"/>
        <w:ind w:right="60"/>
        <w:jc w:val="center"/>
        <w:rPr>
          <w:b/>
          <w:sz w:val="28"/>
        </w:rPr>
      </w:pPr>
      <w:r>
        <w:rPr>
          <w:b/>
          <w:sz w:val="28"/>
        </w:rPr>
        <w:t xml:space="preserve">CTO </w:t>
      </w:r>
      <w:r w:rsidR="00942B71">
        <w:rPr>
          <w:b/>
          <w:sz w:val="28"/>
        </w:rPr>
        <w:t xml:space="preserve">CONSULTATION </w:t>
      </w:r>
      <w:r>
        <w:rPr>
          <w:b/>
          <w:sz w:val="28"/>
        </w:rPr>
        <w:t>MEETING</w:t>
      </w:r>
    </w:p>
    <w:p w:rsidR="00AB3C02" w:rsidRDefault="00AB3C02" w:rsidP="00AB3C02">
      <w:pPr>
        <w:spacing w:line="184" w:lineRule="exact"/>
        <w:rPr>
          <w:rFonts w:ascii="Times New Roman" w:eastAsia="Times New Roman" w:hAnsi="Times New Roman"/>
          <w:sz w:val="24"/>
        </w:rPr>
      </w:pPr>
    </w:p>
    <w:p w:rsidR="00AB3C02" w:rsidRDefault="00942B71" w:rsidP="00942B71">
      <w:pPr>
        <w:spacing w:line="0" w:lineRule="atLeast"/>
        <w:ind w:right="60"/>
        <w:jc w:val="center"/>
        <w:rPr>
          <w:b/>
          <w:sz w:val="24"/>
        </w:rPr>
      </w:pPr>
      <w:r>
        <w:rPr>
          <w:b/>
          <w:sz w:val="24"/>
        </w:rPr>
        <w:t>16 July 2019</w:t>
      </w:r>
      <w:r w:rsidR="00AB3C02">
        <w:rPr>
          <w:b/>
          <w:sz w:val="24"/>
        </w:rPr>
        <w:t xml:space="preserve">, </w:t>
      </w:r>
      <w:r>
        <w:rPr>
          <w:b/>
          <w:sz w:val="24"/>
        </w:rPr>
        <w:t>Tokyo</w:t>
      </w:r>
      <w:r w:rsidR="00AB3C02">
        <w:rPr>
          <w:b/>
          <w:sz w:val="24"/>
        </w:rPr>
        <w:t xml:space="preserve">, </w:t>
      </w:r>
      <w:r>
        <w:rPr>
          <w:b/>
          <w:sz w:val="24"/>
        </w:rPr>
        <w:t>Japan</w:t>
      </w:r>
    </w:p>
    <w:p w:rsidR="00AB3C02" w:rsidRDefault="00AB3C02" w:rsidP="00AB3C02">
      <w:pPr>
        <w:spacing w:line="187" w:lineRule="exact"/>
        <w:rPr>
          <w:rFonts w:ascii="Times New Roman" w:eastAsia="Times New Roman" w:hAnsi="Times New Roman"/>
          <w:sz w:val="24"/>
        </w:rPr>
      </w:pPr>
    </w:p>
    <w:p w:rsidR="00AB3C02" w:rsidRPr="008176F0" w:rsidRDefault="00AB3C02" w:rsidP="008176F0">
      <w:pPr>
        <w:spacing w:line="0" w:lineRule="atLeast"/>
        <w:ind w:right="60"/>
        <w:jc w:val="center"/>
        <w:rPr>
          <w:b/>
          <w:bCs/>
          <w:sz w:val="28"/>
          <w:szCs w:val="28"/>
        </w:rPr>
      </w:pPr>
      <w:r w:rsidRPr="008D352D">
        <w:rPr>
          <w:b/>
          <w:bCs/>
          <w:sz w:val="28"/>
          <w:szCs w:val="28"/>
        </w:rPr>
        <w:t>COMMUNIQUÉ</w:t>
      </w:r>
    </w:p>
    <w:p w:rsidR="00AB3C02" w:rsidRPr="006043CB" w:rsidRDefault="00AB3C02" w:rsidP="00AB3C02">
      <w:pPr>
        <w:adjustRightInd w:val="0"/>
        <w:snapToGrid w:val="0"/>
        <w:spacing w:line="233" w:lineRule="exact"/>
        <w:rPr>
          <w:rFonts w:eastAsia="Times New Roman"/>
          <w:sz w:val="22"/>
          <w:szCs w:val="22"/>
        </w:rPr>
      </w:pPr>
    </w:p>
    <w:p w:rsidR="00F27FB2" w:rsidRDefault="00AB3C02" w:rsidP="00201BE8">
      <w:pPr>
        <w:adjustRightInd w:val="0"/>
        <w:snapToGrid w:val="0"/>
        <w:spacing w:line="247" w:lineRule="auto"/>
        <w:ind w:right="60"/>
        <w:rPr>
          <w:sz w:val="22"/>
          <w:szCs w:val="22"/>
        </w:rPr>
      </w:pPr>
      <w:r w:rsidRPr="006043CB">
        <w:rPr>
          <w:sz w:val="22"/>
          <w:szCs w:val="22"/>
        </w:rPr>
        <w:t xml:space="preserve">Chief Technology Officers (CTOs) </w:t>
      </w:r>
      <w:r w:rsidR="00B5103C">
        <w:rPr>
          <w:sz w:val="22"/>
          <w:szCs w:val="22"/>
        </w:rPr>
        <w:t xml:space="preserve">from China, Japan and Korea </w:t>
      </w:r>
      <w:r w:rsidRPr="006043CB">
        <w:rPr>
          <w:sz w:val="22"/>
          <w:szCs w:val="22"/>
        </w:rPr>
        <w:t xml:space="preserve">met with the senior management of the ITU Telecommunication Standardization Bureau </w:t>
      </w:r>
      <w:r w:rsidR="00B5103C">
        <w:rPr>
          <w:sz w:val="22"/>
          <w:szCs w:val="22"/>
        </w:rPr>
        <w:t xml:space="preserve">at a </w:t>
      </w:r>
      <w:r w:rsidRPr="006043CB">
        <w:rPr>
          <w:sz w:val="22"/>
          <w:szCs w:val="22"/>
        </w:rPr>
        <w:t>CTO</w:t>
      </w:r>
      <w:r>
        <w:rPr>
          <w:sz w:val="22"/>
          <w:szCs w:val="22"/>
        </w:rPr>
        <w:t xml:space="preserve"> </w:t>
      </w:r>
      <w:r w:rsidR="00B5103C">
        <w:rPr>
          <w:sz w:val="22"/>
          <w:szCs w:val="22"/>
        </w:rPr>
        <w:t>consultation m</w:t>
      </w:r>
      <w:r w:rsidRPr="006043CB">
        <w:rPr>
          <w:sz w:val="22"/>
          <w:szCs w:val="22"/>
        </w:rPr>
        <w:t xml:space="preserve">eeting in </w:t>
      </w:r>
      <w:r w:rsidR="00B5103C">
        <w:rPr>
          <w:sz w:val="22"/>
          <w:szCs w:val="22"/>
        </w:rPr>
        <w:t>Tokyo</w:t>
      </w:r>
      <w:r w:rsidRPr="006043CB">
        <w:rPr>
          <w:sz w:val="22"/>
          <w:szCs w:val="22"/>
        </w:rPr>
        <w:t xml:space="preserve">, </w:t>
      </w:r>
      <w:r w:rsidR="00B5103C">
        <w:rPr>
          <w:sz w:val="22"/>
          <w:szCs w:val="22"/>
        </w:rPr>
        <w:t>Japan, 16 July 2019</w:t>
      </w:r>
      <w:r>
        <w:rPr>
          <w:sz w:val="22"/>
          <w:szCs w:val="22"/>
        </w:rPr>
        <w:t xml:space="preserve">, </w:t>
      </w:r>
      <w:r w:rsidR="00942B71">
        <w:rPr>
          <w:sz w:val="22"/>
          <w:szCs w:val="22"/>
        </w:rPr>
        <w:t xml:space="preserve">kindly </w:t>
      </w:r>
      <w:r w:rsidR="00B5103C">
        <w:rPr>
          <w:sz w:val="22"/>
          <w:szCs w:val="22"/>
        </w:rPr>
        <w:t>hosted by Japan’s Telecommunication Technology Committee</w:t>
      </w:r>
      <w:r>
        <w:rPr>
          <w:sz w:val="22"/>
          <w:szCs w:val="22"/>
        </w:rPr>
        <w:t>.</w:t>
      </w:r>
      <w:r w:rsidRPr="006043CB">
        <w:rPr>
          <w:sz w:val="22"/>
          <w:szCs w:val="22"/>
        </w:rPr>
        <w:t xml:space="preserve"> </w:t>
      </w:r>
      <w:r>
        <w:rPr>
          <w:sz w:val="22"/>
          <w:szCs w:val="22"/>
        </w:rPr>
        <w:t xml:space="preserve">The </w:t>
      </w:r>
      <w:r w:rsidR="00942B71">
        <w:rPr>
          <w:sz w:val="22"/>
          <w:szCs w:val="22"/>
        </w:rPr>
        <w:t xml:space="preserve">consultation meeting brought </w:t>
      </w:r>
      <w:r w:rsidRPr="006043CB">
        <w:rPr>
          <w:sz w:val="22"/>
          <w:szCs w:val="22"/>
        </w:rPr>
        <w:t xml:space="preserve">CTOs </w:t>
      </w:r>
      <w:r>
        <w:rPr>
          <w:sz w:val="22"/>
          <w:szCs w:val="22"/>
        </w:rPr>
        <w:t xml:space="preserve">together to </w:t>
      </w:r>
      <w:r w:rsidRPr="006043CB">
        <w:rPr>
          <w:sz w:val="22"/>
          <w:szCs w:val="22"/>
        </w:rPr>
        <w:t>exchange views on industry needs and related standardization priorities.</w:t>
      </w:r>
    </w:p>
    <w:p w:rsidR="00AB3C02" w:rsidRDefault="00AB3C02" w:rsidP="00AB3C02">
      <w:pPr>
        <w:adjustRightInd w:val="0"/>
        <w:snapToGrid w:val="0"/>
        <w:spacing w:line="247" w:lineRule="auto"/>
        <w:ind w:right="60"/>
        <w:rPr>
          <w:sz w:val="22"/>
          <w:szCs w:val="22"/>
        </w:rPr>
      </w:pPr>
      <w:bookmarkStart w:id="1" w:name="_GoBack"/>
      <w:bookmarkEnd w:id="1"/>
    </w:p>
    <w:p w:rsidR="00B5103C" w:rsidRDefault="00D52BF9" w:rsidP="00201BE8">
      <w:pPr>
        <w:adjustRightInd w:val="0"/>
        <w:snapToGrid w:val="0"/>
        <w:spacing w:line="247" w:lineRule="auto"/>
        <w:ind w:right="60"/>
        <w:rPr>
          <w:sz w:val="22"/>
          <w:szCs w:val="22"/>
        </w:rPr>
      </w:pPr>
      <w:r>
        <w:rPr>
          <w:sz w:val="22"/>
          <w:szCs w:val="22"/>
        </w:rPr>
        <w:t xml:space="preserve">CTOs discussed the </w:t>
      </w:r>
      <w:r w:rsidR="00201BE8">
        <w:rPr>
          <w:sz w:val="22"/>
          <w:szCs w:val="22"/>
        </w:rPr>
        <w:t>evolution of standardization activities in view of the open-source movement and network ‘</w:t>
      </w:r>
      <w:proofErr w:type="spellStart"/>
      <w:r w:rsidR="00201BE8">
        <w:rPr>
          <w:sz w:val="22"/>
          <w:szCs w:val="22"/>
        </w:rPr>
        <w:t>softwarization</w:t>
      </w:r>
      <w:proofErr w:type="spellEnd"/>
      <w:r w:rsidR="00201BE8">
        <w:rPr>
          <w:sz w:val="22"/>
          <w:szCs w:val="22"/>
        </w:rPr>
        <w:t xml:space="preserve">’, the </w:t>
      </w:r>
      <w:r>
        <w:rPr>
          <w:sz w:val="22"/>
          <w:szCs w:val="22"/>
        </w:rPr>
        <w:t>value of Artificial Intelligence (AI)</w:t>
      </w:r>
      <w:r w:rsidR="00201BE8">
        <w:rPr>
          <w:sz w:val="22"/>
          <w:szCs w:val="22"/>
        </w:rPr>
        <w:t xml:space="preserve"> to the automation of network operation and maintenance</w:t>
      </w:r>
      <w:r>
        <w:rPr>
          <w:sz w:val="22"/>
          <w:szCs w:val="22"/>
        </w:rPr>
        <w:t xml:space="preserve">, </w:t>
      </w:r>
      <w:r w:rsidR="00201BE8">
        <w:rPr>
          <w:sz w:val="22"/>
          <w:szCs w:val="22"/>
        </w:rPr>
        <w:t xml:space="preserve">the importance of </w:t>
      </w:r>
      <w:r>
        <w:rPr>
          <w:sz w:val="22"/>
          <w:szCs w:val="22"/>
        </w:rPr>
        <w:t xml:space="preserve">preparations for </w:t>
      </w:r>
      <w:r w:rsidR="00201BE8">
        <w:rPr>
          <w:sz w:val="22"/>
          <w:szCs w:val="22"/>
        </w:rPr>
        <w:t xml:space="preserve">the arrival of quantum </w:t>
      </w:r>
      <w:r w:rsidR="002D54BE">
        <w:rPr>
          <w:sz w:val="22"/>
          <w:szCs w:val="22"/>
        </w:rPr>
        <w:t>information technologies</w:t>
      </w:r>
      <w:r w:rsidR="00201BE8">
        <w:rPr>
          <w:sz w:val="22"/>
          <w:szCs w:val="22"/>
        </w:rPr>
        <w:t xml:space="preserve">, </w:t>
      </w:r>
      <w:r w:rsidR="00264938">
        <w:rPr>
          <w:sz w:val="22"/>
          <w:szCs w:val="22"/>
        </w:rPr>
        <w:t xml:space="preserve">the necessity of investment in all-fibre networks, </w:t>
      </w:r>
      <w:r w:rsidR="00201BE8">
        <w:rPr>
          <w:sz w:val="22"/>
          <w:szCs w:val="22"/>
        </w:rPr>
        <w:t xml:space="preserve">and </w:t>
      </w:r>
      <w:r w:rsidR="008176F0">
        <w:rPr>
          <w:sz w:val="22"/>
          <w:szCs w:val="22"/>
        </w:rPr>
        <w:t xml:space="preserve">the </w:t>
      </w:r>
      <w:r w:rsidR="00201BE8">
        <w:rPr>
          <w:sz w:val="22"/>
          <w:szCs w:val="22"/>
        </w:rPr>
        <w:t xml:space="preserve">increasing relevance of innovation in support of datacentre interconnection. </w:t>
      </w:r>
    </w:p>
    <w:p w:rsidR="00B5103C" w:rsidRDefault="00B5103C" w:rsidP="00B5103C">
      <w:pPr>
        <w:adjustRightInd w:val="0"/>
        <w:snapToGrid w:val="0"/>
        <w:spacing w:line="247" w:lineRule="auto"/>
        <w:ind w:right="60"/>
        <w:rPr>
          <w:sz w:val="22"/>
          <w:szCs w:val="22"/>
        </w:rPr>
      </w:pPr>
    </w:p>
    <w:p w:rsidR="004731A3" w:rsidRDefault="00F144E2" w:rsidP="00B5103C">
      <w:pPr>
        <w:adjustRightInd w:val="0"/>
        <w:snapToGrid w:val="0"/>
        <w:spacing w:line="247" w:lineRule="auto"/>
        <w:ind w:right="60"/>
        <w:rPr>
          <w:b/>
          <w:bCs/>
          <w:sz w:val="22"/>
          <w:szCs w:val="22"/>
        </w:rPr>
      </w:pPr>
      <w:r>
        <w:rPr>
          <w:b/>
          <w:bCs/>
          <w:sz w:val="22"/>
          <w:szCs w:val="22"/>
        </w:rPr>
        <w:t xml:space="preserve">Standardization and open innovation </w:t>
      </w:r>
    </w:p>
    <w:p w:rsidR="00F144E2" w:rsidRDefault="00F144E2" w:rsidP="00B5103C">
      <w:pPr>
        <w:adjustRightInd w:val="0"/>
        <w:snapToGrid w:val="0"/>
        <w:spacing w:line="247" w:lineRule="auto"/>
        <w:ind w:right="60"/>
        <w:rPr>
          <w:b/>
          <w:bCs/>
          <w:sz w:val="22"/>
          <w:szCs w:val="22"/>
        </w:rPr>
      </w:pPr>
    </w:p>
    <w:p w:rsidR="00A618E7" w:rsidRDefault="00DC1931" w:rsidP="00DC1931">
      <w:pPr>
        <w:adjustRightInd w:val="0"/>
        <w:snapToGrid w:val="0"/>
        <w:spacing w:line="247" w:lineRule="auto"/>
        <w:ind w:right="60"/>
        <w:rPr>
          <w:sz w:val="22"/>
          <w:szCs w:val="22"/>
        </w:rPr>
      </w:pPr>
      <w:r>
        <w:rPr>
          <w:sz w:val="22"/>
          <w:szCs w:val="22"/>
        </w:rPr>
        <w:t>The exp</w:t>
      </w:r>
      <w:r w:rsidR="005028F8">
        <w:rPr>
          <w:sz w:val="22"/>
          <w:szCs w:val="22"/>
        </w:rPr>
        <w:t xml:space="preserve">ansion in </w:t>
      </w:r>
      <w:r>
        <w:rPr>
          <w:sz w:val="22"/>
          <w:szCs w:val="22"/>
        </w:rPr>
        <w:t>the</w:t>
      </w:r>
      <w:r w:rsidR="001D0644">
        <w:rPr>
          <w:sz w:val="22"/>
          <w:szCs w:val="22"/>
        </w:rPr>
        <w:t xml:space="preserve"> variety of goods and servi</w:t>
      </w:r>
      <w:r>
        <w:rPr>
          <w:sz w:val="22"/>
          <w:szCs w:val="22"/>
        </w:rPr>
        <w:t xml:space="preserve">ces connected to the network has had </w:t>
      </w:r>
      <w:r w:rsidR="00A618E7">
        <w:rPr>
          <w:sz w:val="22"/>
          <w:szCs w:val="22"/>
        </w:rPr>
        <w:t>significant implications for standardization,</w:t>
      </w:r>
      <w:r w:rsidR="001D0644">
        <w:rPr>
          <w:sz w:val="22"/>
          <w:szCs w:val="22"/>
        </w:rPr>
        <w:t xml:space="preserve"> said CTOs, particularly in </w:t>
      </w:r>
      <w:r w:rsidR="00201BE8">
        <w:rPr>
          <w:sz w:val="22"/>
          <w:szCs w:val="22"/>
        </w:rPr>
        <w:t xml:space="preserve">view of the </w:t>
      </w:r>
      <w:r w:rsidR="001D0644">
        <w:rPr>
          <w:sz w:val="22"/>
          <w:szCs w:val="22"/>
        </w:rPr>
        <w:t xml:space="preserve">high expectations on </w:t>
      </w:r>
      <w:r w:rsidR="00595252">
        <w:rPr>
          <w:sz w:val="22"/>
          <w:szCs w:val="22"/>
        </w:rPr>
        <w:t>IMT-2020/</w:t>
      </w:r>
      <w:r w:rsidR="001D0644">
        <w:rPr>
          <w:sz w:val="22"/>
          <w:szCs w:val="22"/>
        </w:rPr>
        <w:t xml:space="preserve">5G, the Internet of Things (IoT) and Artificial Intelligence (AI). </w:t>
      </w:r>
    </w:p>
    <w:p w:rsidR="001D0644" w:rsidRDefault="001D0644" w:rsidP="001D0644">
      <w:pPr>
        <w:adjustRightInd w:val="0"/>
        <w:snapToGrid w:val="0"/>
        <w:spacing w:line="247" w:lineRule="auto"/>
        <w:ind w:right="60"/>
        <w:rPr>
          <w:sz w:val="22"/>
          <w:szCs w:val="22"/>
        </w:rPr>
      </w:pPr>
    </w:p>
    <w:p w:rsidR="003F0F91" w:rsidRDefault="001D0644" w:rsidP="00384904">
      <w:pPr>
        <w:adjustRightInd w:val="0"/>
        <w:snapToGrid w:val="0"/>
        <w:spacing w:line="247" w:lineRule="auto"/>
        <w:ind w:right="60"/>
        <w:rPr>
          <w:sz w:val="22"/>
          <w:szCs w:val="22"/>
        </w:rPr>
      </w:pPr>
      <w:r>
        <w:rPr>
          <w:sz w:val="22"/>
          <w:szCs w:val="22"/>
        </w:rPr>
        <w:t xml:space="preserve">CTOs highlighted the importance of </w:t>
      </w:r>
      <w:r w:rsidR="004919D4">
        <w:rPr>
          <w:sz w:val="22"/>
          <w:szCs w:val="22"/>
        </w:rPr>
        <w:t xml:space="preserve">the shift </w:t>
      </w:r>
      <w:r>
        <w:rPr>
          <w:sz w:val="22"/>
          <w:szCs w:val="22"/>
        </w:rPr>
        <w:t>towards software-driven netwo</w:t>
      </w:r>
      <w:r w:rsidR="00595252">
        <w:rPr>
          <w:sz w:val="22"/>
          <w:szCs w:val="22"/>
        </w:rPr>
        <w:t xml:space="preserve">rk </w:t>
      </w:r>
      <w:r w:rsidR="00384904">
        <w:rPr>
          <w:sz w:val="22"/>
          <w:szCs w:val="22"/>
        </w:rPr>
        <w:t>management and orchestration</w:t>
      </w:r>
      <w:r w:rsidR="003A4C44">
        <w:rPr>
          <w:sz w:val="22"/>
          <w:szCs w:val="22"/>
        </w:rPr>
        <w:t xml:space="preserve">, in parallel </w:t>
      </w:r>
      <w:r w:rsidR="00595252">
        <w:rPr>
          <w:sz w:val="22"/>
          <w:szCs w:val="22"/>
        </w:rPr>
        <w:t>emphas</w:t>
      </w:r>
      <w:r w:rsidR="003A4C44">
        <w:rPr>
          <w:sz w:val="22"/>
          <w:szCs w:val="22"/>
        </w:rPr>
        <w:t>izing</w:t>
      </w:r>
      <w:r w:rsidR="00595252">
        <w:rPr>
          <w:sz w:val="22"/>
          <w:szCs w:val="22"/>
        </w:rPr>
        <w:t xml:space="preserve"> </w:t>
      </w:r>
      <w:r w:rsidR="004919D4">
        <w:rPr>
          <w:sz w:val="22"/>
          <w:szCs w:val="22"/>
        </w:rPr>
        <w:t>the</w:t>
      </w:r>
      <w:r>
        <w:rPr>
          <w:sz w:val="22"/>
          <w:szCs w:val="22"/>
        </w:rPr>
        <w:t xml:space="preserve"> </w:t>
      </w:r>
      <w:r w:rsidR="004919D4">
        <w:rPr>
          <w:sz w:val="22"/>
          <w:szCs w:val="22"/>
        </w:rPr>
        <w:t xml:space="preserve">value of the open-source movement to the </w:t>
      </w:r>
      <w:r>
        <w:rPr>
          <w:sz w:val="22"/>
          <w:szCs w:val="22"/>
        </w:rPr>
        <w:t xml:space="preserve">rapid, flexible allocation of network resources to be required in the 5G era and beyond. </w:t>
      </w:r>
    </w:p>
    <w:p w:rsidR="003F0F91" w:rsidRDefault="003F0F91" w:rsidP="004919D4">
      <w:pPr>
        <w:adjustRightInd w:val="0"/>
        <w:snapToGrid w:val="0"/>
        <w:spacing w:line="247" w:lineRule="auto"/>
        <w:ind w:right="60"/>
        <w:rPr>
          <w:sz w:val="22"/>
          <w:szCs w:val="22"/>
        </w:rPr>
      </w:pPr>
    </w:p>
    <w:p w:rsidR="00595252" w:rsidRDefault="001D0644" w:rsidP="004919D4">
      <w:pPr>
        <w:adjustRightInd w:val="0"/>
        <w:snapToGrid w:val="0"/>
        <w:spacing w:line="247" w:lineRule="auto"/>
        <w:ind w:right="60"/>
        <w:rPr>
          <w:sz w:val="22"/>
          <w:szCs w:val="22"/>
        </w:rPr>
      </w:pPr>
      <w:r>
        <w:rPr>
          <w:sz w:val="22"/>
          <w:szCs w:val="22"/>
        </w:rPr>
        <w:t>The importance of open innovation to the development of both softwa</w:t>
      </w:r>
      <w:r w:rsidR="00595252">
        <w:rPr>
          <w:sz w:val="22"/>
          <w:szCs w:val="22"/>
        </w:rPr>
        <w:t>re and hardware will lead to more</w:t>
      </w:r>
      <w:r>
        <w:rPr>
          <w:sz w:val="22"/>
          <w:szCs w:val="22"/>
        </w:rPr>
        <w:t xml:space="preserve"> diversified standa</w:t>
      </w:r>
      <w:r w:rsidR="00DC1931">
        <w:rPr>
          <w:sz w:val="22"/>
          <w:szCs w:val="22"/>
        </w:rPr>
        <w:t>rdization activities, said CTOs,</w:t>
      </w:r>
      <w:r>
        <w:rPr>
          <w:sz w:val="22"/>
          <w:szCs w:val="22"/>
        </w:rPr>
        <w:t xml:space="preserve"> </w:t>
      </w:r>
      <w:r w:rsidR="00F144E2">
        <w:rPr>
          <w:sz w:val="22"/>
          <w:szCs w:val="22"/>
        </w:rPr>
        <w:t>activities</w:t>
      </w:r>
      <w:r w:rsidR="00DC1931">
        <w:rPr>
          <w:sz w:val="22"/>
          <w:szCs w:val="22"/>
        </w:rPr>
        <w:t xml:space="preserve"> that must be</w:t>
      </w:r>
      <w:r w:rsidR="00F144E2">
        <w:rPr>
          <w:sz w:val="22"/>
          <w:szCs w:val="22"/>
        </w:rPr>
        <w:t xml:space="preserve"> capable of supporting technological as well as business aspects of open innovation.</w:t>
      </w:r>
      <w:r w:rsidR="00595252">
        <w:rPr>
          <w:sz w:val="22"/>
          <w:szCs w:val="22"/>
        </w:rPr>
        <w:t xml:space="preserve"> </w:t>
      </w:r>
    </w:p>
    <w:p w:rsidR="00595252" w:rsidRDefault="00595252" w:rsidP="004919D4">
      <w:pPr>
        <w:adjustRightInd w:val="0"/>
        <w:snapToGrid w:val="0"/>
        <w:spacing w:line="247" w:lineRule="auto"/>
        <w:ind w:right="60"/>
        <w:rPr>
          <w:sz w:val="22"/>
          <w:szCs w:val="22"/>
        </w:rPr>
      </w:pPr>
    </w:p>
    <w:p w:rsidR="00BE69A0" w:rsidRDefault="00595252" w:rsidP="00F60A1D">
      <w:pPr>
        <w:adjustRightInd w:val="0"/>
        <w:snapToGrid w:val="0"/>
        <w:spacing w:line="247" w:lineRule="auto"/>
        <w:ind w:right="60"/>
        <w:rPr>
          <w:sz w:val="22"/>
          <w:szCs w:val="22"/>
        </w:rPr>
      </w:pPr>
      <w:r>
        <w:rPr>
          <w:sz w:val="22"/>
          <w:szCs w:val="22"/>
        </w:rPr>
        <w:t xml:space="preserve">CTOs discussed examples of successful ITU </w:t>
      </w:r>
      <w:r w:rsidR="00F60A1D">
        <w:rPr>
          <w:sz w:val="22"/>
          <w:szCs w:val="22"/>
        </w:rPr>
        <w:t xml:space="preserve">interaction </w:t>
      </w:r>
      <w:r>
        <w:rPr>
          <w:sz w:val="22"/>
          <w:szCs w:val="22"/>
        </w:rPr>
        <w:t xml:space="preserve">with open-source communities, highlighting the </w:t>
      </w:r>
      <w:r w:rsidR="00F60A1D">
        <w:rPr>
          <w:sz w:val="22"/>
          <w:szCs w:val="22"/>
        </w:rPr>
        <w:t xml:space="preserve">value of this interaction </w:t>
      </w:r>
      <w:r w:rsidR="004F44ED">
        <w:rPr>
          <w:sz w:val="22"/>
          <w:szCs w:val="22"/>
        </w:rPr>
        <w:t xml:space="preserve">to both standardization and open-source projects. </w:t>
      </w:r>
    </w:p>
    <w:p w:rsidR="00BE69A0" w:rsidRDefault="00BE69A0" w:rsidP="00BE69A0">
      <w:pPr>
        <w:adjustRightInd w:val="0"/>
        <w:snapToGrid w:val="0"/>
        <w:spacing w:line="247" w:lineRule="auto"/>
        <w:ind w:right="60"/>
        <w:rPr>
          <w:sz w:val="22"/>
          <w:szCs w:val="22"/>
        </w:rPr>
      </w:pPr>
    </w:p>
    <w:p w:rsidR="00BE69A0" w:rsidRDefault="00BE69A0" w:rsidP="00384904">
      <w:pPr>
        <w:adjustRightInd w:val="0"/>
        <w:snapToGrid w:val="0"/>
        <w:spacing w:line="247" w:lineRule="auto"/>
        <w:ind w:right="60"/>
        <w:rPr>
          <w:sz w:val="22"/>
          <w:szCs w:val="22"/>
        </w:rPr>
      </w:pPr>
      <w:r>
        <w:rPr>
          <w:sz w:val="22"/>
          <w:szCs w:val="22"/>
        </w:rPr>
        <w:t xml:space="preserve">CTOs </w:t>
      </w:r>
      <w:r w:rsidR="003A4C44">
        <w:rPr>
          <w:sz w:val="22"/>
          <w:szCs w:val="22"/>
        </w:rPr>
        <w:t xml:space="preserve">explored </w:t>
      </w:r>
      <w:r w:rsidR="00F60A1D">
        <w:rPr>
          <w:sz w:val="22"/>
          <w:szCs w:val="22"/>
        </w:rPr>
        <w:t xml:space="preserve">in particular </w:t>
      </w:r>
      <w:r w:rsidR="003A4C44">
        <w:rPr>
          <w:sz w:val="22"/>
          <w:szCs w:val="22"/>
        </w:rPr>
        <w:t xml:space="preserve">the </w:t>
      </w:r>
      <w:r w:rsidR="004F44ED">
        <w:rPr>
          <w:sz w:val="22"/>
          <w:szCs w:val="22"/>
        </w:rPr>
        <w:t>concept of ‘closed-loop’</w:t>
      </w:r>
      <w:r>
        <w:rPr>
          <w:sz w:val="22"/>
          <w:szCs w:val="22"/>
        </w:rPr>
        <w:t xml:space="preserve"> standards</w:t>
      </w:r>
      <w:r w:rsidR="003A4C44">
        <w:rPr>
          <w:sz w:val="22"/>
          <w:szCs w:val="22"/>
        </w:rPr>
        <w:t xml:space="preserve">, the concept of </w:t>
      </w:r>
      <w:r w:rsidR="004F44ED">
        <w:rPr>
          <w:sz w:val="22"/>
          <w:szCs w:val="22"/>
        </w:rPr>
        <w:t xml:space="preserve">standardization and open-source projects </w:t>
      </w:r>
      <w:r w:rsidR="00F60A1D">
        <w:rPr>
          <w:sz w:val="22"/>
          <w:szCs w:val="22"/>
        </w:rPr>
        <w:t>taking a proactive approach to collaboration</w:t>
      </w:r>
      <w:r w:rsidR="00384904">
        <w:rPr>
          <w:sz w:val="22"/>
          <w:szCs w:val="22"/>
        </w:rPr>
        <w:t xml:space="preserve"> </w:t>
      </w:r>
      <w:r w:rsidR="00F60A1D">
        <w:rPr>
          <w:sz w:val="22"/>
          <w:szCs w:val="22"/>
        </w:rPr>
        <w:t>adopting</w:t>
      </w:r>
      <w:r w:rsidR="003A4C44">
        <w:rPr>
          <w:sz w:val="22"/>
          <w:szCs w:val="22"/>
        </w:rPr>
        <w:t xml:space="preserve"> </w:t>
      </w:r>
      <w:r w:rsidR="004F44ED">
        <w:rPr>
          <w:sz w:val="22"/>
          <w:szCs w:val="22"/>
        </w:rPr>
        <w:t xml:space="preserve">well-aligned timelines, iterative interaction and harmonized </w:t>
      </w:r>
      <w:r w:rsidR="003A4C44">
        <w:rPr>
          <w:sz w:val="22"/>
          <w:szCs w:val="22"/>
        </w:rPr>
        <w:t xml:space="preserve">terminology. Closed-loop standards development, said CTOs, </w:t>
      </w:r>
      <w:r>
        <w:rPr>
          <w:sz w:val="22"/>
          <w:szCs w:val="22"/>
        </w:rPr>
        <w:t>results in working instances of standards and practical feedback to standardization projects</w:t>
      </w:r>
      <w:r w:rsidR="003A4C44">
        <w:rPr>
          <w:sz w:val="22"/>
          <w:szCs w:val="22"/>
        </w:rPr>
        <w:t>, as well</w:t>
      </w:r>
      <w:r>
        <w:rPr>
          <w:sz w:val="22"/>
          <w:szCs w:val="22"/>
        </w:rPr>
        <w:t xml:space="preserve"> </w:t>
      </w:r>
      <w:r w:rsidR="003A4C44">
        <w:rPr>
          <w:sz w:val="22"/>
          <w:szCs w:val="22"/>
        </w:rPr>
        <w:t xml:space="preserve">as </w:t>
      </w:r>
      <w:r w:rsidR="00F60A1D">
        <w:rPr>
          <w:sz w:val="22"/>
          <w:szCs w:val="22"/>
        </w:rPr>
        <w:t xml:space="preserve">standard-compliant </w:t>
      </w:r>
      <w:r>
        <w:rPr>
          <w:sz w:val="22"/>
          <w:szCs w:val="22"/>
        </w:rPr>
        <w:t>code to open-</w:t>
      </w:r>
      <w:r w:rsidR="003A4C44">
        <w:rPr>
          <w:sz w:val="22"/>
          <w:szCs w:val="22"/>
        </w:rPr>
        <w:t>source projects</w:t>
      </w:r>
      <w:r>
        <w:rPr>
          <w:sz w:val="22"/>
          <w:szCs w:val="22"/>
        </w:rPr>
        <w:t xml:space="preserve">. </w:t>
      </w:r>
    </w:p>
    <w:p w:rsidR="00BE4D1D" w:rsidRDefault="00BE4D1D" w:rsidP="00887C53">
      <w:pPr>
        <w:adjustRightInd w:val="0"/>
        <w:snapToGrid w:val="0"/>
        <w:spacing w:line="247" w:lineRule="auto"/>
        <w:ind w:right="60"/>
        <w:rPr>
          <w:sz w:val="22"/>
          <w:szCs w:val="22"/>
        </w:rPr>
      </w:pPr>
    </w:p>
    <w:p w:rsidR="00BE4D1D" w:rsidRPr="002D0249" w:rsidRDefault="00384904" w:rsidP="00384904">
      <w:pPr>
        <w:adjustRightInd w:val="0"/>
        <w:snapToGrid w:val="0"/>
        <w:spacing w:line="247" w:lineRule="auto"/>
        <w:ind w:right="60"/>
        <w:rPr>
          <w:b/>
          <w:bCs/>
          <w:sz w:val="22"/>
          <w:szCs w:val="22"/>
        </w:rPr>
      </w:pPr>
      <w:r>
        <w:rPr>
          <w:b/>
          <w:bCs/>
          <w:sz w:val="22"/>
          <w:szCs w:val="22"/>
        </w:rPr>
        <w:t>Network</w:t>
      </w:r>
      <w:r w:rsidR="002D0249" w:rsidRPr="002D0249">
        <w:rPr>
          <w:b/>
          <w:bCs/>
          <w:sz w:val="22"/>
          <w:szCs w:val="22"/>
        </w:rPr>
        <w:t xml:space="preserve"> </w:t>
      </w:r>
      <w:r>
        <w:rPr>
          <w:b/>
          <w:bCs/>
          <w:sz w:val="22"/>
          <w:szCs w:val="22"/>
        </w:rPr>
        <w:t xml:space="preserve">slicing and </w:t>
      </w:r>
      <w:r w:rsidR="002D0249" w:rsidRPr="002D0249">
        <w:rPr>
          <w:b/>
          <w:bCs/>
          <w:sz w:val="22"/>
          <w:szCs w:val="22"/>
        </w:rPr>
        <w:t xml:space="preserve">AI </w:t>
      </w:r>
    </w:p>
    <w:p w:rsidR="00384904" w:rsidRDefault="00384904" w:rsidP="005028F8">
      <w:pPr>
        <w:adjustRightInd w:val="0"/>
        <w:snapToGrid w:val="0"/>
        <w:spacing w:line="247" w:lineRule="auto"/>
        <w:ind w:right="60"/>
        <w:rPr>
          <w:sz w:val="22"/>
          <w:szCs w:val="22"/>
        </w:rPr>
      </w:pPr>
    </w:p>
    <w:p w:rsidR="00961423" w:rsidRDefault="002D0249" w:rsidP="005028F8">
      <w:pPr>
        <w:adjustRightInd w:val="0"/>
        <w:snapToGrid w:val="0"/>
        <w:spacing w:line="247" w:lineRule="auto"/>
        <w:ind w:right="60"/>
        <w:rPr>
          <w:sz w:val="22"/>
          <w:szCs w:val="22"/>
        </w:rPr>
      </w:pPr>
      <w:r>
        <w:rPr>
          <w:sz w:val="22"/>
          <w:szCs w:val="22"/>
        </w:rPr>
        <w:t xml:space="preserve">CTOs discussed the value of AI to the automation of network service control. </w:t>
      </w:r>
      <w:r w:rsidR="004919D4">
        <w:rPr>
          <w:sz w:val="22"/>
          <w:szCs w:val="22"/>
        </w:rPr>
        <w:t>CTOs highlighted the role to be played by AI in t</w:t>
      </w:r>
      <w:r>
        <w:rPr>
          <w:sz w:val="22"/>
          <w:szCs w:val="22"/>
        </w:rPr>
        <w:t>he automation of network operation and maintenance</w:t>
      </w:r>
      <w:r w:rsidR="004919D4">
        <w:rPr>
          <w:sz w:val="22"/>
          <w:szCs w:val="22"/>
        </w:rPr>
        <w:t>, automation that CTOs said will continue to grow in</w:t>
      </w:r>
      <w:r>
        <w:rPr>
          <w:sz w:val="22"/>
          <w:szCs w:val="22"/>
        </w:rPr>
        <w:t xml:space="preserve"> importance as networks </w:t>
      </w:r>
      <w:r w:rsidR="004919D4">
        <w:rPr>
          <w:sz w:val="22"/>
          <w:szCs w:val="22"/>
        </w:rPr>
        <w:t xml:space="preserve">gain in </w:t>
      </w:r>
      <w:r w:rsidR="00961423">
        <w:rPr>
          <w:sz w:val="22"/>
          <w:szCs w:val="22"/>
        </w:rPr>
        <w:t>complexity</w:t>
      </w:r>
      <w:r w:rsidR="004919D4">
        <w:rPr>
          <w:sz w:val="22"/>
          <w:szCs w:val="22"/>
        </w:rPr>
        <w:t xml:space="preserve">. This increasing network </w:t>
      </w:r>
      <w:r w:rsidR="004919D4">
        <w:rPr>
          <w:sz w:val="22"/>
          <w:szCs w:val="22"/>
        </w:rPr>
        <w:lastRenderedPageBreak/>
        <w:t xml:space="preserve">complexity, noted CTOs, results from </w:t>
      </w:r>
      <w:r w:rsidR="005028F8">
        <w:rPr>
          <w:sz w:val="22"/>
          <w:szCs w:val="22"/>
        </w:rPr>
        <w:t xml:space="preserve">the need </w:t>
      </w:r>
      <w:r w:rsidR="00961423">
        <w:rPr>
          <w:sz w:val="22"/>
          <w:szCs w:val="22"/>
        </w:rPr>
        <w:t>to support the coexistence of a diverse range of ICT services</w:t>
      </w:r>
      <w:r w:rsidR="005028F8">
        <w:rPr>
          <w:sz w:val="22"/>
          <w:szCs w:val="22"/>
        </w:rPr>
        <w:t xml:space="preserve"> using specialized network slices. </w:t>
      </w:r>
      <w:r w:rsidR="00961423">
        <w:rPr>
          <w:sz w:val="22"/>
          <w:szCs w:val="22"/>
        </w:rPr>
        <w:t xml:space="preserve"> </w:t>
      </w:r>
    </w:p>
    <w:p w:rsidR="00961423" w:rsidRDefault="00961423" w:rsidP="00887C53">
      <w:pPr>
        <w:adjustRightInd w:val="0"/>
        <w:snapToGrid w:val="0"/>
        <w:spacing w:line="247" w:lineRule="auto"/>
        <w:ind w:right="60"/>
        <w:rPr>
          <w:sz w:val="22"/>
          <w:szCs w:val="22"/>
        </w:rPr>
      </w:pPr>
    </w:p>
    <w:p w:rsidR="00A12EA4" w:rsidRDefault="00961423" w:rsidP="00384904">
      <w:pPr>
        <w:adjustRightInd w:val="0"/>
        <w:snapToGrid w:val="0"/>
        <w:spacing w:line="247" w:lineRule="auto"/>
        <w:ind w:right="60"/>
        <w:rPr>
          <w:sz w:val="22"/>
          <w:szCs w:val="22"/>
        </w:rPr>
      </w:pPr>
      <w:r>
        <w:rPr>
          <w:sz w:val="22"/>
          <w:szCs w:val="22"/>
        </w:rPr>
        <w:t>Software-defined networking (SDN) and network function virtualization (N</w:t>
      </w:r>
      <w:r w:rsidR="00384904">
        <w:rPr>
          <w:sz w:val="22"/>
          <w:szCs w:val="22"/>
        </w:rPr>
        <w:t>FV) – key enablers of network slicing</w:t>
      </w:r>
      <w:r>
        <w:rPr>
          <w:sz w:val="22"/>
          <w:szCs w:val="22"/>
        </w:rPr>
        <w:t xml:space="preserve"> – will </w:t>
      </w:r>
      <w:r w:rsidR="008176F0">
        <w:rPr>
          <w:sz w:val="22"/>
          <w:szCs w:val="22"/>
        </w:rPr>
        <w:t xml:space="preserve">support </w:t>
      </w:r>
      <w:r>
        <w:rPr>
          <w:sz w:val="22"/>
          <w:szCs w:val="22"/>
        </w:rPr>
        <w:t xml:space="preserve">large-scale networks </w:t>
      </w:r>
      <w:r w:rsidR="004919D4">
        <w:rPr>
          <w:sz w:val="22"/>
          <w:szCs w:val="22"/>
        </w:rPr>
        <w:t>where</w:t>
      </w:r>
      <w:r>
        <w:rPr>
          <w:sz w:val="22"/>
          <w:szCs w:val="22"/>
        </w:rPr>
        <w:t xml:space="preserve"> network operation and system configuration </w:t>
      </w:r>
      <w:r w:rsidR="004919D4">
        <w:rPr>
          <w:sz w:val="22"/>
          <w:szCs w:val="22"/>
        </w:rPr>
        <w:t xml:space="preserve">will require </w:t>
      </w:r>
      <w:r>
        <w:rPr>
          <w:sz w:val="22"/>
          <w:szCs w:val="22"/>
        </w:rPr>
        <w:t xml:space="preserve">advanced skills in software. This shift, said CTOs, will call for the development of automation technologies for network design, construction, and operation and maintenance. </w:t>
      </w:r>
    </w:p>
    <w:p w:rsidR="00A12EA4" w:rsidRDefault="00A12EA4" w:rsidP="00887C53">
      <w:pPr>
        <w:adjustRightInd w:val="0"/>
        <w:snapToGrid w:val="0"/>
        <w:spacing w:line="247" w:lineRule="auto"/>
        <w:ind w:right="60"/>
        <w:rPr>
          <w:sz w:val="22"/>
          <w:szCs w:val="22"/>
        </w:rPr>
      </w:pPr>
    </w:p>
    <w:p w:rsidR="00D55277" w:rsidRDefault="00961423" w:rsidP="00384904">
      <w:pPr>
        <w:adjustRightInd w:val="0"/>
        <w:snapToGrid w:val="0"/>
        <w:spacing w:line="247" w:lineRule="auto"/>
        <w:ind w:right="60"/>
        <w:rPr>
          <w:sz w:val="22"/>
          <w:szCs w:val="22"/>
        </w:rPr>
      </w:pPr>
      <w:r>
        <w:rPr>
          <w:sz w:val="22"/>
          <w:szCs w:val="22"/>
        </w:rPr>
        <w:t xml:space="preserve">ITU </w:t>
      </w:r>
      <w:r w:rsidR="003F0F91">
        <w:rPr>
          <w:sz w:val="22"/>
          <w:szCs w:val="22"/>
        </w:rPr>
        <w:t xml:space="preserve">was encouraged </w:t>
      </w:r>
      <w:r>
        <w:rPr>
          <w:sz w:val="22"/>
          <w:szCs w:val="22"/>
        </w:rPr>
        <w:t xml:space="preserve">to </w:t>
      </w:r>
      <w:r w:rsidR="003A4C44">
        <w:rPr>
          <w:sz w:val="22"/>
          <w:szCs w:val="22"/>
        </w:rPr>
        <w:t xml:space="preserve">promote the availability of </w:t>
      </w:r>
      <w:r>
        <w:rPr>
          <w:sz w:val="22"/>
          <w:szCs w:val="22"/>
        </w:rPr>
        <w:t xml:space="preserve">open data, an effort </w:t>
      </w:r>
      <w:r w:rsidR="003F0F91">
        <w:rPr>
          <w:sz w:val="22"/>
          <w:szCs w:val="22"/>
        </w:rPr>
        <w:t xml:space="preserve">that CTOs said would </w:t>
      </w:r>
      <w:r>
        <w:rPr>
          <w:sz w:val="22"/>
          <w:szCs w:val="22"/>
        </w:rPr>
        <w:t xml:space="preserve">require the development of </w:t>
      </w:r>
      <w:r w:rsidR="00CE0ABE">
        <w:rPr>
          <w:sz w:val="22"/>
          <w:szCs w:val="22"/>
        </w:rPr>
        <w:t>a framework</w:t>
      </w:r>
      <w:r>
        <w:rPr>
          <w:sz w:val="22"/>
          <w:szCs w:val="22"/>
        </w:rPr>
        <w:t xml:space="preserve"> for data sharing </w:t>
      </w:r>
      <w:r w:rsidR="00CE0ABE">
        <w:rPr>
          <w:sz w:val="22"/>
          <w:szCs w:val="22"/>
        </w:rPr>
        <w:t xml:space="preserve">as well as methods for the assurance and refinement of data quality. </w:t>
      </w:r>
      <w:r w:rsidR="00384904">
        <w:rPr>
          <w:sz w:val="22"/>
          <w:szCs w:val="22"/>
        </w:rPr>
        <w:t xml:space="preserve">CTOs highlighted the importance of mechanisms to assess end-to-end Quality of Service (QoS) considering the increasing implementation of network slicing and AI. </w:t>
      </w:r>
      <w:r w:rsidR="00CE0ABE">
        <w:rPr>
          <w:sz w:val="22"/>
          <w:szCs w:val="22"/>
        </w:rPr>
        <w:t xml:space="preserve">CTOs requested </w:t>
      </w:r>
      <w:r w:rsidR="003F0F91">
        <w:rPr>
          <w:sz w:val="22"/>
          <w:szCs w:val="22"/>
        </w:rPr>
        <w:t xml:space="preserve">in addition that </w:t>
      </w:r>
      <w:r w:rsidR="00CE0ABE">
        <w:rPr>
          <w:sz w:val="22"/>
          <w:szCs w:val="22"/>
        </w:rPr>
        <w:t>ITU</w:t>
      </w:r>
      <w:r w:rsidR="003F0F91">
        <w:rPr>
          <w:sz w:val="22"/>
          <w:szCs w:val="22"/>
        </w:rPr>
        <w:t xml:space="preserve"> develop standards</w:t>
      </w:r>
      <w:r w:rsidR="00CE0ABE">
        <w:rPr>
          <w:sz w:val="22"/>
          <w:szCs w:val="22"/>
        </w:rPr>
        <w:t xml:space="preserve"> </w:t>
      </w:r>
      <w:r w:rsidR="003F0F91">
        <w:rPr>
          <w:sz w:val="22"/>
          <w:szCs w:val="22"/>
        </w:rPr>
        <w:t xml:space="preserve">promoting </w:t>
      </w:r>
      <w:r w:rsidR="00CE0ABE">
        <w:rPr>
          <w:sz w:val="22"/>
          <w:szCs w:val="22"/>
        </w:rPr>
        <w:t xml:space="preserve">interoperable AI techniques with respect to networks, technologies and data. </w:t>
      </w:r>
    </w:p>
    <w:p w:rsidR="00CE0ABE" w:rsidRDefault="00CE0ABE" w:rsidP="00CE0ABE">
      <w:pPr>
        <w:adjustRightInd w:val="0"/>
        <w:snapToGrid w:val="0"/>
        <w:spacing w:line="247" w:lineRule="auto"/>
        <w:ind w:right="60"/>
        <w:rPr>
          <w:sz w:val="22"/>
          <w:szCs w:val="22"/>
        </w:rPr>
      </w:pPr>
    </w:p>
    <w:p w:rsidR="00CE0ABE" w:rsidRPr="00CE0ABE" w:rsidRDefault="00CE0ABE" w:rsidP="00CE0ABE">
      <w:pPr>
        <w:adjustRightInd w:val="0"/>
        <w:snapToGrid w:val="0"/>
        <w:spacing w:line="247" w:lineRule="auto"/>
        <w:ind w:right="60"/>
        <w:rPr>
          <w:b/>
          <w:bCs/>
          <w:sz w:val="22"/>
          <w:szCs w:val="22"/>
        </w:rPr>
      </w:pPr>
      <w:r w:rsidRPr="00CE0ABE">
        <w:rPr>
          <w:b/>
          <w:bCs/>
          <w:sz w:val="22"/>
          <w:szCs w:val="22"/>
        </w:rPr>
        <w:t xml:space="preserve">Quantum </w:t>
      </w:r>
      <w:r w:rsidR="002D54BE">
        <w:rPr>
          <w:b/>
          <w:bCs/>
          <w:sz w:val="22"/>
          <w:szCs w:val="22"/>
        </w:rPr>
        <w:t xml:space="preserve">information </w:t>
      </w:r>
      <w:r w:rsidRPr="00CE0ABE">
        <w:rPr>
          <w:b/>
          <w:bCs/>
          <w:sz w:val="22"/>
          <w:szCs w:val="22"/>
        </w:rPr>
        <w:t xml:space="preserve">technologies </w:t>
      </w:r>
    </w:p>
    <w:p w:rsidR="00CE0ABE" w:rsidRDefault="00CE0ABE" w:rsidP="00CE0ABE">
      <w:pPr>
        <w:adjustRightInd w:val="0"/>
        <w:snapToGrid w:val="0"/>
        <w:spacing w:line="247" w:lineRule="auto"/>
        <w:ind w:right="60"/>
        <w:rPr>
          <w:sz w:val="22"/>
          <w:szCs w:val="22"/>
        </w:rPr>
      </w:pPr>
    </w:p>
    <w:p w:rsidR="00CE0ABE" w:rsidRDefault="008A3006" w:rsidP="000817E3">
      <w:pPr>
        <w:adjustRightInd w:val="0"/>
        <w:snapToGrid w:val="0"/>
        <w:spacing w:line="247" w:lineRule="auto"/>
        <w:ind w:right="60"/>
        <w:rPr>
          <w:sz w:val="22"/>
          <w:szCs w:val="22"/>
        </w:rPr>
      </w:pPr>
      <w:r w:rsidRPr="008A3006">
        <w:rPr>
          <w:sz w:val="22"/>
          <w:szCs w:val="22"/>
        </w:rPr>
        <w:t xml:space="preserve">ITU members are preparing for the arrival of quantum </w:t>
      </w:r>
      <w:r w:rsidR="002D54BE">
        <w:rPr>
          <w:sz w:val="22"/>
          <w:szCs w:val="22"/>
        </w:rPr>
        <w:t>information technologies</w:t>
      </w:r>
      <w:r w:rsidR="00AD215C">
        <w:rPr>
          <w:sz w:val="22"/>
          <w:szCs w:val="22"/>
        </w:rPr>
        <w:t xml:space="preserve"> </w:t>
      </w:r>
      <w:r w:rsidRPr="008A3006">
        <w:rPr>
          <w:sz w:val="22"/>
          <w:szCs w:val="22"/>
        </w:rPr>
        <w:t xml:space="preserve">based on the properties of quantum physics. Quantum </w:t>
      </w:r>
      <w:r w:rsidR="002D54BE">
        <w:rPr>
          <w:sz w:val="22"/>
          <w:szCs w:val="22"/>
        </w:rPr>
        <w:t xml:space="preserve">information </w:t>
      </w:r>
      <w:r w:rsidRPr="008A3006">
        <w:rPr>
          <w:sz w:val="22"/>
          <w:szCs w:val="22"/>
        </w:rPr>
        <w:t>technologies will be capable of solving problems beyond the reach of class</w:t>
      </w:r>
      <w:r w:rsidR="008176F0">
        <w:rPr>
          <w:sz w:val="22"/>
          <w:szCs w:val="22"/>
        </w:rPr>
        <w:t>ical</w:t>
      </w:r>
      <w:r w:rsidR="002D54BE">
        <w:rPr>
          <w:sz w:val="22"/>
          <w:szCs w:val="22"/>
        </w:rPr>
        <w:t xml:space="preserve"> information technologies</w:t>
      </w:r>
      <w:r w:rsidRPr="008A3006">
        <w:rPr>
          <w:sz w:val="22"/>
          <w:szCs w:val="22"/>
        </w:rPr>
        <w:t xml:space="preserve">. And although these </w:t>
      </w:r>
      <w:r w:rsidR="002D54BE">
        <w:rPr>
          <w:sz w:val="22"/>
          <w:szCs w:val="22"/>
        </w:rPr>
        <w:t xml:space="preserve">quantum information </w:t>
      </w:r>
      <w:r w:rsidRPr="008A3006">
        <w:rPr>
          <w:sz w:val="22"/>
          <w:szCs w:val="22"/>
        </w:rPr>
        <w:t>technologies are certain t</w:t>
      </w:r>
      <w:r w:rsidR="00201BE8">
        <w:rPr>
          <w:sz w:val="22"/>
          <w:szCs w:val="22"/>
        </w:rPr>
        <w:t>o bolster security defences, CTOs cautioned</w:t>
      </w:r>
      <w:r w:rsidRPr="008A3006">
        <w:rPr>
          <w:sz w:val="22"/>
          <w:szCs w:val="22"/>
        </w:rPr>
        <w:t xml:space="preserve"> that they will also bring greater strength to attacks.</w:t>
      </w:r>
    </w:p>
    <w:p w:rsidR="008A3006" w:rsidRDefault="008A3006" w:rsidP="008A3006">
      <w:pPr>
        <w:adjustRightInd w:val="0"/>
        <w:snapToGrid w:val="0"/>
        <w:spacing w:line="247" w:lineRule="auto"/>
        <w:ind w:right="60"/>
        <w:rPr>
          <w:sz w:val="22"/>
          <w:szCs w:val="22"/>
        </w:rPr>
      </w:pPr>
    </w:p>
    <w:p w:rsidR="006D1BDA" w:rsidRDefault="008A3006" w:rsidP="002B685E">
      <w:pPr>
        <w:adjustRightInd w:val="0"/>
        <w:snapToGrid w:val="0"/>
        <w:spacing w:line="247" w:lineRule="auto"/>
        <w:ind w:right="60"/>
        <w:rPr>
          <w:sz w:val="22"/>
          <w:szCs w:val="22"/>
        </w:rPr>
      </w:pPr>
      <w:r>
        <w:rPr>
          <w:sz w:val="22"/>
          <w:szCs w:val="22"/>
        </w:rPr>
        <w:t xml:space="preserve">CTOs </w:t>
      </w:r>
      <w:r w:rsidR="00D55277">
        <w:rPr>
          <w:sz w:val="22"/>
          <w:szCs w:val="22"/>
        </w:rPr>
        <w:t xml:space="preserve">highlighted their support for ITU’s ongoing </w:t>
      </w:r>
      <w:r>
        <w:rPr>
          <w:sz w:val="22"/>
          <w:szCs w:val="22"/>
        </w:rPr>
        <w:t>standardization activities on security</w:t>
      </w:r>
      <w:r w:rsidR="002B685E">
        <w:rPr>
          <w:sz w:val="22"/>
          <w:szCs w:val="22"/>
        </w:rPr>
        <w:t xml:space="preserve"> and network</w:t>
      </w:r>
      <w:r>
        <w:rPr>
          <w:sz w:val="22"/>
          <w:szCs w:val="22"/>
        </w:rPr>
        <w:t xml:space="preserve"> </w:t>
      </w:r>
      <w:r w:rsidR="00D55277">
        <w:rPr>
          <w:sz w:val="22"/>
          <w:szCs w:val="22"/>
        </w:rPr>
        <w:t xml:space="preserve">aspects of </w:t>
      </w:r>
      <w:r w:rsidR="002D54BE">
        <w:rPr>
          <w:sz w:val="22"/>
          <w:szCs w:val="22"/>
        </w:rPr>
        <w:t xml:space="preserve">quantum information </w:t>
      </w:r>
      <w:r w:rsidR="00D55277">
        <w:rPr>
          <w:sz w:val="22"/>
          <w:szCs w:val="22"/>
        </w:rPr>
        <w:t>technologies</w:t>
      </w:r>
      <w:r w:rsidR="002B685E">
        <w:rPr>
          <w:sz w:val="22"/>
          <w:szCs w:val="22"/>
        </w:rPr>
        <w:t>.</w:t>
      </w:r>
    </w:p>
    <w:p w:rsidR="006D1BDA" w:rsidRDefault="006D1BDA" w:rsidP="006D1BDA">
      <w:pPr>
        <w:adjustRightInd w:val="0"/>
        <w:snapToGrid w:val="0"/>
        <w:spacing w:line="247" w:lineRule="auto"/>
        <w:ind w:right="60"/>
        <w:rPr>
          <w:sz w:val="22"/>
          <w:szCs w:val="22"/>
        </w:rPr>
      </w:pPr>
    </w:p>
    <w:p w:rsidR="00D55277" w:rsidRDefault="00D55277" w:rsidP="0034562F">
      <w:pPr>
        <w:adjustRightInd w:val="0"/>
        <w:snapToGrid w:val="0"/>
        <w:spacing w:line="247" w:lineRule="auto"/>
        <w:ind w:right="60"/>
        <w:rPr>
          <w:sz w:val="22"/>
          <w:szCs w:val="22"/>
        </w:rPr>
      </w:pPr>
      <w:r w:rsidRPr="00D55277">
        <w:rPr>
          <w:sz w:val="22"/>
          <w:szCs w:val="22"/>
        </w:rPr>
        <w:t>Quantum</w:t>
      </w:r>
      <w:r w:rsidR="002D54BE">
        <w:rPr>
          <w:sz w:val="22"/>
          <w:szCs w:val="22"/>
        </w:rPr>
        <w:t xml:space="preserve"> information</w:t>
      </w:r>
      <w:r w:rsidRPr="00D55277">
        <w:rPr>
          <w:sz w:val="22"/>
          <w:szCs w:val="22"/>
        </w:rPr>
        <w:t xml:space="preserve"> technologies </w:t>
      </w:r>
      <w:r w:rsidR="000817E3">
        <w:rPr>
          <w:sz w:val="22"/>
          <w:szCs w:val="22"/>
        </w:rPr>
        <w:t xml:space="preserve">such </w:t>
      </w:r>
      <w:r w:rsidRPr="00D55277">
        <w:rPr>
          <w:sz w:val="22"/>
          <w:szCs w:val="22"/>
        </w:rPr>
        <w:t xml:space="preserve">as Quantum Key Distribution (QKD) or Quantum Random Number Generator (QRNG) </w:t>
      </w:r>
      <w:r w:rsidR="002D54BE">
        <w:rPr>
          <w:sz w:val="22"/>
          <w:szCs w:val="22"/>
        </w:rPr>
        <w:t>are</w:t>
      </w:r>
      <w:r w:rsidR="002D54BE" w:rsidRPr="00D55277">
        <w:rPr>
          <w:sz w:val="22"/>
          <w:szCs w:val="22"/>
        </w:rPr>
        <w:t xml:space="preserve"> </w:t>
      </w:r>
      <w:r w:rsidRPr="00D55277">
        <w:rPr>
          <w:sz w:val="22"/>
          <w:szCs w:val="22"/>
        </w:rPr>
        <w:t>prov</w:t>
      </w:r>
      <w:r w:rsidR="002D54BE">
        <w:rPr>
          <w:sz w:val="22"/>
          <w:szCs w:val="22"/>
        </w:rPr>
        <w:t>ing</w:t>
      </w:r>
      <w:r w:rsidRPr="00D55277">
        <w:rPr>
          <w:sz w:val="22"/>
          <w:szCs w:val="22"/>
        </w:rPr>
        <w:t xml:space="preserve"> themselves </w:t>
      </w:r>
      <w:r w:rsidR="002D54BE">
        <w:rPr>
          <w:sz w:val="22"/>
          <w:szCs w:val="22"/>
        </w:rPr>
        <w:t xml:space="preserve">to be </w:t>
      </w:r>
      <w:r w:rsidRPr="00D55277">
        <w:rPr>
          <w:sz w:val="22"/>
          <w:szCs w:val="22"/>
        </w:rPr>
        <w:t>quantum-safe and their level of technology readiness is high enough for large-scale deployment</w:t>
      </w:r>
      <w:r>
        <w:rPr>
          <w:sz w:val="22"/>
          <w:szCs w:val="22"/>
        </w:rPr>
        <w:t>, said CTOs</w:t>
      </w:r>
      <w:r w:rsidRPr="00D55277">
        <w:rPr>
          <w:sz w:val="22"/>
          <w:szCs w:val="22"/>
        </w:rPr>
        <w:t xml:space="preserve">. </w:t>
      </w:r>
      <w:r w:rsidR="00B54A96">
        <w:rPr>
          <w:sz w:val="22"/>
          <w:szCs w:val="22"/>
        </w:rPr>
        <w:t>They</w:t>
      </w:r>
      <w:r w:rsidR="00264938">
        <w:rPr>
          <w:sz w:val="22"/>
          <w:szCs w:val="22"/>
        </w:rPr>
        <w:t xml:space="preserve"> noted </w:t>
      </w:r>
      <w:r>
        <w:rPr>
          <w:sz w:val="22"/>
          <w:szCs w:val="22"/>
        </w:rPr>
        <w:t>that</w:t>
      </w:r>
      <w:r w:rsidRPr="00D55277">
        <w:rPr>
          <w:sz w:val="22"/>
          <w:szCs w:val="22"/>
        </w:rPr>
        <w:t xml:space="preserve"> </w:t>
      </w:r>
      <w:r>
        <w:rPr>
          <w:sz w:val="22"/>
          <w:szCs w:val="22"/>
        </w:rPr>
        <w:t xml:space="preserve">the success of </w:t>
      </w:r>
      <w:r w:rsidR="00201BE8">
        <w:rPr>
          <w:sz w:val="22"/>
          <w:szCs w:val="22"/>
        </w:rPr>
        <w:t>these</w:t>
      </w:r>
      <w:r w:rsidRPr="00D55277">
        <w:rPr>
          <w:sz w:val="22"/>
          <w:szCs w:val="22"/>
        </w:rPr>
        <w:t xml:space="preserve"> technologies </w:t>
      </w:r>
      <w:r>
        <w:rPr>
          <w:sz w:val="22"/>
          <w:szCs w:val="22"/>
        </w:rPr>
        <w:t xml:space="preserve">in securing 5G and IoT networks, for example, will demand </w:t>
      </w:r>
      <w:r w:rsidRPr="00D55277">
        <w:rPr>
          <w:sz w:val="22"/>
          <w:szCs w:val="22"/>
        </w:rPr>
        <w:t xml:space="preserve">standards supporting the </w:t>
      </w:r>
      <w:r w:rsidR="006D1BDA">
        <w:rPr>
          <w:sz w:val="22"/>
          <w:szCs w:val="22"/>
        </w:rPr>
        <w:t xml:space="preserve">efficient, cost-effective </w:t>
      </w:r>
      <w:r w:rsidR="00201BE8">
        <w:rPr>
          <w:sz w:val="22"/>
          <w:szCs w:val="22"/>
        </w:rPr>
        <w:t xml:space="preserve">deployment </w:t>
      </w:r>
      <w:r w:rsidRPr="00D55277">
        <w:rPr>
          <w:sz w:val="22"/>
          <w:szCs w:val="22"/>
        </w:rPr>
        <w:t>of quantum devices and their interoperability</w:t>
      </w:r>
      <w:r w:rsidR="00AD215C">
        <w:rPr>
          <w:sz w:val="22"/>
          <w:szCs w:val="22"/>
        </w:rPr>
        <w:t xml:space="preserve">. </w:t>
      </w:r>
    </w:p>
    <w:p w:rsidR="0034562F" w:rsidRDefault="0034562F" w:rsidP="0034562F">
      <w:pPr>
        <w:adjustRightInd w:val="0"/>
        <w:snapToGrid w:val="0"/>
        <w:spacing w:line="247" w:lineRule="auto"/>
        <w:ind w:right="60"/>
        <w:rPr>
          <w:sz w:val="22"/>
          <w:szCs w:val="22"/>
        </w:rPr>
      </w:pPr>
    </w:p>
    <w:p w:rsidR="00B54A96" w:rsidRDefault="0034562F" w:rsidP="00761E8E">
      <w:pPr>
        <w:adjustRightInd w:val="0"/>
        <w:snapToGrid w:val="0"/>
        <w:spacing w:line="247" w:lineRule="auto"/>
        <w:ind w:right="60"/>
        <w:rPr>
          <w:sz w:val="22"/>
          <w:szCs w:val="22"/>
        </w:rPr>
      </w:pPr>
      <w:r>
        <w:rPr>
          <w:sz w:val="22"/>
          <w:szCs w:val="22"/>
        </w:rPr>
        <w:t xml:space="preserve">CTOs expressed their commitment to the expansion of the ecosystem of quantum specialists within ITU. They encouraged ITU to take a forward-looking approach to quantum </w:t>
      </w:r>
      <w:r w:rsidR="00AD215C">
        <w:rPr>
          <w:sz w:val="22"/>
          <w:szCs w:val="22"/>
        </w:rPr>
        <w:t xml:space="preserve">information </w:t>
      </w:r>
      <w:r>
        <w:rPr>
          <w:sz w:val="22"/>
          <w:szCs w:val="22"/>
        </w:rPr>
        <w:t xml:space="preserve">technologies so as to anticipate emerging standardization demands. CTOs also </w:t>
      </w:r>
      <w:r w:rsidR="00264938">
        <w:rPr>
          <w:sz w:val="22"/>
          <w:szCs w:val="22"/>
        </w:rPr>
        <w:t xml:space="preserve">called for ITU to </w:t>
      </w:r>
      <w:r w:rsidR="00761E8E">
        <w:rPr>
          <w:sz w:val="22"/>
          <w:szCs w:val="22"/>
        </w:rPr>
        <w:t xml:space="preserve">take up a leading role </w:t>
      </w:r>
      <w:r w:rsidR="00264938">
        <w:rPr>
          <w:sz w:val="22"/>
          <w:szCs w:val="22"/>
        </w:rPr>
        <w:t xml:space="preserve">in bringing standards bodies together to ensure the effective </w:t>
      </w:r>
      <w:r>
        <w:rPr>
          <w:sz w:val="22"/>
          <w:szCs w:val="22"/>
        </w:rPr>
        <w:t xml:space="preserve">coordination of quantum-relevant </w:t>
      </w:r>
      <w:r w:rsidR="00264938">
        <w:rPr>
          <w:sz w:val="22"/>
          <w:szCs w:val="22"/>
        </w:rPr>
        <w:t xml:space="preserve">standardization activities. </w:t>
      </w:r>
    </w:p>
    <w:p w:rsidR="00264938" w:rsidRDefault="00264938" w:rsidP="00264938">
      <w:pPr>
        <w:adjustRightInd w:val="0"/>
        <w:snapToGrid w:val="0"/>
        <w:spacing w:line="247" w:lineRule="auto"/>
        <w:ind w:right="60"/>
        <w:rPr>
          <w:sz w:val="22"/>
          <w:szCs w:val="22"/>
        </w:rPr>
      </w:pPr>
    </w:p>
    <w:p w:rsidR="00264938" w:rsidRPr="00264938" w:rsidRDefault="00264938" w:rsidP="00264938">
      <w:pPr>
        <w:adjustRightInd w:val="0"/>
        <w:snapToGrid w:val="0"/>
        <w:spacing w:line="247" w:lineRule="auto"/>
        <w:ind w:right="60"/>
        <w:rPr>
          <w:b/>
          <w:bCs/>
          <w:sz w:val="22"/>
          <w:szCs w:val="22"/>
        </w:rPr>
      </w:pPr>
      <w:r w:rsidRPr="00264938">
        <w:rPr>
          <w:b/>
          <w:bCs/>
          <w:sz w:val="22"/>
          <w:szCs w:val="22"/>
        </w:rPr>
        <w:t>Fibre future</w:t>
      </w:r>
    </w:p>
    <w:p w:rsidR="003F0F91" w:rsidRDefault="003F0F91" w:rsidP="00201BE8">
      <w:pPr>
        <w:adjustRightInd w:val="0"/>
        <w:snapToGrid w:val="0"/>
        <w:spacing w:line="247" w:lineRule="auto"/>
        <w:ind w:right="60"/>
        <w:rPr>
          <w:sz w:val="22"/>
          <w:szCs w:val="22"/>
        </w:rPr>
      </w:pPr>
    </w:p>
    <w:p w:rsidR="00264938" w:rsidRDefault="00CA4AEA" w:rsidP="007D5333">
      <w:pPr>
        <w:adjustRightInd w:val="0"/>
        <w:snapToGrid w:val="0"/>
        <w:spacing w:line="247" w:lineRule="auto"/>
        <w:ind w:right="60"/>
        <w:rPr>
          <w:sz w:val="22"/>
          <w:szCs w:val="22"/>
        </w:rPr>
      </w:pPr>
      <w:r>
        <w:rPr>
          <w:sz w:val="22"/>
          <w:szCs w:val="22"/>
        </w:rPr>
        <w:t>Fibre-optic networks form the ‘backbone’ of the Information Society. Investment in fibre continues to rise, with fibre recognized as the key infrastructure underlying today’s ultra-broadband Gigabit era.</w:t>
      </w:r>
      <w:r w:rsidR="007D5333">
        <w:rPr>
          <w:sz w:val="22"/>
          <w:szCs w:val="22"/>
        </w:rPr>
        <w:t xml:space="preserve"> </w:t>
      </w:r>
      <w:r>
        <w:rPr>
          <w:sz w:val="22"/>
          <w:szCs w:val="22"/>
        </w:rPr>
        <w:t xml:space="preserve">CTOs highlighted that 1-5 Gbit/s </w:t>
      </w:r>
      <w:r w:rsidR="00761E8E">
        <w:rPr>
          <w:sz w:val="22"/>
          <w:szCs w:val="22"/>
        </w:rPr>
        <w:t xml:space="preserve">access speeds can </w:t>
      </w:r>
      <w:r>
        <w:rPr>
          <w:sz w:val="22"/>
          <w:szCs w:val="22"/>
        </w:rPr>
        <w:t>support Virtual Reality, cloud gaming and smart cities</w:t>
      </w:r>
      <w:r w:rsidR="00761E8E">
        <w:rPr>
          <w:sz w:val="22"/>
          <w:szCs w:val="22"/>
        </w:rPr>
        <w:t xml:space="preserve">. 5-10 Gbit/s access speeds, said CTOs, could bring us applications such as holographic communications and telemedicine. </w:t>
      </w:r>
    </w:p>
    <w:p w:rsidR="00761E8E" w:rsidRDefault="00761E8E" w:rsidP="00CA4AEA">
      <w:pPr>
        <w:adjustRightInd w:val="0"/>
        <w:snapToGrid w:val="0"/>
        <w:spacing w:line="247" w:lineRule="auto"/>
        <w:ind w:right="60"/>
        <w:rPr>
          <w:sz w:val="22"/>
          <w:szCs w:val="22"/>
        </w:rPr>
      </w:pPr>
    </w:p>
    <w:p w:rsidR="007D5333" w:rsidRDefault="00761E8E" w:rsidP="007D5333">
      <w:pPr>
        <w:adjustRightInd w:val="0"/>
        <w:snapToGrid w:val="0"/>
        <w:spacing w:line="247" w:lineRule="auto"/>
        <w:ind w:right="60"/>
        <w:rPr>
          <w:sz w:val="22"/>
          <w:szCs w:val="22"/>
        </w:rPr>
      </w:pPr>
      <w:r>
        <w:rPr>
          <w:sz w:val="22"/>
          <w:szCs w:val="22"/>
        </w:rPr>
        <w:t>Recognizing ITU’s leadership in the standardization of fibre-optic networks, technologies and infrastructures, CTOs encouraged ITU to</w:t>
      </w:r>
      <w:r w:rsidR="007D5333">
        <w:rPr>
          <w:sz w:val="22"/>
          <w:szCs w:val="22"/>
        </w:rPr>
        <w:t xml:space="preserve"> support industry in taking full advantage of</w:t>
      </w:r>
      <w:r>
        <w:rPr>
          <w:sz w:val="22"/>
          <w:szCs w:val="22"/>
        </w:rPr>
        <w:t xml:space="preserve"> ITU-standardized Fibre to</w:t>
      </w:r>
      <w:r w:rsidR="007D5333">
        <w:rPr>
          <w:sz w:val="22"/>
          <w:szCs w:val="22"/>
        </w:rPr>
        <w:t xml:space="preserve"> the Home (FTTH) technologies. </w:t>
      </w:r>
    </w:p>
    <w:p w:rsidR="007D5333" w:rsidRDefault="007D5333" w:rsidP="007D5333">
      <w:pPr>
        <w:adjustRightInd w:val="0"/>
        <w:snapToGrid w:val="0"/>
        <w:spacing w:line="247" w:lineRule="auto"/>
        <w:ind w:right="60"/>
        <w:rPr>
          <w:sz w:val="22"/>
          <w:szCs w:val="22"/>
        </w:rPr>
      </w:pPr>
    </w:p>
    <w:p w:rsidR="00761E8E" w:rsidRDefault="00BD5D67" w:rsidP="00BD5D67">
      <w:pPr>
        <w:adjustRightInd w:val="0"/>
        <w:snapToGrid w:val="0"/>
        <w:spacing w:line="247" w:lineRule="auto"/>
        <w:ind w:right="60"/>
        <w:rPr>
          <w:sz w:val="22"/>
          <w:szCs w:val="22"/>
        </w:rPr>
      </w:pPr>
      <w:r>
        <w:rPr>
          <w:sz w:val="22"/>
          <w:szCs w:val="22"/>
        </w:rPr>
        <w:lastRenderedPageBreak/>
        <w:t>CTOs thus encouraged ITU to</w:t>
      </w:r>
      <w:r w:rsidR="007D5333">
        <w:rPr>
          <w:sz w:val="22"/>
          <w:szCs w:val="22"/>
        </w:rPr>
        <w:t xml:space="preserve"> </w:t>
      </w:r>
      <w:proofErr w:type="spellStart"/>
      <w:r w:rsidR="0086179B">
        <w:rPr>
          <w:sz w:val="22"/>
          <w:szCs w:val="22"/>
        </w:rPr>
        <w:t>analyze</w:t>
      </w:r>
      <w:proofErr w:type="spellEnd"/>
      <w:r w:rsidR="0086179B">
        <w:rPr>
          <w:sz w:val="22"/>
          <w:szCs w:val="22"/>
        </w:rPr>
        <w:t xml:space="preserve"> standardization gaps relevant to the relationship between </w:t>
      </w:r>
      <w:r w:rsidR="007D5333">
        <w:rPr>
          <w:sz w:val="22"/>
          <w:szCs w:val="22"/>
        </w:rPr>
        <w:t xml:space="preserve">advanced </w:t>
      </w:r>
      <w:r w:rsidR="0086179B">
        <w:rPr>
          <w:sz w:val="22"/>
          <w:szCs w:val="22"/>
        </w:rPr>
        <w:t>FTTH technologies;</w:t>
      </w:r>
      <w:r w:rsidR="007D5333">
        <w:rPr>
          <w:sz w:val="22"/>
          <w:szCs w:val="22"/>
        </w:rPr>
        <w:t xml:space="preserve"> h</w:t>
      </w:r>
      <w:r w:rsidR="0086179B">
        <w:rPr>
          <w:sz w:val="22"/>
          <w:szCs w:val="22"/>
        </w:rPr>
        <w:t xml:space="preserve">igh-quality service experience marked by ultra-low latency; all-scenario optical networking including datacentres and home networking; cloud computing and network slicing; and automated network operation and maintenance with AI. </w:t>
      </w:r>
    </w:p>
    <w:p w:rsidR="00264938" w:rsidRDefault="00264938" w:rsidP="00201BE8">
      <w:pPr>
        <w:adjustRightInd w:val="0"/>
        <w:snapToGrid w:val="0"/>
        <w:spacing w:line="247" w:lineRule="auto"/>
        <w:ind w:right="60"/>
        <w:rPr>
          <w:sz w:val="22"/>
          <w:szCs w:val="22"/>
        </w:rPr>
      </w:pPr>
    </w:p>
    <w:p w:rsidR="003F0F91" w:rsidRPr="00F144E2" w:rsidRDefault="00264938" w:rsidP="003F0F91">
      <w:pPr>
        <w:adjustRightInd w:val="0"/>
        <w:snapToGrid w:val="0"/>
        <w:spacing w:line="247" w:lineRule="auto"/>
        <w:ind w:right="60"/>
        <w:rPr>
          <w:b/>
          <w:bCs/>
          <w:sz w:val="22"/>
          <w:szCs w:val="22"/>
        </w:rPr>
      </w:pPr>
      <w:r>
        <w:rPr>
          <w:b/>
          <w:bCs/>
          <w:sz w:val="22"/>
          <w:szCs w:val="22"/>
        </w:rPr>
        <w:t>Data</w:t>
      </w:r>
      <w:r w:rsidR="003F0F91" w:rsidRPr="00F144E2">
        <w:rPr>
          <w:b/>
          <w:bCs/>
          <w:sz w:val="22"/>
          <w:szCs w:val="22"/>
        </w:rPr>
        <w:t>centre interconnection</w:t>
      </w:r>
    </w:p>
    <w:p w:rsidR="003F0F91" w:rsidRPr="00A618E7" w:rsidRDefault="003F0F91" w:rsidP="003F0F91">
      <w:pPr>
        <w:adjustRightInd w:val="0"/>
        <w:snapToGrid w:val="0"/>
        <w:spacing w:line="247" w:lineRule="auto"/>
        <w:ind w:right="60"/>
        <w:rPr>
          <w:sz w:val="22"/>
          <w:szCs w:val="22"/>
        </w:rPr>
      </w:pPr>
      <w:r>
        <w:rPr>
          <w:sz w:val="22"/>
          <w:szCs w:val="22"/>
        </w:rPr>
        <w:t xml:space="preserve"> </w:t>
      </w:r>
    </w:p>
    <w:p w:rsidR="003F0F91" w:rsidRDefault="003F0F91" w:rsidP="003F0F91">
      <w:pPr>
        <w:adjustRightInd w:val="0"/>
        <w:snapToGrid w:val="0"/>
        <w:spacing w:line="247" w:lineRule="auto"/>
        <w:ind w:right="60"/>
        <w:rPr>
          <w:sz w:val="22"/>
          <w:szCs w:val="22"/>
        </w:rPr>
      </w:pPr>
      <w:r>
        <w:rPr>
          <w:sz w:val="22"/>
          <w:szCs w:val="22"/>
        </w:rPr>
        <w:t xml:space="preserve">CTOs highlighted that, according to the Cisco Global Cloud Index for 2016 to 2021, the installed base of servers within datacentres is growing at a compound annual growth rate (CAGR) of 13 per cent and that global datacentre IP </w:t>
      </w:r>
      <w:r w:rsidR="00B54A96">
        <w:rPr>
          <w:sz w:val="22"/>
          <w:szCs w:val="22"/>
        </w:rPr>
        <w:t xml:space="preserve">traffic is growing at </w:t>
      </w:r>
      <w:r>
        <w:rPr>
          <w:sz w:val="22"/>
          <w:szCs w:val="22"/>
        </w:rPr>
        <w:t>25 per cent</w:t>
      </w:r>
      <w:r w:rsidR="00B54A96">
        <w:rPr>
          <w:sz w:val="22"/>
          <w:szCs w:val="22"/>
        </w:rPr>
        <w:t xml:space="preserve"> CAGR</w:t>
      </w:r>
      <w:r>
        <w:rPr>
          <w:sz w:val="22"/>
          <w:szCs w:val="22"/>
        </w:rPr>
        <w:t xml:space="preserve">. The same source forecasts that, by 2021, 71.5 per cent of global datacentre traffic will occur within datacentres, with 13.6 per cent between datacentres and 14.9 per cent between datacentres and users. </w:t>
      </w:r>
    </w:p>
    <w:p w:rsidR="003F0F91" w:rsidRDefault="003F0F91" w:rsidP="003F0F91">
      <w:pPr>
        <w:adjustRightInd w:val="0"/>
        <w:snapToGrid w:val="0"/>
        <w:spacing w:line="247" w:lineRule="auto"/>
        <w:ind w:right="60"/>
        <w:rPr>
          <w:sz w:val="22"/>
          <w:szCs w:val="22"/>
        </w:rPr>
      </w:pPr>
    </w:p>
    <w:p w:rsidR="003F0F91" w:rsidRDefault="003F0F91" w:rsidP="003F0F91">
      <w:pPr>
        <w:adjustRightInd w:val="0"/>
        <w:snapToGrid w:val="0"/>
        <w:spacing w:line="247" w:lineRule="auto"/>
        <w:ind w:right="60"/>
        <w:rPr>
          <w:sz w:val="22"/>
          <w:szCs w:val="22"/>
        </w:rPr>
      </w:pPr>
      <w:r>
        <w:rPr>
          <w:sz w:val="22"/>
          <w:szCs w:val="22"/>
        </w:rPr>
        <w:t xml:space="preserve">These figures motivated CTOs to stress the importance of high-speed data exchange, network slicing and virtualization, and </w:t>
      </w:r>
      <w:r w:rsidR="007E51D0">
        <w:rPr>
          <w:sz w:val="22"/>
          <w:szCs w:val="22"/>
        </w:rPr>
        <w:t>H</w:t>
      </w:r>
      <w:r>
        <w:rPr>
          <w:sz w:val="22"/>
          <w:szCs w:val="22"/>
        </w:rPr>
        <w:t>igh-</w:t>
      </w:r>
      <w:r w:rsidR="007E51D0">
        <w:rPr>
          <w:sz w:val="22"/>
          <w:szCs w:val="22"/>
        </w:rPr>
        <w:t>V</w:t>
      </w:r>
      <w:r>
        <w:rPr>
          <w:sz w:val="22"/>
          <w:szCs w:val="22"/>
        </w:rPr>
        <w:t xml:space="preserve">oltage Direct Current (HVDC) power supply. Increasing the speed and capacity of connections between servers, said CTOs, will call for the evolution of cables and connectors, network slicing, and the virtualization of network nodes. CTOs highlighted the potential of HVDC power supply to increase the energy efficiency of datacentre operations. </w:t>
      </w:r>
    </w:p>
    <w:p w:rsidR="003F0F91" w:rsidRDefault="003F0F91" w:rsidP="003F0F91">
      <w:pPr>
        <w:adjustRightInd w:val="0"/>
        <w:snapToGrid w:val="0"/>
        <w:spacing w:line="247" w:lineRule="auto"/>
        <w:ind w:right="60"/>
        <w:rPr>
          <w:sz w:val="22"/>
          <w:szCs w:val="22"/>
        </w:rPr>
      </w:pPr>
    </w:p>
    <w:p w:rsidR="00D55277" w:rsidRDefault="003F0F91" w:rsidP="003A4C44">
      <w:pPr>
        <w:adjustRightInd w:val="0"/>
        <w:snapToGrid w:val="0"/>
        <w:spacing w:line="247" w:lineRule="auto"/>
        <w:ind w:right="60"/>
        <w:rPr>
          <w:sz w:val="22"/>
          <w:szCs w:val="22"/>
        </w:rPr>
      </w:pPr>
      <w:r>
        <w:rPr>
          <w:sz w:val="22"/>
          <w:szCs w:val="22"/>
        </w:rPr>
        <w:t xml:space="preserve">CTOs encouraged ITU to promote 400 Gbit/s connections between servers as well as the adoption of HVDC power supplies. CTOs in addition requested that ITU investigate datacentre-relevant standardization activities underway across </w:t>
      </w:r>
      <w:r w:rsidR="006D1BDA">
        <w:rPr>
          <w:sz w:val="22"/>
          <w:szCs w:val="22"/>
        </w:rPr>
        <w:t xml:space="preserve">standards bodies </w:t>
      </w:r>
      <w:r>
        <w:rPr>
          <w:sz w:val="22"/>
          <w:szCs w:val="22"/>
        </w:rPr>
        <w:t xml:space="preserve">with a view to identifying issues to be addressed by ITU standards. </w:t>
      </w:r>
    </w:p>
    <w:p w:rsidR="003A4C44" w:rsidRDefault="003A4C44" w:rsidP="003A4C44">
      <w:pPr>
        <w:adjustRightInd w:val="0"/>
        <w:snapToGrid w:val="0"/>
        <w:spacing w:line="247" w:lineRule="auto"/>
        <w:ind w:right="60"/>
        <w:rPr>
          <w:sz w:val="22"/>
          <w:szCs w:val="22"/>
        </w:rPr>
      </w:pPr>
    </w:p>
    <w:p w:rsidR="003A4C44" w:rsidRPr="003A4C44" w:rsidRDefault="003A4C44" w:rsidP="003A4C44">
      <w:pPr>
        <w:adjustRightInd w:val="0"/>
        <w:snapToGrid w:val="0"/>
        <w:spacing w:line="247" w:lineRule="auto"/>
        <w:ind w:right="60"/>
        <w:rPr>
          <w:b/>
          <w:bCs/>
          <w:sz w:val="22"/>
          <w:szCs w:val="22"/>
        </w:rPr>
      </w:pPr>
      <w:r w:rsidRPr="003A4C44">
        <w:rPr>
          <w:b/>
          <w:bCs/>
          <w:sz w:val="22"/>
          <w:szCs w:val="22"/>
        </w:rPr>
        <w:t>ITU standardization priorities</w:t>
      </w:r>
    </w:p>
    <w:p w:rsidR="003A4C44" w:rsidRDefault="003A4C44" w:rsidP="003A4C44">
      <w:pPr>
        <w:adjustRightInd w:val="0"/>
        <w:snapToGrid w:val="0"/>
        <w:spacing w:line="247" w:lineRule="auto"/>
        <w:ind w:right="60"/>
        <w:rPr>
          <w:sz w:val="22"/>
          <w:szCs w:val="22"/>
        </w:rPr>
      </w:pPr>
    </w:p>
    <w:p w:rsidR="003A4C44" w:rsidRDefault="003A4C44" w:rsidP="00507AD8">
      <w:pPr>
        <w:adjustRightInd w:val="0"/>
        <w:snapToGrid w:val="0"/>
        <w:spacing w:line="247" w:lineRule="auto"/>
        <w:ind w:right="60"/>
        <w:rPr>
          <w:sz w:val="22"/>
          <w:szCs w:val="22"/>
        </w:rPr>
      </w:pPr>
      <w:r>
        <w:rPr>
          <w:sz w:val="22"/>
          <w:szCs w:val="22"/>
        </w:rPr>
        <w:t xml:space="preserve">The </w:t>
      </w:r>
      <w:r w:rsidRPr="006043CB">
        <w:rPr>
          <w:sz w:val="22"/>
          <w:szCs w:val="22"/>
        </w:rPr>
        <w:t>senior management of the ITU Telecommunication Standardization Bureau</w:t>
      </w:r>
      <w:r w:rsidR="00F60A1D">
        <w:rPr>
          <w:sz w:val="22"/>
          <w:szCs w:val="22"/>
        </w:rPr>
        <w:t xml:space="preserve"> presented an update on ITU standardization activities in view of the World Telecommunication Standardization Assembly 2020 (WTSA-20) to be held in Hyderabad, India, 17-27 November 2020. </w:t>
      </w:r>
    </w:p>
    <w:p w:rsidR="00F60A1D" w:rsidRDefault="00F60A1D" w:rsidP="00F60A1D">
      <w:pPr>
        <w:adjustRightInd w:val="0"/>
        <w:snapToGrid w:val="0"/>
        <w:spacing w:line="247" w:lineRule="auto"/>
        <w:ind w:right="60"/>
        <w:rPr>
          <w:sz w:val="22"/>
          <w:szCs w:val="22"/>
        </w:rPr>
      </w:pPr>
    </w:p>
    <w:p w:rsidR="00F60A1D" w:rsidRDefault="00F60A1D" w:rsidP="00F60A1D">
      <w:pPr>
        <w:adjustRightInd w:val="0"/>
        <w:snapToGrid w:val="0"/>
        <w:spacing w:line="247" w:lineRule="auto"/>
        <w:ind w:right="60"/>
        <w:rPr>
          <w:sz w:val="22"/>
          <w:szCs w:val="22"/>
        </w:rPr>
      </w:pPr>
      <w:r>
        <w:rPr>
          <w:sz w:val="22"/>
          <w:szCs w:val="22"/>
        </w:rPr>
        <w:t>Digital transformation – with ICTs impacting all economic sectors – has cont</w:t>
      </w:r>
      <w:r w:rsidR="00507AD8">
        <w:rPr>
          <w:sz w:val="22"/>
          <w:szCs w:val="22"/>
        </w:rPr>
        <w:t>ributed to a significant up</w:t>
      </w:r>
      <w:r>
        <w:rPr>
          <w:sz w:val="22"/>
          <w:szCs w:val="22"/>
        </w:rPr>
        <w:t>surge in the membership of ITU’s standa</w:t>
      </w:r>
      <w:r w:rsidR="00507AD8">
        <w:rPr>
          <w:sz w:val="22"/>
          <w:szCs w:val="22"/>
        </w:rPr>
        <w:t>rdization arm (ITU-T). In 2018, ITU-T</w:t>
      </w:r>
      <w:r w:rsidR="00507AD8" w:rsidRPr="00507AD8">
        <w:rPr>
          <w:sz w:val="22"/>
          <w:szCs w:val="22"/>
        </w:rPr>
        <w:t xml:space="preserve"> welcomed 45 new members, including MVNOs and MVNEs, manufacturers of unmanned aerial vehicles, telematics and automotive companies, OTT application providers, fintech companies, energy utilities, and companies specializing in quantum cryptography and quantum communications.</w:t>
      </w:r>
    </w:p>
    <w:p w:rsidR="00507AD8" w:rsidRDefault="00507AD8" w:rsidP="00F60A1D">
      <w:pPr>
        <w:adjustRightInd w:val="0"/>
        <w:snapToGrid w:val="0"/>
        <w:spacing w:line="247" w:lineRule="auto"/>
        <w:ind w:right="60"/>
        <w:rPr>
          <w:sz w:val="22"/>
          <w:szCs w:val="22"/>
        </w:rPr>
      </w:pPr>
    </w:p>
    <w:p w:rsidR="004D26DB" w:rsidRDefault="00507AD8" w:rsidP="004D26DB">
      <w:pPr>
        <w:adjustRightInd w:val="0"/>
        <w:snapToGrid w:val="0"/>
        <w:spacing w:line="247" w:lineRule="auto"/>
        <w:ind w:right="60"/>
        <w:rPr>
          <w:sz w:val="22"/>
          <w:szCs w:val="22"/>
        </w:rPr>
      </w:pPr>
      <w:r w:rsidRPr="006043CB">
        <w:rPr>
          <w:sz w:val="22"/>
          <w:szCs w:val="22"/>
        </w:rPr>
        <w:t>Chaesub Lee, the Director of the ITU Telecommunication Standardization Bureau,</w:t>
      </w:r>
      <w:r>
        <w:rPr>
          <w:sz w:val="22"/>
          <w:szCs w:val="22"/>
        </w:rPr>
        <w:t xml:space="preserve"> highlighted that WTSA-20 presents ITU members with a unique opportunity to ensure that ITU-T’</w:t>
      </w:r>
      <w:r w:rsidR="004D26DB">
        <w:rPr>
          <w:sz w:val="22"/>
          <w:szCs w:val="22"/>
        </w:rPr>
        <w:t>s strategy,</w:t>
      </w:r>
      <w:r>
        <w:rPr>
          <w:sz w:val="22"/>
          <w:szCs w:val="22"/>
        </w:rPr>
        <w:t xml:space="preserve"> structure </w:t>
      </w:r>
      <w:r w:rsidR="004D26DB">
        <w:rPr>
          <w:sz w:val="22"/>
          <w:szCs w:val="22"/>
        </w:rPr>
        <w:t xml:space="preserve">and working methods </w:t>
      </w:r>
      <w:r w:rsidR="008D5974">
        <w:rPr>
          <w:sz w:val="22"/>
          <w:szCs w:val="22"/>
        </w:rPr>
        <w:t>cont</w:t>
      </w:r>
      <w:r w:rsidR="004D26DB">
        <w:rPr>
          <w:sz w:val="22"/>
          <w:szCs w:val="22"/>
        </w:rPr>
        <w:t>inue</w:t>
      </w:r>
      <w:r w:rsidR="008D5974">
        <w:rPr>
          <w:sz w:val="22"/>
          <w:szCs w:val="22"/>
        </w:rPr>
        <w:t xml:space="preserve"> to reflect market realities and industry priorities</w:t>
      </w:r>
      <w:r w:rsidR="004D26DB">
        <w:rPr>
          <w:sz w:val="22"/>
          <w:szCs w:val="22"/>
        </w:rPr>
        <w:t xml:space="preserve">. </w:t>
      </w:r>
    </w:p>
    <w:p w:rsidR="004D26DB" w:rsidRDefault="004D26DB" w:rsidP="004D26DB">
      <w:pPr>
        <w:adjustRightInd w:val="0"/>
        <w:snapToGrid w:val="0"/>
        <w:spacing w:line="247" w:lineRule="auto"/>
        <w:ind w:right="60"/>
        <w:rPr>
          <w:sz w:val="22"/>
          <w:szCs w:val="22"/>
        </w:rPr>
      </w:pPr>
    </w:p>
    <w:p w:rsidR="00727F36" w:rsidRDefault="004D26DB" w:rsidP="004D26DB">
      <w:pPr>
        <w:adjustRightInd w:val="0"/>
        <w:snapToGrid w:val="0"/>
        <w:spacing w:line="247" w:lineRule="auto"/>
        <w:ind w:right="60"/>
        <w:rPr>
          <w:sz w:val="22"/>
          <w:szCs w:val="22"/>
        </w:rPr>
      </w:pPr>
      <w:r>
        <w:rPr>
          <w:sz w:val="22"/>
          <w:szCs w:val="22"/>
        </w:rPr>
        <w:t xml:space="preserve">Dr Lee offered the view that </w:t>
      </w:r>
      <w:r w:rsidR="008D5974">
        <w:rPr>
          <w:sz w:val="22"/>
          <w:szCs w:val="22"/>
        </w:rPr>
        <w:t>ITU’s strategy</w:t>
      </w:r>
      <w:r>
        <w:rPr>
          <w:sz w:val="22"/>
          <w:szCs w:val="22"/>
        </w:rPr>
        <w:t>, structure and working methods – the review of which will conclude at WTSA-20 – should strike an appropriate balance between the need to preserve ITU standardization’s core competencies and the need for ITU standardization to incorporate the flexibility required to respond to emerging standardization demands.</w:t>
      </w:r>
    </w:p>
    <w:p w:rsidR="00727F36" w:rsidRDefault="00727F36" w:rsidP="004D26DB">
      <w:pPr>
        <w:adjustRightInd w:val="0"/>
        <w:snapToGrid w:val="0"/>
        <w:spacing w:line="247" w:lineRule="auto"/>
        <w:ind w:right="60"/>
        <w:rPr>
          <w:sz w:val="22"/>
          <w:szCs w:val="22"/>
        </w:rPr>
      </w:pPr>
    </w:p>
    <w:p w:rsidR="008D5974" w:rsidRPr="00727F36" w:rsidRDefault="00727F36" w:rsidP="004D26DB">
      <w:pPr>
        <w:adjustRightInd w:val="0"/>
        <w:snapToGrid w:val="0"/>
        <w:spacing w:line="247" w:lineRule="auto"/>
        <w:ind w:right="60"/>
        <w:rPr>
          <w:b/>
          <w:sz w:val="22"/>
          <w:szCs w:val="22"/>
        </w:rPr>
      </w:pPr>
      <w:r w:rsidRPr="00727F36">
        <w:rPr>
          <w:b/>
          <w:sz w:val="22"/>
          <w:szCs w:val="22"/>
        </w:rPr>
        <w:t xml:space="preserve">The participating organizations were: </w:t>
      </w:r>
      <w:r w:rsidR="004D26DB" w:rsidRPr="00727F36">
        <w:rPr>
          <w:b/>
          <w:sz w:val="22"/>
          <w:szCs w:val="22"/>
        </w:rPr>
        <w:t xml:space="preserve"> </w:t>
      </w:r>
    </w:p>
    <w:p w:rsidR="004D26DB" w:rsidRDefault="004D26DB" w:rsidP="004D26DB">
      <w:pPr>
        <w:adjustRightInd w:val="0"/>
        <w:snapToGrid w:val="0"/>
        <w:spacing w:line="247" w:lineRule="auto"/>
        <w:ind w:right="60"/>
        <w:rPr>
          <w:sz w:val="22"/>
          <w:szCs w:val="22"/>
        </w:rPr>
      </w:pPr>
    </w:p>
    <w:p w:rsidR="004D26DB" w:rsidRPr="00727F36" w:rsidRDefault="00727F36" w:rsidP="00727F36">
      <w:pPr>
        <w:adjustRightInd w:val="0"/>
        <w:snapToGrid w:val="0"/>
        <w:spacing w:line="247" w:lineRule="auto"/>
        <w:ind w:right="60"/>
        <w:rPr>
          <w:sz w:val="22"/>
          <w:szCs w:val="22"/>
        </w:rPr>
      </w:pPr>
      <w:r>
        <w:rPr>
          <w:sz w:val="22"/>
          <w:szCs w:val="22"/>
        </w:rPr>
        <w:t xml:space="preserve">CAS Quantum Network, China; </w:t>
      </w:r>
      <w:r w:rsidRPr="00727F36">
        <w:rPr>
          <w:sz w:val="22"/>
          <w:szCs w:val="22"/>
        </w:rPr>
        <w:t>China Mobile Research Institute</w:t>
      </w:r>
      <w:r>
        <w:rPr>
          <w:sz w:val="22"/>
          <w:szCs w:val="22"/>
        </w:rPr>
        <w:t xml:space="preserve">, China; Fujitsu, Japan; Huawei Technologies, China; </w:t>
      </w:r>
      <w:r w:rsidRPr="00727F36">
        <w:rPr>
          <w:sz w:val="22"/>
          <w:szCs w:val="22"/>
        </w:rPr>
        <w:t>KDDI</w:t>
      </w:r>
      <w:r>
        <w:rPr>
          <w:sz w:val="22"/>
          <w:szCs w:val="22"/>
        </w:rPr>
        <w:t xml:space="preserve"> Corporation, Japan; KT Corporation, Korea; Mitsubishi Electric C</w:t>
      </w:r>
      <w:r w:rsidRPr="00727F36">
        <w:rPr>
          <w:sz w:val="22"/>
          <w:szCs w:val="22"/>
        </w:rPr>
        <w:t>orporation</w:t>
      </w:r>
      <w:r>
        <w:rPr>
          <w:sz w:val="22"/>
          <w:szCs w:val="22"/>
        </w:rPr>
        <w:t xml:space="preserve">, Japan; </w:t>
      </w:r>
      <w:r w:rsidRPr="00727F36">
        <w:rPr>
          <w:sz w:val="22"/>
          <w:szCs w:val="22"/>
        </w:rPr>
        <w:t>NEC</w:t>
      </w:r>
      <w:r>
        <w:rPr>
          <w:sz w:val="22"/>
          <w:szCs w:val="22"/>
        </w:rPr>
        <w:t xml:space="preserve"> Corporation, Japan; National Institute of Information and Communications </w:t>
      </w:r>
      <w:r w:rsidR="004A08BD">
        <w:rPr>
          <w:sz w:val="22"/>
          <w:szCs w:val="22"/>
        </w:rPr>
        <w:t>Technology</w:t>
      </w:r>
      <w:r>
        <w:rPr>
          <w:sz w:val="22"/>
          <w:szCs w:val="22"/>
        </w:rPr>
        <w:t xml:space="preserve">, </w:t>
      </w:r>
      <w:r>
        <w:rPr>
          <w:sz w:val="22"/>
          <w:szCs w:val="22"/>
        </w:rPr>
        <w:lastRenderedPageBreak/>
        <w:t xml:space="preserve">Japan; </w:t>
      </w:r>
      <w:r w:rsidRPr="00727F36">
        <w:rPr>
          <w:sz w:val="22"/>
          <w:szCs w:val="22"/>
        </w:rPr>
        <w:t>NTT DOCOMO</w:t>
      </w:r>
      <w:r>
        <w:rPr>
          <w:sz w:val="22"/>
          <w:szCs w:val="22"/>
        </w:rPr>
        <w:t xml:space="preserve">, Japan; </w:t>
      </w:r>
      <w:proofErr w:type="spellStart"/>
      <w:r>
        <w:rPr>
          <w:sz w:val="22"/>
          <w:szCs w:val="22"/>
        </w:rPr>
        <w:t>QuantumCTek</w:t>
      </w:r>
      <w:proofErr w:type="spellEnd"/>
      <w:r>
        <w:rPr>
          <w:sz w:val="22"/>
          <w:szCs w:val="22"/>
        </w:rPr>
        <w:t xml:space="preserve">, China; </w:t>
      </w:r>
      <w:r w:rsidRPr="00727F36">
        <w:rPr>
          <w:sz w:val="22"/>
          <w:szCs w:val="22"/>
        </w:rPr>
        <w:t>SK Telecom</w:t>
      </w:r>
      <w:r>
        <w:rPr>
          <w:sz w:val="22"/>
          <w:szCs w:val="22"/>
        </w:rPr>
        <w:t>, Korea; Sumitomo Electric Industries</w:t>
      </w:r>
      <w:r w:rsidR="004A08BD">
        <w:rPr>
          <w:sz w:val="22"/>
          <w:szCs w:val="22"/>
        </w:rPr>
        <w:t>, Japan; Telecommunication Technology Committee</w:t>
      </w:r>
      <w:r>
        <w:rPr>
          <w:sz w:val="22"/>
          <w:szCs w:val="22"/>
        </w:rPr>
        <w:t xml:space="preserve">, Japan; ITU Telecommunication Standardization Bureau, Switzerland. </w:t>
      </w:r>
    </w:p>
    <w:p w:rsidR="00BD3A7F" w:rsidRDefault="00204D6A"/>
    <w:sectPr w:rsidR="00BD3A7F" w:rsidSect="008D352D">
      <w:pgSz w:w="12240" w:h="15840"/>
      <w:pgMar w:top="1440" w:right="1440" w:bottom="416"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911A0"/>
    <w:multiLevelType w:val="hybridMultilevel"/>
    <w:tmpl w:val="977E5C64"/>
    <w:lvl w:ilvl="0" w:tplc="D242CFCA">
      <w:start w:val="1"/>
      <w:numFmt w:val="bullet"/>
      <w:lvlText w:val=""/>
      <w:lvlJc w:val="left"/>
      <w:pPr>
        <w:tabs>
          <w:tab w:val="num" w:pos="720"/>
        </w:tabs>
        <w:ind w:left="720" w:hanging="360"/>
      </w:pPr>
      <w:rPr>
        <w:rFonts w:ascii="Wingdings" w:hAnsi="Wingdings" w:hint="default"/>
      </w:rPr>
    </w:lvl>
    <w:lvl w:ilvl="1" w:tplc="397A8E9C" w:tentative="1">
      <w:start w:val="1"/>
      <w:numFmt w:val="bullet"/>
      <w:lvlText w:val=""/>
      <w:lvlJc w:val="left"/>
      <w:pPr>
        <w:tabs>
          <w:tab w:val="num" w:pos="1440"/>
        </w:tabs>
        <w:ind w:left="1440" w:hanging="360"/>
      </w:pPr>
      <w:rPr>
        <w:rFonts w:ascii="Wingdings" w:hAnsi="Wingdings" w:hint="default"/>
      </w:rPr>
    </w:lvl>
    <w:lvl w:ilvl="2" w:tplc="79C86224" w:tentative="1">
      <w:start w:val="1"/>
      <w:numFmt w:val="bullet"/>
      <w:lvlText w:val=""/>
      <w:lvlJc w:val="left"/>
      <w:pPr>
        <w:tabs>
          <w:tab w:val="num" w:pos="2160"/>
        </w:tabs>
        <w:ind w:left="2160" w:hanging="360"/>
      </w:pPr>
      <w:rPr>
        <w:rFonts w:ascii="Wingdings" w:hAnsi="Wingdings" w:hint="default"/>
      </w:rPr>
    </w:lvl>
    <w:lvl w:ilvl="3" w:tplc="5798F970" w:tentative="1">
      <w:start w:val="1"/>
      <w:numFmt w:val="bullet"/>
      <w:lvlText w:val=""/>
      <w:lvlJc w:val="left"/>
      <w:pPr>
        <w:tabs>
          <w:tab w:val="num" w:pos="2880"/>
        </w:tabs>
        <w:ind w:left="2880" w:hanging="360"/>
      </w:pPr>
      <w:rPr>
        <w:rFonts w:ascii="Wingdings" w:hAnsi="Wingdings" w:hint="default"/>
      </w:rPr>
    </w:lvl>
    <w:lvl w:ilvl="4" w:tplc="EA36B75C" w:tentative="1">
      <w:start w:val="1"/>
      <w:numFmt w:val="bullet"/>
      <w:lvlText w:val=""/>
      <w:lvlJc w:val="left"/>
      <w:pPr>
        <w:tabs>
          <w:tab w:val="num" w:pos="3600"/>
        </w:tabs>
        <w:ind w:left="3600" w:hanging="360"/>
      </w:pPr>
      <w:rPr>
        <w:rFonts w:ascii="Wingdings" w:hAnsi="Wingdings" w:hint="default"/>
      </w:rPr>
    </w:lvl>
    <w:lvl w:ilvl="5" w:tplc="EF145046" w:tentative="1">
      <w:start w:val="1"/>
      <w:numFmt w:val="bullet"/>
      <w:lvlText w:val=""/>
      <w:lvlJc w:val="left"/>
      <w:pPr>
        <w:tabs>
          <w:tab w:val="num" w:pos="4320"/>
        </w:tabs>
        <w:ind w:left="4320" w:hanging="360"/>
      </w:pPr>
      <w:rPr>
        <w:rFonts w:ascii="Wingdings" w:hAnsi="Wingdings" w:hint="default"/>
      </w:rPr>
    </w:lvl>
    <w:lvl w:ilvl="6" w:tplc="E000E5A8" w:tentative="1">
      <w:start w:val="1"/>
      <w:numFmt w:val="bullet"/>
      <w:lvlText w:val=""/>
      <w:lvlJc w:val="left"/>
      <w:pPr>
        <w:tabs>
          <w:tab w:val="num" w:pos="5040"/>
        </w:tabs>
        <w:ind w:left="5040" w:hanging="360"/>
      </w:pPr>
      <w:rPr>
        <w:rFonts w:ascii="Wingdings" w:hAnsi="Wingdings" w:hint="default"/>
      </w:rPr>
    </w:lvl>
    <w:lvl w:ilvl="7" w:tplc="F7922D86" w:tentative="1">
      <w:start w:val="1"/>
      <w:numFmt w:val="bullet"/>
      <w:lvlText w:val=""/>
      <w:lvlJc w:val="left"/>
      <w:pPr>
        <w:tabs>
          <w:tab w:val="num" w:pos="5760"/>
        </w:tabs>
        <w:ind w:left="5760" w:hanging="360"/>
      </w:pPr>
      <w:rPr>
        <w:rFonts w:ascii="Wingdings" w:hAnsi="Wingdings" w:hint="default"/>
      </w:rPr>
    </w:lvl>
    <w:lvl w:ilvl="8" w:tplc="D0F620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5C4BC0"/>
    <w:multiLevelType w:val="hybridMultilevel"/>
    <w:tmpl w:val="AC502084"/>
    <w:lvl w:ilvl="0" w:tplc="E7EE50A8">
      <w:start w:val="1"/>
      <w:numFmt w:val="bullet"/>
      <w:lvlText w:val=""/>
      <w:lvlJc w:val="left"/>
      <w:pPr>
        <w:tabs>
          <w:tab w:val="num" w:pos="720"/>
        </w:tabs>
        <w:ind w:left="720" w:hanging="360"/>
      </w:pPr>
      <w:rPr>
        <w:rFonts w:ascii="Wingdings" w:hAnsi="Wingdings" w:hint="default"/>
      </w:rPr>
    </w:lvl>
    <w:lvl w:ilvl="1" w:tplc="981E249C" w:tentative="1">
      <w:start w:val="1"/>
      <w:numFmt w:val="bullet"/>
      <w:lvlText w:val=""/>
      <w:lvlJc w:val="left"/>
      <w:pPr>
        <w:tabs>
          <w:tab w:val="num" w:pos="1440"/>
        </w:tabs>
        <w:ind w:left="1440" w:hanging="360"/>
      </w:pPr>
      <w:rPr>
        <w:rFonts w:ascii="Wingdings" w:hAnsi="Wingdings" w:hint="default"/>
      </w:rPr>
    </w:lvl>
    <w:lvl w:ilvl="2" w:tplc="F77CEFD2" w:tentative="1">
      <w:start w:val="1"/>
      <w:numFmt w:val="bullet"/>
      <w:lvlText w:val=""/>
      <w:lvlJc w:val="left"/>
      <w:pPr>
        <w:tabs>
          <w:tab w:val="num" w:pos="2160"/>
        </w:tabs>
        <w:ind w:left="2160" w:hanging="360"/>
      </w:pPr>
      <w:rPr>
        <w:rFonts w:ascii="Wingdings" w:hAnsi="Wingdings" w:hint="default"/>
      </w:rPr>
    </w:lvl>
    <w:lvl w:ilvl="3" w:tplc="C952D5FA" w:tentative="1">
      <w:start w:val="1"/>
      <w:numFmt w:val="bullet"/>
      <w:lvlText w:val=""/>
      <w:lvlJc w:val="left"/>
      <w:pPr>
        <w:tabs>
          <w:tab w:val="num" w:pos="2880"/>
        </w:tabs>
        <w:ind w:left="2880" w:hanging="360"/>
      </w:pPr>
      <w:rPr>
        <w:rFonts w:ascii="Wingdings" w:hAnsi="Wingdings" w:hint="default"/>
      </w:rPr>
    </w:lvl>
    <w:lvl w:ilvl="4" w:tplc="84D6A20E" w:tentative="1">
      <w:start w:val="1"/>
      <w:numFmt w:val="bullet"/>
      <w:lvlText w:val=""/>
      <w:lvlJc w:val="left"/>
      <w:pPr>
        <w:tabs>
          <w:tab w:val="num" w:pos="3600"/>
        </w:tabs>
        <w:ind w:left="3600" w:hanging="360"/>
      </w:pPr>
      <w:rPr>
        <w:rFonts w:ascii="Wingdings" w:hAnsi="Wingdings" w:hint="default"/>
      </w:rPr>
    </w:lvl>
    <w:lvl w:ilvl="5" w:tplc="7AD81302" w:tentative="1">
      <w:start w:val="1"/>
      <w:numFmt w:val="bullet"/>
      <w:lvlText w:val=""/>
      <w:lvlJc w:val="left"/>
      <w:pPr>
        <w:tabs>
          <w:tab w:val="num" w:pos="4320"/>
        </w:tabs>
        <w:ind w:left="4320" w:hanging="360"/>
      </w:pPr>
      <w:rPr>
        <w:rFonts w:ascii="Wingdings" w:hAnsi="Wingdings" w:hint="default"/>
      </w:rPr>
    </w:lvl>
    <w:lvl w:ilvl="6" w:tplc="74320B88" w:tentative="1">
      <w:start w:val="1"/>
      <w:numFmt w:val="bullet"/>
      <w:lvlText w:val=""/>
      <w:lvlJc w:val="left"/>
      <w:pPr>
        <w:tabs>
          <w:tab w:val="num" w:pos="5040"/>
        </w:tabs>
        <w:ind w:left="5040" w:hanging="360"/>
      </w:pPr>
      <w:rPr>
        <w:rFonts w:ascii="Wingdings" w:hAnsi="Wingdings" w:hint="default"/>
      </w:rPr>
    </w:lvl>
    <w:lvl w:ilvl="7" w:tplc="B82AC2CC" w:tentative="1">
      <w:start w:val="1"/>
      <w:numFmt w:val="bullet"/>
      <w:lvlText w:val=""/>
      <w:lvlJc w:val="left"/>
      <w:pPr>
        <w:tabs>
          <w:tab w:val="num" w:pos="5760"/>
        </w:tabs>
        <w:ind w:left="5760" w:hanging="360"/>
      </w:pPr>
      <w:rPr>
        <w:rFonts w:ascii="Wingdings" w:hAnsi="Wingdings" w:hint="default"/>
      </w:rPr>
    </w:lvl>
    <w:lvl w:ilvl="8" w:tplc="7DE688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746C2"/>
    <w:multiLevelType w:val="hybridMultilevel"/>
    <w:tmpl w:val="CFB87194"/>
    <w:lvl w:ilvl="0" w:tplc="831C33A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c0NLYwMjcxszQ0NDVS0lEKTi0uzszPAykwrAUATVsKvywAAAA="/>
  </w:docVars>
  <w:rsids>
    <w:rsidRoot w:val="00AB3C02"/>
    <w:rsid w:val="000817E3"/>
    <w:rsid w:val="001D0644"/>
    <w:rsid w:val="00201BE8"/>
    <w:rsid w:val="00204D6A"/>
    <w:rsid w:val="00264938"/>
    <w:rsid w:val="002A5539"/>
    <w:rsid w:val="002B685E"/>
    <w:rsid w:val="002D0249"/>
    <w:rsid w:val="002D54BE"/>
    <w:rsid w:val="0034562F"/>
    <w:rsid w:val="00384904"/>
    <w:rsid w:val="003A4C44"/>
    <w:rsid w:val="003F0F91"/>
    <w:rsid w:val="004731A3"/>
    <w:rsid w:val="004919D4"/>
    <w:rsid w:val="004A08BD"/>
    <w:rsid w:val="004D26DB"/>
    <w:rsid w:val="004F44ED"/>
    <w:rsid w:val="005028F8"/>
    <w:rsid w:val="00507AD8"/>
    <w:rsid w:val="00595252"/>
    <w:rsid w:val="00697DEA"/>
    <w:rsid w:val="006D1BDA"/>
    <w:rsid w:val="00727F36"/>
    <w:rsid w:val="00761E8E"/>
    <w:rsid w:val="007D5333"/>
    <w:rsid w:val="007E51D0"/>
    <w:rsid w:val="008176F0"/>
    <w:rsid w:val="0086179B"/>
    <w:rsid w:val="00887C53"/>
    <w:rsid w:val="008A3006"/>
    <w:rsid w:val="008D352D"/>
    <w:rsid w:val="008D5974"/>
    <w:rsid w:val="00900CD6"/>
    <w:rsid w:val="00942B71"/>
    <w:rsid w:val="00961423"/>
    <w:rsid w:val="00A0563F"/>
    <w:rsid w:val="00A12EA4"/>
    <w:rsid w:val="00A618E7"/>
    <w:rsid w:val="00AB3C02"/>
    <w:rsid w:val="00AB5471"/>
    <w:rsid w:val="00AD215C"/>
    <w:rsid w:val="00B5103C"/>
    <w:rsid w:val="00B54A96"/>
    <w:rsid w:val="00BA01CF"/>
    <w:rsid w:val="00BD5D67"/>
    <w:rsid w:val="00BE4D1D"/>
    <w:rsid w:val="00BE69A0"/>
    <w:rsid w:val="00CA4AEA"/>
    <w:rsid w:val="00CE0ABE"/>
    <w:rsid w:val="00D2682D"/>
    <w:rsid w:val="00D52BF9"/>
    <w:rsid w:val="00D55277"/>
    <w:rsid w:val="00D60D06"/>
    <w:rsid w:val="00DC1931"/>
    <w:rsid w:val="00E83C2B"/>
    <w:rsid w:val="00F144E2"/>
    <w:rsid w:val="00F27FB2"/>
    <w:rsid w:val="00F60A1D"/>
    <w:rsid w:val="10FB95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B0434-073E-4B58-9C22-A50018E6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02"/>
    <w:pPr>
      <w:spacing w:after="0" w:line="240" w:lineRule="auto"/>
    </w:pPr>
    <w:rPr>
      <w:rFonts w:ascii="Calibri" w:eastAsia="Calibri" w:hAnsi="Calibri"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3C02"/>
    <w:rPr>
      <w:color w:val="0563C1"/>
      <w:u w:val="single"/>
    </w:rPr>
  </w:style>
  <w:style w:type="paragraph" w:styleId="ListParagraph">
    <w:name w:val="List Paragraph"/>
    <w:basedOn w:val="Normal"/>
    <w:uiPriority w:val="34"/>
    <w:qFormat/>
    <w:rsid w:val="004731A3"/>
    <w:pPr>
      <w:ind w:left="720"/>
      <w:contextualSpacing/>
    </w:pPr>
  </w:style>
  <w:style w:type="paragraph" w:styleId="NormalWeb">
    <w:name w:val="Normal (Web)"/>
    <w:basedOn w:val="Normal"/>
    <w:uiPriority w:val="99"/>
    <w:semiHidden/>
    <w:unhideWhenUsed/>
    <w:rsid w:val="00CE0ABE"/>
    <w:pPr>
      <w:spacing w:before="100" w:beforeAutospacing="1" w:after="100" w:afterAutospacing="1"/>
    </w:pPr>
    <w:rPr>
      <w:rFonts w:ascii="Times New Roman" w:eastAsia="Times New Roman" w:hAnsi="Times New Roman" w:cs="Times New Roman"/>
      <w:sz w:val="24"/>
      <w:szCs w:val="24"/>
      <w:lang w:val="en-US" w:eastAsia="zh-CN"/>
    </w:rPr>
  </w:style>
  <w:style w:type="paragraph" w:styleId="BalloonText">
    <w:name w:val="Balloon Text"/>
    <w:basedOn w:val="Normal"/>
    <w:link w:val="BalloonTextChar"/>
    <w:uiPriority w:val="99"/>
    <w:semiHidden/>
    <w:unhideWhenUsed/>
    <w:rsid w:val="008D3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52D"/>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3696">
      <w:bodyDiv w:val="1"/>
      <w:marLeft w:val="0"/>
      <w:marRight w:val="0"/>
      <w:marTop w:val="0"/>
      <w:marBottom w:val="0"/>
      <w:divBdr>
        <w:top w:val="none" w:sz="0" w:space="0" w:color="auto"/>
        <w:left w:val="none" w:sz="0" w:space="0" w:color="auto"/>
        <w:bottom w:val="none" w:sz="0" w:space="0" w:color="auto"/>
        <w:right w:val="none" w:sz="0" w:space="0" w:color="auto"/>
      </w:divBdr>
      <w:divsChild>
        <w:div w:id="406850201">
          <w:marLeft w:val="720"/>
          <w:marRight w:val="0"/>
          <w:marTop w:val="200"/>
          <w:marBottom w:val="0"/>
          <w:divBdr>
            <w:top w:val="none" w:sz="0" w:space="0" w:color="auto"/>
            <w:left w:val="none" w:sz="0" w:space="0" w:color="auto"/>
            <w:bottom w:val="none" w:sz="0" w:space="0" w:color="auto"/>
            <w:right w:val="none" w:sz="0" w:space="0" w:color="auto"/>
          </w:divBdr>
        </w:div>
        <w:div w:id="531765406">
          <w:marLeft w:val="720"/>
          <w:marRight w:val="0"/>
          <w:marTop w:val="200"/>
          <w:marBottom w:val="0"/>
          <w:divBdr>
            <w:top w:val="none" w:sz="0" w:space="0" w:color="auto"/>
            <w:left w:val="none" w:sz="0" w:space="0" w:color="auto"/>
            <w:bottom w:val="none" w:sz="0" w:space="0" w:color="auto"/>
            <w:right w:val="none" w:sz="0" w:space="0" w:color="auto"/>
          </w:divBdr>
        </w:div>
        <w:div w:id="712462001">
          <w:marLeft w:val="720"/>
          <w:marRight w:val="0"/>
          <w:marTop w:val="200"/>
          <w:marBottom w:val="0"/>
          <w:divBdr>
            <w:top w:val="none" w:sz="0" w:space="0" w:color="auto"/>
            <w:left w:val="none" w:sz="0" w:space="0" w:color="auto"/>
            <w:bottom w:val="none" w:sz="0" w:space="0" w:color="auto"/>
            <w:right w:val="none" w:sz="0" w:space="0" w:color="auto"/>
          </w:divBdr>
        </w:div>
      </w:divsChild>
    </w:div>
    <w:div w:id="179971414">
      <w:bodyDiv w:val="1"/>
      <w:marLeft w:val="0"/>
      <w:marRight w:val="0"/>
      <w:marTop w:val="0"/>
      <w:marBottom w:val="0"/>
      <w:divBdr>
        <w:top w:val="none" w:sz="0" w:space="0" w:color="auto"/>
        <w:left w:val="none" w:sz="0" w:space="0" w:color="auto"/>
        <w:bottom w:val="none" w:sz="0" w:space="0" w:color="auto"/>
        <w:right w:val="none" w:sz="0" w:space="0" w:color="auto"/>
      </w:divBdr>
      <w:divsChild>
        <w:div w:id="1617371534">
          <w:marLeft w:val="720"/>
          <w:marRight w:val="0"/>
          <w:marTop w:val="200"/>
          <w:marBottom w:val="0"/>
          <w:divBdr>
            <w:top w:val="none" w:sz="0" w:space="0" w:color="auto"/>
            <w:left w:val="none" w:sz="0" w:space="0" w:color="auto"/>
            <w:bottom w:val="none" w:sz="0" w:space="0" w:color="auto"/>
            <w:right w:val="none" w:sz="0" w:space="0" w:color="auto"/>
          </w:divBdr>
        </w:div>
        <w:div w:id="1844128746">
          <w:marLeft w:val="720"/>
          <w:marRight w:val="0"/>
          <w:marTop w:val="200"/>
          <w:marBottom w:val="0"/>
          <w:divBdr>
            <w:top w:val="none" w:sz="0" w:space="0" w:color="auto"/>
            <w:left w:val="none" w:sz="0" w:space="0" w:color="auto"/>
            <w:bottom w:val="none" w:sz="0" w:space="0" w:color="auto"/>
            <w:right w:val="none" w:sz="0" w:space="0" w:color="auto"/>
          </w:divBdr>
        </w:div>
        <w:div w:id="736129886">
          <w:marLeft w:val="720"/>
          <w:marRight w:val="0"/>
          <w:marTop w:val="200"/>
          <w:marBottom w:val="0"/>
          <w:divBdr>
            <w:top w:val="none" w:sz="0" w:space="0" w:color="auto"/>
            <w:left w:val="none" w:sz="0" w:space="0" w:color="auto"/>
            <w:bottom w:val="none" w:sz="0" w:space="0" w:color="auto"/>
            <w:right w:val="none" w:sz="0" w:space="0" w:color="auto"/>
          </w:divBdr>
        </w:div>
      </w:divsChild>
    </w:div>
    <w:div w:id="1231766362">
      <w:bodyDiv w:val="1"/>
      <w:marLeft w:val="0"/>
      <w:marRight w:val="0"/>
      <w:marTop w:val="0"/>
      <w:marBottom w:val="0"/>
      <w:divBdr>
        <w:top w:val="none" w:sz="0" w:space="0" w:color="auto"/>
        <w:left w:val="none" w:sz="0" w:space="0" w:color="auto"/>
        <w:bottom w:val="none" w:sz="0" w:space="0" w:color="auto"/>
        <w:right w:val="none" w:sz="0" w:space="0" w:color="auto"/>
      </w:divBdr>
      <w:divsChild>
        <w:div w:id="649214609">
          <w:marLeft w:val="360"/>
          <w:marRight w:val="0"/>
          <w:marTop w:val="200"/>
          <w:marBottom w:val="0"/>
          <w:divBdr>
            <w:top w:val="none" w:sz="0" w:space="0" w:color="auto"/>
            <w:left w:val="none" w:sz="0" w:space="0" w:color="auto"/>
            <w:bottom w:val="none" w:sz="0" w:space="0" w:color="auto"/>
            <w:right w:val="none" w:sz="0" w:space="0" w:color="auto"/>
          </w:divBdr>
        </w:div>
        <w:div w:id="1427727169">
          <w:marLeft w:val="936"/>
          <w:marRight w:val="0"/>
          <w:marTop w:val="200"/>
          <w:marBottom w:val="0"/>
          <w:divBdr>
            <w:top w:val="none" w:sz="0" w:space="0" w:color="auto"/>
            <w:left w:val="none" w:sz="0" w:space="0" w:color="auto"/>
            <w:bottom w:val="none" w:sz="0" w:space="0" w:color="auto"/>
            <w:right w:val="none" w:sz="0" w:space="0" w:color="auto"/>
          </w:divBdr>
        </w:div>
        <w:div w:id="1570192173">
          <w:marLeft w:val="936"/>
          <w:marRight w:val="0"/>
          <w:marTop w:val="200"/>
          <w:marBottom w:val="0"/>
          <w:divBdr>
            <w:top w:val="none" w:sz="0" w:space="0" w:color="auto"/>
            <w:left w:val="none" w:sz="0" w:space="0" w:color="auto"/>
            <w:bottom w:val="none" w:sz="0" w:space="0" w:color="auto"/>
            <w:right w:val="none" w:sz="0" w:space="0" w:color="auto"/>
          </w:divBdr>
        </w:div>
      </w:divsChild>
    </w:div>
    <w:div w:id="1491630752">
      <w:bodyDiv w:val="1"/>
      <w:marLeft w:val="0"/>
      <w:marRight w:val="0"/>
      <w:marTop w:val="0"/>
      <w:marBottom w:val="0"/>
      <w:divBdr>
        <w:top w:val="none" w:sz="0" w:space="0" w:color="auto"/>
        <w:left w:val="none" w:sz="0" w:space="0" w:color="auto"/>
        <w:bottom w:val="none" w:sz="0" w:space="0" w:color="auto"/>
        <w:right w:val="none" w:sz="0" w:space="0" w:color="auto"/>
      </w:divBdr>
    </w:div>
    <w:div w:id="1604071733">
      <w:bodyDiv w:val="1"/>
      <w:marLeft w:val="0"/>
      <w:marRight w:val="0"/>
      <w:marTop w:val="0"/>
      <w:marBottom w:val="0"/>
      <w:divBdr>
        <w:top w:val="none" w:sz="0" w:space="0" w:color="auto"/>
        <w:left w:val="none" w:sz="0" w:space="0" w:color="auto"/>
        <w:bottom w:val="none" w:sz="0" w:space="0" w:color="auto"/>
        <w:right w:val="none" w:sz="0" w:space="0" w:color="auto"/>
      </w:divBdr>
    </w:div>
    <w:div w:id="18934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1F2BCDC71C84BAC2A4329D7776EB3" ma:contentTypeVersion="2" ma:contentTypeDescription="Create a new document." ma:contentTypeScope="" ma:versionID="22662d7cfc8d727ae3ff5ffb2ab7c412">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f874d8-1985-4211-bd75-0b16975e87a8">
      <UserInfo>
        <DisplayName>Lee, Chaesub</DisplayName>
        <AccountId>105</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7D84D-5E16-4A7D-A6AA-AA716C45BD87}"/>
</file>

<file path=customXml/itemProps2.xml><?xml version="1.0" encoding="utf-8"?>
<ds:datastoreItem xmlns:ds="http://schemas.openxmlformats.org/officeDocument/2006/customXml" ds:itemID="{B3BB1F5D-9CD4-41DA-B8E3-2F0C3C735CD5}"/>
</file>

<file path=customXml/itemProps3.xml><?xml version="1.0" encoding="utf-8"?>
<ds:datastoreItem xmlns:ds="http://schemas.openxmlformats.org/officeDocument/2006/customXml" ds:itemID="{82338F69-CE85-45F4-858C-789D196C4982}"/>
</file>

<file path=docProps/app.xml><?xml version="1.0" encoding="utf-8"?>
<Properties xmlns="http://schemas.openxmlformats.org/officeDocument/2006/extended-properties" xmlns:vt="http://schemas.openxmlformats.org/officeDocument/2006/docPropsVTypes">
  <Template>Normal.dotm</Template>
  <TotalTime>2</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Communique - CJK CTO - Final</vt:lpstr>
    </vt:vector>
  </TitlesOfParts>
  <Company>ITU</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CJK CTO - Final</dc:title>
  <dc:subject/>
  <dc:creator>Dalais, Matthew</dc:creator>
  <cp:keywords/>
  <dc:description/>
  <cp:lastModifiedBy>Dalais, Matthew</cp:lastModifiedBy>
  <cp:revision>2</cp:revision>
  <dcterms:created xsi:type="dcterms:W3CDTF">2019-07-19T09:28:00Z</dcterms:created>
  <dcterms:modified xsi:type="dcterms:W3CDTF">2019-07-19T09:28:00Z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0x010100D8E1F2BCDC71C84BAC2A4329D7776EB3</vt:lpwstr>
  </property>
</Properties>
</file>