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EC8" w:rsidRPr="00F539BF" w:rsidRDefault="007E2EC8" w:rsidP="007E2EC8">
      <w:pPr>
        <w:pStyle w:val="Heading2"/>
        <w:pageBreakBefore/>
        <w:ind w:left="792" w:hanging="792"/>
      </w:pPr>
      <w:bookmarkStart w:id="0" w:name="_GoBack"/>
      <w:bookmarkEnd w:id="0"/>
      <w:r w:rsidRPr="00F539BF">
        <w:t xml:space="preserve">Question </w:t>
      </w:r>
      <w:r>
        <w:t>6</w:t>
      </w:r>
      <w:r w:rsidRPr="00F539BF">
        <w:t>/</w:t>
      </w:r>
      <w:r w:rsidRPr="00F52391">
        <w:rPr>
          <w:noProof/>
        </w:rPr>
        <w:t>11</w:t>
      </w:r>
      <w:r w:rsidRPr="00F539BF">
        <w:t xml:space="preserve"> – </w:t>
      </w:r>
      <w:r w:rsidRPr="00941055">
        <w:t>Protocols supporting control and management technologies for IMT-2020 network and beyond</w:t>
      </w:r>
    </w:p>
    <w:p w:rsidR="007E2EC8" w:rsidRDefault="007E2EC8" w:rsidP="007E2EC8">
      <w:pPr>
        <w:rPr>
          <w:rFonts w:eastAsiaTheme="minorHAnsi"/>
        </w:rPr>
      </w:pPr>
      <w:r w:rsidRPr="00941055">
        <w:rPr>
          <w:rFonts w:eastAsiaTheme="minorHAnsi"/>
        </w:rPr>
        <w:t xml:space="preserve">(Continuation of Question </w:t>
      </w:r>
      <w:r>
        <w:rPr>
          <w:rFonts w:eastAsiaTheme="minorHAnsi"/>
        </w:rPr>
        <w:t>6</w:t>
      </w:r>
      <w:r w:rsidRPr="00941055">
        <w:rPr>
          <w:rFonts w:eastAsiaTheme="minorHAnsi"/>
        </w:rPr>
        <w:t>/11)</w:t>
      </w:r>
    </w:p>
    <w:p w:rsidR="007E2EC8" w:rsidRPr="00941055" w:rsidRDefault="007E2EC8" w:rsidP="007E2EC8">
      <w:pPr>
        <w:pStyle w:val="Heading3"/>
      </w:pPr>
      <w:bookmarkStart w:id="1" w:name="_Toc62037195"/>
      <w:r w:rsidRPr="00941055">
        <w:t>1</w:t>
      </w:r>
      <w:r w:rsidRPr="00941055">
        <w:tab/>
        <w:t>Motivation</w:t>
      </w:r>
      <w:bookmarkEnd w:id="1"/>
    </w:p>
    <w:p w:rsidR="007E2EC8" w:rsidRPr="00941055" w:rsidRDefault="007E2EC8" w:rsidP="007E2EC8">
      <w:pPr>
        <w:rPr>
          <w:lang w:eastAsia="ko-KR"/>
        </w:rPr>
      </w:pPr>
      <w:r w:rsidRPr="00941055">
        <w:rPr>
          <w:lang w:eastAsia="ko-KR"/>
        </w:rPr>
        <w:t xml:space="preserve">This Question has developed several protocols for control and </w:t>
      </w:r>
      <w:r w:rsidRPr="00941055">
        <w:t xml:space="preserve">management technologies </w:t>
      </w:r>
      <w:r w:rsidRPr="00941055">
        <w:rPr>
          <w:lang w:eastAsia="ko-KR"/>
        </w:rPr>
        <w:t>such as orchestration, network slicing, network capability exposure, identification and network management of heterogeneous network environments to realize IMT-2020 network.</w:t>
      </w:r>
    </w:p>
    <w:p w:rsidR="007E2EC8" w:rsidRPr="00941055" w:rsidRDefault="007E2EC8" w:rsidP="007E2EC8">
      <w:pPr>
        <w:rPr>
          <w:lang w:eastAsia="ko-KR"/>
        </w:rPr>
      </w:pPr>
      <w:r w:rsidRPr="00941055">
        <w:t xml:space="preserve">Artificial Intelligence (AI) application in network for enabling network automation and intelligence are important topics these days. </w:t>
      </w:r>
      <w:r w:rsidRPr="00941055">
        <w:rPr>
          <w:lang w:eastAsia="ko-KR"/>
        </w:rPr>
        <w:t xml:space="preserve">How AI and big data technologies are leveraged to </w:t>
      </w:r>
      <w:r w:rsidRPr="00941055">
        <w:t>support</w:t>
      </w:r>
      <w:r w:rsidRPr="00941055">
        <w:rPr>
          <w:lang w:eastAsia="ko-KR"/>
        </w:rPr>
        <w:t xml:space="preserve"> intelligent </w:t>
      </w:r>
      <w:r w:rsidRPr="00941055">
        <w:rPr>
          <w:rFonts w:hint="eastAsia"/>
          <w:lang w:eastAsia="zh-CN"/>
        </w:rPr>
        <w:t>contr</w:t>
      </w:r>
      <w:r w:rsidRPr="00941055">
        <w:rPr>
          <w:lang w:eastAsia="ko-KR"/>
        </w:rPr>
        <w:t xml:space="preserve">ol and management for IMT-2020 network </w:t>
      </w:r>
      <w:r w:rsidRPr="00941055">
        <w:t xml:space="preserve">and beyond </w:t>
      </w:r>
      <w:r w:rsidRPr="00941055">
        <w:rPr>
          <w:lang w:eastAsia="ko-KR"/>
        </w:rPr>
        <w:t>should be specified and provided urgently to meet the market requirements. Especially, protocols to support intelligent control for IMT-2020 network and beyond</w:t>
      </w:r>
      <w:r w:rsidRPr="00941055">
        <w:t>,</w:t>
      </w:r>
      <w:r w:rsidRPr="00941055">
        <w:rPr>
          <w:lang w:eastAsia="ko-KR"/>
        </w:rPr>
        <w:t xml:space="preserve"> enhanced mechanisms such as low latency, low jitter and packet loss, guaranteed bandwidth, </w:t>
      </w:r>
      <w:r w:rsidRPr="00941055">
        <w:rPr>
          <w:lang w:eastAsia="zh-CN"/>
        </w:rPr>
        <w:t>very large scale network</w:t>
      </w:r>
      <w:r w:rsidRPr="00941055">
        <w:rPr>
          <w:lang w:eastAsia="ko-KR"/>
        </w:rPr>
        <w:t xml:space="preserve">, </w:t>
      </w:r>
      <w:r w:rsidRPr="00941055">
        <w:rPr>
          <w:lang w:eastAsia="zh-CN"/>
        </w:rPr>
        <w:t>flexible connectivity and topology</w:t>
      </w:r>
      <w:r w:rsidRPr="00941055">
        <w:rPr>
          <w:lang w:eastAsia="ko-KR"/>
        </w:rPr>
        <w:t xml:space="preserve">, </w:t>
      </w:r>
      <w:r w:rsidRPr="00941055">
        <w:rPr>
          <w:lang w:eastAsia="zh-CN"/>
        </w:rPr>
        <w:t>resources assignment and sharing</w:t>
      </w:r>
      <w:r w:rsidRPr="00941055">
        <w:rPr>
          <w:lang w:eastAsia="ko-KR"/>
        </w:rPr>
        <w:t xml:space="preserve">, and </w:t>
      </w:r>
      <w:r w:rsidRPr="00941055">
        <w:t>network slicing</w:t>
      </w:r>
      <w:r w:rsidRPr="00941055">
        <w:rPr>
          <w:lang w:eastAsia="ko-KR"/>
        </w:rPr>
        <w:t xml:space="preserve"> should be developed with high priority. </w:t>
      </w:r>
      <w:r w:rsidRPr="00941055">
        <w:rPr>
          <w:rFonts w:hint="eastAsia"/>
          <w:lang w:eastAsia="ko-KR"/>
        </w:rPr>
        <w:t>With specific requirements from vertical industries</w:t>
      </w:r>
      <w:r w:rsidRPr="00941055">
        <w:rPr>
          <w:lang w:eastAsia="zh-CN"/>
        </w:rPr>
        <w:t>, u</w:t>
      </w:r>
      <w:r w:rsidRPr="00941055">
        <w:rPr>
          <w:rFonts w:hint="eastAsia"/>
          <w:lang w:eastAsia="ko-KR"/>
        </w:rPr>
        <w:t>ser plane management should be enhanced to optimize the user path and meet industry needs.</w:t>
      </w:r>
    </w:p>
    <w:p w:rsidR="007E2EC8" w:rsidRDefault="007E2EC8" w:rsidP="007E2EC8">
      <w:r w:rsidRPr="00941055">
        <w:rPr>
          <w:lang w:eastAsia="ko-KR"/>
        </w:rPr>
        <w:t>Also, protocols on common management system for accommodating both fixed and mobile networks are other important issues that have to be resolved in the future.</w:t>
      </w:r>
    </w:p>
    <w:p w:rsidR="007E2EC8" w:rsidRPr="00941055" w:rsidRDefault="007E2EC8" w:rsidP="007E2EC8">
      <w:pPr>
        <w:pStyle w:val="Heading3"/>
      </w:pPr>
      <w:bookmarkStart w:id="2" w:name="_Toc62037196"/>
      <w:r w:rsidRPr="00941055">
        <w:t>2</w:t>
      </w:r>
      <w:r w:rsidRPr="00941055">
        <w:tab/>
        <w:t>Question</w:t>
      </w:r>
      <w:bookmarkEnd w:id="2"/>
    </w:p>
    <w:p w:rsidR="007E2EC8" w:rsidRPr="00941055" w:rsidRDefault="007E2EC8" w:rsidP="007E2EC8">
      <w:r w:rsidRPr="00941055">
        <w:t>Study items to be considered include, but are not limited to: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What protocols and mechanisms need to be defined in response to gap analyses developed by relevant SDOs?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What protocols and mechanisms need to be defined in support of service scenarios, requirements, capabilities, and architecture for IMT-2020 network and beyond provided by relevant ITU-T SGs and other SDOs?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What protocols and mechanisms need to be defined for the key technologies to realize IMT-2020 network and beyond including intelligent control for transport network, orchestration, network slicing, user plane optimization, network capability exposure, identification, device authentication, fixed/mobile convergence, network management of heterogeneous network environments, etc.?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How emerging technologies including AI, big data, and QKDN and related technologies are leveraged in the control and management protocols for IMT-2020 network and beyond?</w:t>
      </w:r>
    </w:p>
    <w:p w:rsidR="007E2EC8" w:rsidRPr="00941055" w:rsidRDefault="007E2EC8" w:rsidP="007E2EC8">
      <w:pPr>
        <w:pStyle w:val="enumlev1"/>
      </w:pPr>
      <w:r w:rsidRPr="00941055">
        <w:rPr>
          <w:rFonts w:hint="eastAsia"/>
        </w:rPr>
        <w:t>–</w:t>
      </w:r>
      <w:r w:rsidRPr="00941055">
        <w:tab/>
        <w:t>What protocols and mechanisms should be defined to realize high performance with features like ultra-low latency and high reliability for IMT-2020 network and beyond?</w:t>
      </w:r>
    </w:p>
    <w:p w:rsidR="007E2EC8" w:rsidRPr="00941055" w:rsidRDefault="007E2EC8" w:rsidP="007E2EC8">
      <w:pPr>
        <w:pStyle w:val="enumlev1"/>
      </w:pPr>
      <w:r w:rsidRPr="00941055">
        <w:rPr>
          <w:rFonts w:hint="eastAsia"/>
        </w:rPr>
        <w:t>–</w:t>
      </w:r>
      <w:r w:rsidRPr="00941055">
        <w:tab/>
        <w:t>What protocols and mechanisms should be defined to realize improvements and enhancements to service-based interface for IMT-2020 in order to improve efficiency, flexibility and intelligence?</w:t>
      </w:r>
    </w:p>
    <w:p w:rsidR="007E2EC8" w:rsidRDefault="007E2EC8" w:rsidP="007E2EC8">
      <w:pPr>
        <w:pStyle w:val="enumlev1"/>
      </w:pPr>
      <w:r w:rsidRPr="00941055">
        <w:t>–</w:t>
      </w:r>
      <w:r w:rsidRPr="00941055">
        <w:tab/>
        <w:t>How to utilize and guide the open source software, in collaboration with relevant bodies, related to key technologies of IMT-2020 network and beyond to implement the developed Recommendations?</w:t>
      </w:r>
    </w:p>
    <w:p w:rsidR="007E2EC8" w:rsidRPr="00941055" w:rsidRDefault="007E2EC8" w:rsidP="007E2EC8">
      <w:pPr>
        <w:pStyle w:val="Heading3"/>
      </w:pPr>
      <w:bookmarkStart w:id="3" w:name="_Toc62037197"/>
      <w:r w:rsidRPr="00941055">
        <w:t>3</w:t>
      </w:r>
      <w:r w:rsidRPr="00941055">
        <w:tab/>
        <w:t>Tasks</w:t>
      </w:r>
      <w:bookmarkEnd w:id="3"/>
    </w:p>
    <w:p w:rsidR="007E2EC8" w:rsidRPr="00941055" w:rsidRDefault="007E2EC8" w:rsidP="007E2EC8">
      <w:r w:rsidRPr="00941055">
        <w:t>Tasks include, but are not limited to: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develop Recommendations on protocols, including mechanisms, to control IMT-2020 network and beyond with enhanced features, supporting very large-scale network, flexible connectivity and topology, fixed/mobile convergence, user plane optimization, etc.;</w:t>
      </w:r>
    </w:p>
    <w:p w:rsidR="007E2EC8" w:rsidRPr="00941055" w:rsidRDefault="007E2EC8" w:rsidP="007E2EC8">
      <w:pPr>
        <w:pStyle w:val="enumlev1"/>
      </w:pPr>
      <w:r w:rsidRPr="00941055">
        <w:lastRenderedPageBreak/>
        <w:t>–</w:t>
      </w:r>
      <w:r w:rsidRPr="00941055">
        <w:tab/>
        <w:t>develop Recommendations on protocols, including mechanisms, to support IMT-2020 network and beyond by using technologies such as network slicing, resource virtualization, orchestration, AI and big data, QKDN and related technologies, etc.;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develop Recommendations on protocols, including mechanisms, for other key technologies of IMT-2020 network and beyond including identification, device authentication, and network capability exposure, etc.;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develop Recommendations on protocols, including mechanisms, for common management system for IMT-2020 network and beyond;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develop Recommendations on protocols, including mechanisms, for IMT-2020 network to realize high performance with features like ultra-low latency and high reliability;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develop Recommendations on protocols for IMT-2020 network and beyond, to realize improvements and enhancements to service-based interface in order to improve efficiency, flexibility and intelligence;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develop Supplement, Technical Report, Guidelines on the best practices and implementations of protocols and mechanisms, for IMT-2020 network and beyond, including open source software, in collaboration with relevant bodies.</w:t>
      </w:r>
    </w:p>
    <w:p w:rsidR="007E2EC8" w:rsidRDefault="007E2EC8" w:rsidP="007E2EC8">
      <w:r w:rsidRPr="00941055">
        <w:t xml:space="preserve">An up-to-date status of work under </w:t>
      </w:r>
      <w:r>
        <w:t>Q6/11</w:t>
      </w:r>
      <w:r w:rsidRPr="00941055">
        <w:t xml:space="preserve"> is contained in the SG11 work programme (</w:t>
      </w:r>
      <w:hyperlink r:id="rId5" w:history="1">
        <w:r w:rsidRPr="00962E9D">
          <w:rPr>
            <w:rStyle w:val="Hyperlink"/>
          </w:rPr>
          <w:t>https://www.itu.int/ITU-T/workprog/wp_search.aspx?sp=17&amp;q=6/11</w:t>
        </w:r>
      </w:hyperlink>
      <w:r w:rsidRPr="00941055">
        <w:t>).</w:t>
      </w:r>
    </w:p>
    <w:p w:rsidR="007E2EC8" w:rsidRPr="00941055" w:rsidRDefault="007E2EC8" w:rsidP="007E2EC8">
      <w:pPr>
        <w:pStyle w:val="Heading3"/>
      </w:pPr>
      <w:bookmarkStart w:id="4" w:name="_Toc62037198"/>
      <w:r w:rsidRPr="00941055">
        <w:t>4</w:t>
      </w:r>
      <w:r w:rsidRPr="00941055">
        <w:tab/>
        <w:t>Relationships</w:t>
      </w:r>
      <w:bookmarkEnd w:id="4"/>
    </w:p>
    <w:p w:rsidR="007E2EC8" w:rsidRPr="00941055" w:rsidRDefault="007E2EC8" w:rsidP="007E2EC8">
      <w:pPr>
        <w:pStyle w:val="Headingb"/>
      </w:pPr>
      <w:r w:rsidRPr="00941055">
        <w:t>Recommendations: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Y-series and Q-series</w:t>
      </w:r>
    </w:p>
    <w:p w:rsidR="007E2EC8" w:rsidRPr="00941055" w:rsidRDefault="007E2EC8" w:rsidP="007E2EC8">
      <w:pPr>
        <w:pStyle w:val="Headingb"/>
      </w:pPr>
      <w:r w:rsidRPr="00941055">
        <w:t>Questions: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</w:r>
      <w:r>
        <w:t>4</w:t>
      </w:r>
      <w:r w:rsidRPr="00941055">
        <w:t xml:space="preserve">/11, </w:t>
      </w:r>
      <w:r>
        <w:t>7</w:t>
      </w:r>
      <w:r w:rsidRPr="00941055">
        <w:t xml:space="preserve">/11, </w:t>
      </w:r>
      <w:r>
        <w:t>8</w:t>
      </w:r>
      <w:r w:rsidRPr="00941055">
        <w:t xml:space="preserve">/11, </w:t>
      </w:r>
      <w:r>
        <w:t>14</w:t>
      </w:r>
      <w:r w:rsidRPr="00941055">
        <w:t>/11</w:t>
      </w:r>
    </w:p>
    <w:p w:rsidR="007E2EC8" w:rsidRPr="00941055" w:rsidRDefault="007E2EC8" w:rsidP="007E2EC8">
      <w:pPr>
        <w:pStyle w:val="Headingb"/>
      </w:pPr>
      <w:r w:rsidRPr="00941055">
        <w:t>Study Groups: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ITU-T Study Group 2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ITU-T Study Group 13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ITU-T Study Group 15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Other SGs involved with IMT-2020 studies</w:t>
      </w:r>
    </w:p>
    <w:p w:rsidR="007E2EC8" w:rsidRPr="00941055" w:rsidRDefault="007E2EC8" w:rsidP="007E2EC8">
      <w:pPr>
        <w:pStyle w:val="Headingb"/>
      </w:pPr>
      <w:r w:rsidRPr="00941055">
        <w:t>Other bodies: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ITU-R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ETSI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IETF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IEEE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3GPP</w:t>
      </w:r>
    </w:p>
    <w:p w:rsidR="007E2EC8" w:rsidRPr="00941055" w:rsidRDefault="007E2EC8" w:rsidP="007E2EC8">
      <w:pPr>
        <w:keepNext/>
        <w:keepLines/>
        <w:rPr>
          <w:b/>
          <w:bCs/>
          <w:bdr w:val="none" w:sz="0" w:space="0" w:color="auto" w:frame="1"/>
        </w:rPr>
      </w:pPr>
      <w:r w:rsidRPr="00941055">
        <w:rPr>
          <w:b/>
          <w:bCs/>
          <w:bdr w:val="none" w:sz="0" w:space="0" w:color="auto" w:frame="1"/>
        </w:rPr>
        <w:t>WSIS action lines: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C2, C5</w:t>
      </w:r>
    </w:p>
    <w:p w:rsidR="007E2EC8" w:rsidRPr="00941055" w:rsidRDefault="007E2EC8" w:rsidP="007E2EC8">
      <w:pPr>
        <w:pStyle w:val="Headingb"/>
      </w:pPr>
      <w:r w:rsidRPr="00941055">
        <w:t>Sustainable Development Goals:</w:t>
      </w:r>
    </w:p>
    <w:p w:rsidR="007E2EC8" w:rsidRPr="00941055" w:rsidRDefault="007E2EC8" w:rsidP="007E2EC8">
      <w:pPr>
        <w:pStyle w:val="enumlev1"/>
      </w:pPr>
      <w:r w:rsidRPr="00941055">
        <w:t>–</w:t>
      </w:r>
      <w:r w:rsidRPr="00941055">
        <w:tab/>
        <w:t>9, 17</w:t>
      </w:r>
    </w:p>
    <w:p w:rsidR="003429F2" w:rsidRPr="00AB258E" w:rsidRDefault="003429F2" w:rsidP="007E2EC8"/>
    <w:sectPr w:rsidR="003429F2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2EC8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1DAE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57C1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2E75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47CC9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3191"/>
    <w:rsid w:val="00593340"/>
    <w:rsid w:val="005A2A95"/>
    <w:rsid w:val="005B0D58"/>
    <w:rsid w:val="005B1C8B"/>
    <w:rsid w:val="005B29FD"/>
    <w:rsid w:val="005B5835"/>
    <w:rsid w:val="005B5F01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371B9"/>
    <w:rsid w:val="0074553A"/>
    <w:rsid w:val="007472FB"/>
    <w:rsid w:val="00753305"/>
    <w:rsid w:val="00753F94"/>
    <w:rsid w:val="00755A6D"/>
    <w:rsid w:val="00760549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5558"/>
    <w:rsid w:val="007C11F2"/>
    <w:rsid w:val="007C7042"/>
    <w:rsid w:val="007D2F0F"/>
    <w:rsid w:val="007D2F42"/>
    <w:rsid w:val="007D7074"/>
    <w:rsid w:val="007E1D1A"/>
    <w:rsid w:val="007E2EC8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2079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98876-D8E7-4B1C-94D7-E29BDA7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2EC8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7E2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7E2EC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7E2EC8"/>
    <w:pPr>
      <w:spacing w:before="1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7E2EC8"/>
    <w:rPr>
      <w:rFonts w:eastAsia="Times New Roman"/>
      <w:b/>
      <w:sz w:val="24"/>
      <w:lang w:val="en-GB" w:eastAsia="en-US"/>
    </w:rPr>
  </w:style>
  <w:style w:type="paragraph" w:customStyle="1" w:styleId="Heading1Centered">
    <w:name w:val="Heading 1 Centered"/>
    <w:basedOn w:val="Heading1"/>
    <w:rsid w:val="00BB46A0"/>
    <w:pPr>
      <w:ind w:left="0" w:firstLine="0"/>
      <w:jc w:val="center"/>
    </w:pPr>
  </w:style>
  <w:style w:type="character" w:customStyle="1" w:styleId="Heading2Char">
    <w:name w:val="Heading 2 Char"/>
    <w:basedOn w:val="DefaultParagraphFont"/>
    <w:link w:val="Heading2"/>
    <w:rsid w:val="007E2EC8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E2EC8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link w:val="HeadingbChar"/>
    <w:qFormat/>
    <w:rsid w:val="007E2EC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Theme="minorHAnsi"/>
      <w:bCs w:val="0"/>
    </w:rPr>
  </w:style>
  <w:style w:type="paragraph" w:customStyle="1" w:styleId="LSTo">
    <w:name w:val="LSTo"/>
    <w:basedOn w:val="Normal"/>
    <w:rsid w:val="004B2E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Note">
    <w:name w:val="Note"/>
    <w:basedOn w:val="Normal"/>
    <w:rsid w:val="007E2E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paragraph" w:styleId="Footer">
    <w:name w:val="footer"/>
    <w:basedOn w:val="Normal"/>
    <w:link w:val="FooterChar"/>
    <w:rsid w:val="00547CC9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link w:val="Footer"/>
    <w:rsid w:val="00547CC9"/>
    <w:rPr>
      <w:rFonts w:eastAsia="Times New Roman"/>
      <w:caps/>
      <w:noProof/>
      <w:sz w:val="16"/>
      <w:lang w:val="en-GB"/>
    </w:rPr>
  </w:style>
  <w:style w:type="paragraph" w:styleId="MacroText">
    <w:name w:val="macro"/>
    <w:link w:val="MacroTextChar"/>
    <w:rsid w:val="00181D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G Time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181DAE"/>
    <w:rPr>
      <w:rFonts w:ascii="Courier New" w:hAnsi="Courier New" w:cs="CG Times"/>
      <w:lang w:val="en-GB" w:eastAsia="ja-JP"/>
    </w:rPr>
  </w:style>
  <w:style w:type="character" w:customStyle="1" w:styleId="HeadingbChar">
    <w:name w:val="Heading_b Char"/>
    <w:link w:val="Headingb"/>
    <w:qFormat/>
    <w:locked/>
    <w:rsid w:val="007E2EC8"/>
    <w:rPr>
      <w:b/>
      <w:sz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7E2E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link w:val="enumlev1"/>
    <w:qFormat/>
    <w:locked/>
    <w:rsid w:val="007E2EC8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u.int/ITU-T/workprog/wp_search.aspx?sp=17&amp;q=6/1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0767F52F2548A3B5CAC9902534EB" ma:contentTypeVersion="1" ma:contentTypeDescription="Create a new document." ma:contentTypeScope="" ma:versionID="36bd275d2242245640ad6cc70739f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10EAB-241B-4D9B-A7D1-E86C9F2DF083}"/>
</file>

<file path=customXml/itemProps2.xml><?xml version="1.0" encoding="utf-8"?>
<ds:datastoreItem xmlns:ds="http://schemas.openxmlformats.org/officeDocument/2006/customXml" ds:itemID="{3830695F-87E8-48DD-8E23-5AB2DB2DE5C6}"/>
</file>

<file path=customXml/itemProps3.xml><?xml version="1.0" encoding="utf-8"?>
<ds:datastoreItem xmlns:ds="http://schemas.openxmlformats.org/officeDocument/2006/customXml" ds:itemID="{777A9102-AF35-4A40-8413-80BAFCE3C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Simão Campos-Neto</cp:lastModifiedBy>
  <cp:revision>1</cp:revision>
  <cp:lastPrinted>2011-04-05T14:28:00Z</cp:lastPrinted>
  <dcterms:created xsi:type="dcterms:W3CDTF">2022-03-18T16:07:00Z</dcterms:created>
  <dcterms:modified xsi:type="dcterms:W3CDTF">2022-03-18T16:07:00Z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0x010100BC340767F52F2548A3B5CAC9902534EB</vt:lpwstr>
  </property>
</Properties>
</file>