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2E3" w:rsidRPr="00F539BF" w:rsidRDefault="001E12E3" w:rsidP="001E12E3">
      <w:pPr>
        <w:pStyle w:val="Heading2"/>
        <w:pageBreakBefore/>
        <w:ind w:left="792" w:hanging="792"/>
      </w:pPr>
      <w:bookmarkStart w:id="0" w:name="_GoBack"/>
      <w:bookmarkEnd w:id="0"/>
      <w:r w:rsidRPr="00F539BF">
        <w:t xml:space="preserve">Question </w:t>
      </w:r>
      <w:r>
        <w:t>2</w:t>
      </w:r>
      <w:r w:rsidRPr="00F539BF">
        <w:t>/</w:t>
      </w:r>
      <w:r w:rsidRPr="00F52391">
        <w:rPr>
          <w:noProof/>
        </w:rPr>
        <w:t>11</w:t>
      </w:r>
      <w:r w:rsidRPr="00F539BF">
        <w:t xml:space="preserve"> – </w:t>
      </w:r>
      <w:r w:rsidRPr="00941055">
        <w:t>Signalling requirements and protocols for services and applications in telecommunication environments</w:t>
      </w:r>
    </w:p>
    <w:p w:rsidR="001E12E3" w:rsidRDefault="001E12E3" w:rsidP="001E12E3">
      <w:pPr>
        <w:rPr>
          <w:rFonts w:eastAsiaTheme="minorHAnsi"/>
        </w:rPr>
      </w:pPr>
      <w:r w:rsidRPr="00941055">
        <w:rPr>
          <w:rFonts w:eastAsiaTheme="minorHAnsi"/>
        </w:rPr>
        <w:t>(Continuation of Question 2/11)</w:t>
      </w:r>
    </w:p>
    <w:p w:rsidR="001E12E3" w:rsidRPr="00941055" w:rsidRDefault="001E12E3" w:rsidP="001E12E3">
      <w:pPr>
        <w:pStyle w:val="Heading3"/>
      </w:pPr>
      <w:bookmarkStart w:id="1" w:name="_Toc62037175"/>
      <w:r w:rsidRPr="00941055">
        <w:t>1</w:t>
      </w:r>
      <w:r w:rsidRPr="00941055">
        <w:tab/>
        <w:t>Motivation</w:t>
      </w:r>
      <w:bookmarkEnd w:id="1"/>
    </w:p>
    <w:p w:rsidR="001E12E3" w:rsidRPr="00941055" w:rsidRDefault="001E12E3" w:rsidP="001E12E3">
      <w:r w:rsidRPr="00941055">
        <w:t xml:space="preserve">With the ever-increasing number of services and applications, demand has been continuously increasing to enhance the capabilities of telecommunication networks. Also, </w:t>
      </w:r>
      <w:r w:rsidRPr="00941055">
        <w:rPr>
          <w:rFonts w:hint="eastAsia"/>
          <w:lang w:eastAsia="zh-CN"/>
        </w:rPr>
        <w:t>technologies</w:t>
      </w:r>
      <w:r w:rsidRPr="00941055">
        <w:t>, including cloud computing big data, DLT and Machine Learning/Artificial Intelligence, QKDN and related technologies and other emerging telecommunication/ICT technologies will promote new signalling protocols to enable interconnection and proper communication in</w:t>
      </w:r>
      <w:r w:rsidRPr="00941055">
        <w:rPr>
          <w:lang w:eastAsia="zh-CN"/>
        </w:rPr>
        <w:t xml:space="preserve"> IMT-2020 network and beyond</w:t>
      </w:r>
      <w:r w:rsidRPr="00941055">
        <w:t>. These emerging technologies, as well as the evolution of existing ones, will certainly impact on the signalling and protocol standardization.</w:t>
      </w:r>
    </w:p>
    <w:p w:rsidR="001E12E3" w:rsidRDefault="001E12E3" w:rsidP="001E12E3">
      <w:pPr>
        <w:rPr>
          <w:i/>
          <w:iCs/>
        </w:rPr>
      </w:pPr>
      <w:r w:rsidRPr="00941055">
        <w:t xml:space="preserve">One of the objectives of </w:t>
      </w:r>
      <w:r w:rsidRPr="00941055">
        <w:rPr>
          <w:rFonts w:hint="eastAsia"/>
          <w:lang w:eastAsia="zh-CN"/>
        </w:rPr>
        <w:t>telecommunication</w:t>
      </w:r>
      <w:r w:rsidRPr="00941055">
        <w:t xml:space="preserve"> </w:t>
      </w:r>
      <w:r w:rsidRPr="00941055">
        <w:rPr>
          <w:rFonts w:hint="eastAsia"/>
          <w:lang w:eastAsia="zh-CN"/>
        </w:rPr>
        <w:t>network</w:t>
      </w:r>
      <w:r>
        <w:rPr>
          <w:lang w:eastAsia="zh-CN"/>
        </w:rPr>
        <w:t>'</w:t>
      </w:r>
      <w:r w:rsidRPr="00941055">
        <w:rPr>
          <w:lang w:eastAsia="zh-CN"/>
        </w:rPr>
        <w:t xml:space="preserve">s </w:t>
      </w:r>
      <w:r w:rsidRPr="00941055">
        <w:t>evolution is to support, in a secure fashion, wide range of services, from legacy telephony and intelligent services to innovative services, encompassing audio, data, video broadcast and conversational services, streaming services, interactive games, mobile payment/banking, third party applications, etc.</w:t>
      </w:r>
    </w:p>
    <w:p w:rsidR="001E12E3" w:rsidRPr="00941055" w:rsidRDefault="001E12E3" w:rsidP="001E12E3">
      <w:pPr>
        <w:pStyle w:val="Heading3"/>
      </w:pPr>
      <w:bookmarkStart w:id="2" w:name="_Toc62037176"/>
      <w:r w:rsidRPr="00941055">
        <w:t>2</w:t>
      </w:r>
      <w:r w:rsidRPr="00941055">
        <w:tab/>
        <w:t>Question</w:t>
      </w:r>
      <w:bookmarkEnd w:id="2"/>
    </w:p>
    <w:p w:rsidR="001E12E3" w:rsidRPr="00941055" w:rsidRDefault="001E12E3" w:rsidP="001E12E3">
      <w:r w:rsidRPr="00941055">
        <w:t>Study items to be considered include, but are not limited to: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What are the suitable signalling protocols for implementation of different services and applications in emerging telecommunication environment?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What new signalling requirements and protocols need to be developed to support services in telecommunication networks evolving to IMT-2020 network and beyond?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What new signalling requirements and protocols need to be developed to support emerging telecommunication/ICT technologies services and applications?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What kind of emerging technologies, including QKDN and related technologies enabled architecture and mechanisms are required to guarantee signalling and control security, including signalling system number 7 (SS7) and emerging signalling systems?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What signalling requirements and protocols need to be developed to support real-time communications and messaging services?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What new signalling requirements and protocols need to be developed to support telecommunications services management?</w:t>
      </w:r>
    </w:p>
    <w:p w:rsidR="001E12E3" w:rsidRDefault="001E12E3" w:rsidP="001E12E3">
      <w:pPr>
        <w:pStyle w:val="enumlev1"/>
      </w:pPr>
      <w:r w:rsidRPr="00941055">
        <w:t>–</w:t>
      </w:r>
      <w:r w:rsidRPr="00941055">
        <w:tab/>
        <w:t>What new signalling requirements and protocols are required to support services and/or applications of public interest, such as mobile payment/banking, crypto currency, multimedia emergency communications, privacy, number portability, etc.?</w:t>
      </w:r>
    </w:p>
    <w:p w:rsidR="001E12E3" w:rsidRPr="00941055" w:rsidRDefault="001E12E3" w:rsidP="001E12E3">
      <w:pPr>
        <w:pStyle w:val="Heading3"/>
      </w:pPr>
      <w:bookmarkStart w:id="3" w:name="_Toc62037177"/>
      <w:r w:rsidRPr="00941055">
        <w:t>3</w:t>
      </w:r>
      <w:r w:rsidRPr="00941055">
        <w:tab/>
        <w:t>Tasks</w:t>
      </w:r>
      <w:bookmarkEnd w:id="3"/>
    </w:p>
    <w:p w:rsidR="001E12E3" w:rsidRPr="00941055" w:rsidRDefault="001E12E3" w:rsidP="001E12E3">
      <w:r w:rsidRPr="00941055">
        <w:t>Tasks include, but are not limited to: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develop signalling requirements and protocols to implement different services and applications in telecommunication environment;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develop signalling requirements and protocols to support future services in telecommunication networks evolving to IMT-2020 network and beyond;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develop signalling requirements and protocols to support emerging technologies enabled services and applications;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develop signalling requirements and protocols to support real-time communications and messaging services;</w:t>
      </w:r>
    </w:p>
    <w:p w:rsidR="001E12E3" w:rsidRPr="00941055" w:rsidRDefault="001E12E3" w:rsidP="001E12E3">
      <w:pPr>
        <w:pStyle w:val="enumlev1"/>
      </w:pPr>
      <w:r w:rsidRPr="00941055">
        <w:lastRenderedPageBreak/>
        <w:t>–</w:t>
      </w:r>
      <w:r w:rsidRPr="00941055">
        <w:tab/>
        <w:t>develop signalling network</w:t>
      </w:r>
      <w:r>
        <w:t>'</w:t>
      </w:r>
      <w:r w:rsidRPr="00941055">
        <w:t>s security based on emerging technologies including QKDN and related technologies;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develop signalling requirements and protocols to support telecommunications services management;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develop specifications for interworking between new and existing signalling and protocols;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develop signalling requirements and protocols for public interest;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enhance existing signalling protocols based on identified needs.</w:t>
      </w:r>
    </w:p>
    <w:p w:rsidR="001E12E3" w:rsidRDefault="001E12E3" w:rsidP="001E12E3">
      <w:r w:rsidRPr="00941055">
        <w:t xml:space="preserve">An up-to-date status of work under </w:t>
      </w:r>
      <w:r>
        <w:t>Q2/11</w:t>
      </w:r>
      <w:r w:rsidRPr="00941055">
        <w:t xml:space="preserve"> is contained in the SG11 work programme (</w:t>
      </w:r>
      <w:hyperlink r:id="rId5" w:history="1">
        <w:r w:rsidRPr="00962E9D">
          <w:rPr>
            <w:rStyle w:val="Hyperlink"/>
          </w:rPr>
          <w:t>https://www.itu.int/ITU-T/workprog/wp_search.aspx?sp=17&amp;q=2/11</w:t>
        </w:r>
      </w:hyperlink>
      <w:r w:rsidRPr="00941055">
        <w:t>).</w:t>
      </w:r>
    </w:p>
    <w:p w:rsidR="001E12E3" w:rsidRPr="00941055" w:rsidRDefault="001E12E3" w:rsidP="001E12E3">
      <w:pPr>
        <w:pStyle w:val="Heading3"/>
      </w:pPr>
      <w:bookmarkStart w:id="4" w:name="_Toc62037178"/>
      <w:r w:rsidRPr="00941055">
        <w:t>4</w:t>
      </w:r>
      <w:r w:rsidRPr="00941055">
        <w:tab/>
        <w:t>Relationships</w:t>
      </w:r>
      <w:bookmarkEnd w:id="4"/>
    </w:p>
    <w:p w:rsidR="001E12E3" w:rsidRPr="00941055" w:rsidRDefault="001E12E3" w:rsidP="001E12E3">
      <w:pPr>
        <w:pStyle w:val="Headingb"/>
      </w:pPr>
      <w:r w:rsidRPr="00941055">
        <w:t>Recommendations: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Q.600-series, Q.700-series, Q.900-series, Q.1900-series, Q.2700-series, Q.2900-series, Q.3400-series, Q.3500-series and Q.3600-series</w:t>
      </w:r>
    </w:p>
    <w:p w:rsidR="001E12E3" w:rsidRPr="00941055" w:rsidRDefault="001E12E3" w:rsidP="001E12E3">
      <w:pPr>
        <w:pStyle w:val="Headingb"/>
      </w:pPr>
      <w:r w:rsidRPr="00941055">
        <w:t>Questions: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All Questions of SG11</w:t>
      </w:r>
    </w:p>
    <w:p w:rsidR="001E12E3" w:rsidRPr="00941055" w:rsidRDefault="001E12E3" w:rsidP="001E12E3">
      <w:pPr>
        <w:pStyle w:val="Headingb"/>
      </w:pPr>
      <w:r w:rsidRPr="00941055">
        <w:t>Study Groups: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SG2 on network management aspects and emergency communications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SG13 on service requirements, architecture, cloud computing and mobility aspects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SG15 on smart grid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SG16 on multimedia services and applications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SG17 on security aspects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SG20 on IoT and its applications</w:t>
      </w:r>
    </w:p>
    <w:p w:rsidR="001E12E3" w:rsidRPr="00941055" w:rsidRDefault="001E12E3" w:rsidP="001E12E3">
      <w:pPr>
        <w:pStyle w:val="Headingb"/>
      </w:pPr>
      <w:r w:rsidRPr="00941055">
        <w:t>Other bodies: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ARIB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ATIS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Broadband Forum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CCSA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ETSI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IETF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IEEE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TIA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TTA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TTC</w:t>
      </w:r>
    </w:p>
    <w:p w:rsidR="001E12E3" w:rsidRPr="00941055" w:rsidRDefault="001E12E3" w:rsidP="001E12E3">
      <w:pPr>
        <w:pStyle w:val="Headingb"/>
      </w:pPr>
      <w:r w:rsidRPr="00941055">
        <w:t>WSIS action lines:</w:t>
      </w:r>
    </w:p>
    <w:p w:rsidR="001E12E3" w:rsidRPr="00941055" w:rsidRDefault="001E12E3" w:rsidP="001E12E3">
      <w:pPr>
        <w:pStyle w:val="enumlev1"/>
      </w:pPr>
      <w:r w:rsidRPr="00941055">
        <w:t>–</w:t>
      </w:r>
      <w:r w:rsidRPr="00941055">
        <w:tab/>
        <w:t>C2, C5, C11</w:t>
      </w:r>
    </w:p>
    <w:p w:rsidR="001E12E3" w:rsidRPr="0009433D" w:rsidRDefault="001E12E3" w:rsidP="001E12E3">
      <w:pPr>
        <w:pStyle w:val="Headingb"/>
      </w:pPr>
      <w:r w:rsidRPr="0009433D">
        <w:t>Sustainable Development Goals:</w:t>
      </w:r>
    </w:p>
    <w:p w:rsidR="001E12E3" w:rsidRDefault="001E12E3" w:rsidP="001E12E3">
      <w:pPr>
        <w:pStyle w:val="enumlev1"/>
      </w:pPr>
      <w:r w:rsidRPr="00941055">
        <w:t>–</w:t>
      </w:r>
      <w:r w:rsidRPr="00941055">
        <w:tab/>
        <w:t>9</w:t>
      </w:r>
    </w:p>
    <w:p w:rsidR="003429F2" w:rsidRPr="00AB258E" w:rsidRDefault="003429F2" w:rsidP="001E12E3"/>
    <w:sectPr w:rsidR="003429F2" w:rsidRPr="00AB258E" w:rsidSect="009E64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12E3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1DAE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12E3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57C1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2E75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47CC9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3191"/>
    <w:rsid w:val="00593340"/>
    <w:rsid w:val="005A2A95"/>
    <w:rsid w:val="005B0D58"/>
    <w:rsid w:val="005B1C8B"/>
    <w:rsid w:val="005B29FD"/>
    <w:rsid w:val="005B5835"/>
    <w:rsid w:val="005B5F01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371B9"/>
    <w:rsid w:val="0074553A"/>
    <w:rsid w:val="007472FB"/>
    <w:rsid w:val="00753305"/>
    <w:rsid w:val="00753F94"/>
    <w:rsid w:val="00755A6D"/>
    <w:rsid w:val="00760549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5558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B0838"/>
    <w:rsid w:val="00BB2183"/>
    <w:rsid w:val="00BB411B"/>
    <w:rsid w:val="00BB46A0"/>
    <w:rsid w:val="00BB7122"/>
    <w:rsid w:val="00BC031E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2079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26C14-8749-4476-A301-47C824F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12E3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1E12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1E12E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1E12E3"/>
    <w:pPr>
      <w:spacing w:before="1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rsid w:val="001E12E3"/>
    <w:rPr>
      <w:rFonts w:eastAsia="Times New Roman"/>
      <w:b/>
      <w:sz w:val="24"/>
      <w:lang w:val="en-GB" w:eastAsia="en-US"/>
    </w:rPr>
  </w:style>
  <w:style w:type="paragraph" w:customStyle="1" w:styleId="Heading1Centered">
    <w:name w:val="Heading 1 Centered"/>
    <w:basedOn w:val="Heading1"/>
    <w:rsid w:val="00BB46A0"/>
    <w:pPr>
      <w:ind w:left="0" w:firstLine="0"/>
      <w:jc w:val="center"/>
    </w:pPr>
  </w:style>
  <w:style w:type="character" w:customStyle="1" w:styleId="Heading2Char">
    <w:name w:val="Heading 2 Char"/>
    <w:basedOn w:val="DefaultParagraphFont"/>
    <w:link w:val="Heading2"/>
    <w:rsid w:val="001E12E3"/>
    <w:rPr>
      <w:rFonts w:eastAsia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E12E3"/>
    <w:rPr>
      <w:rFonts w:eastAsia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link w:val="HeadingbChar"/>
    <w:qFormat/>
    <w:rsid w:val="001E12E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BB46A0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Theme="minorHAnsi"/>
      <w:bCs w:val="0"/>
    </w:rPr>
  </w:style>
  <w:style w:type="paragraph" w:customStyle="1" w:styleId="LSTo">
    <w:name w:val="LSTo"/>
    <w:basedOn w:val="Normal"/>
    <w:rsid w:val="004B2E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Note">
    <w:name w:val="Note"/>
    <w:basedOn w:val="Normal"/>
    <w:rsid w:val="001E12E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514399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514399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14399"/>
    <w:pPr>
      <w:ind w:left="2269"/>
    </w:pPr>
  </w:style>
  <w:style w:type="paragraph" w:customStyle="1" w:styleId="Normalbeforetable">
    <w:name w:val="Normal before table"/>
    <w:basedOn w:val="Normal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50DD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B76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AB258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B29FD"/>
    <w:rPr>
      <w:rFonts w:eastAsia="Times New Roman"/>
      <w:sz w:val="18"/>
      <w:lang w:val="en-GB" w:eastAsia="en-US"/>
    </w:rPr>
  </w:style>
  <w:style w:type="character" w:customStyle="1" w:styleId="ReftextArial9pt">
    <w:name w:val="Ref_text Arial 9 pt"/>
    <w:rsid w:val="003B197C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paragraph" w:styleId="Footer">
    <w:name w:val="footer"/>
    <w:basedOn w:val="Normal"/>
    <w:link w:val="FooterChar"/>
    <w:rsid w:val="00547CC9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link w:val="Footer"/>
    <w:rsid w:val="00547CC9"/>
    <w:rPr>
      <w:rFonts w:eastAsia="Times New Roman"/>
      <w:caps/>
      <w:noProof/>
      <w:sz w:val="16"/>
      <w:lang w:val="en-GB"/>
    </w:rPr>
  </w:style>
  <w:style w:type="paragraph" w:styleId="MacroText">
    <w:name w:val="macro"/>
    <w:link w:val="MacroTextChar"/>
    <w:rsid w:val="00181D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urier New" w:hAnsi="Courier New" w:cs="CG Times"/>
      <w:lang w:val="en-GB" w:eastAsia="ja-JP"/>
    </w:rPr>
  </w:style>
  <w:style w:type="character" w:customStyle="1" w:styleId="MacroTextChar">
    <w:name w:val="Macro Text Char"/>
    <w:basedOn w:val="DefaultParagraphFont"/>
    <w:link w:val="MacroText"/>
    <w:rsid w:val="00181DAE"/>
    <w:rPr>
      <w:rFonts w:ascii="Courier New" w:hAnsi="Courier New" w:cs="CG Times"/>
      <w:lang w:val="en-GB" w:eastAsia="ja-JP"/>
    </w:rPr>
  </w:style>
  <w:style w:type="character" w:customStyle="1" w:styleId="HeadingbChar">
    <w:name w:val="Heading_b Char"/>
    <w:link w:val="Headingb"/>
    <w:qFormat/>
    <w:locked/>
    <w:rsid w:val="001E12E3"/>
    <w:rPr>
      <w:b/>
      <w:sz w:val="24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1E12E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customStyle="1" w:styleId="enumlev1Char">
    <w:name w:val="enumlev1 Char"/>
    <w:link w:val="enumlev1"/>
    <w:qFormat/>
    <w:locked/>
    <w:rsid w:val="001E12E3"/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tu.int/ITU-T/workprog/wp_search.aspx?sp=17&amp;q=2/1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40767F52F2548A3B5CAC9902534EB" ma:contentTypeVersion="1" ma:contentTypeDescription="Create a new document." ma:contentTypeScope="" ma:versionID="36bd275d2242245640ad6cc70739f2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34760-1775-44B0-8A10-D194641E4F4D}"/>
</file>

<file path=customXml/itemProps2.xml><?xml version="1.0" encoding="utf-8"?>
<ds:datastoreItem xmlns:ds="http://schemas.openxmlformats.org/officeDocument/2006/customXml" ds:itemID="{34E2B5D2-E8B4-4B4F-8616-9C9ED0557030}"/>
</file>

<file path=customXml/itemProps3.xml><?xml version="1.0" encoding="utf-8"?>
<ds:datastoreItem xmlns:ds="http://schemas.openxmlformats.org/officeDocument/2006/customXml" ds:itemID="{B58BFD95-EA98-4D3A-B2F4-C6F029357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Campos-Neto</dc:creator>
  <cp:keywords/>
  <dc:description/>
  <cp:lastModifiedBy>Simão Campos-Neto</cp:lastModifiedBy>
  <cp:revision>1</cp:revision>
  <cp:lastPrinted>2011-04-05T14:28:00Z</cp:lastPrinted>
  <dcterms:created xsi:type="dcterms:W3CDTF">2022-03-18T16:06:00Z</dcterms:created>
  <dcterms:modified xsi:type="dcterms:W3CDTF">2022-03-18T16:06:00Z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0x010100BC340767F52F2548A3B5CAC9902534EB</vt:lpwstr>
  </property>
</Properties>
</file>