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1B" w:rsidRPr="00A50642" w:rsidRDefault="006D261B" w:rsidP="006D26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b/>
          <w:bCs/>
          <w:color w:val="000000"/>
          <w:szCs w:val="24"/>
          <w:lang w:val="en-US" w:eastAsia="zh-CN"/>
        </w:rPr>
      </w:pPr>
      <w:r w:rsidRPr="00A50642">
        <w:rPr>
          <w:rFonts w:hint="eastAsia"/>
          <w:b/>
          <w:bCs/>
          <w:color w:val="000000"/>
          <w:szCs w:val="24"/>
          <w:lang w:val="en-US" w:eastAsia="zh-CN"/>
        </w:rPr>
        <w:t xml:space="preserve">Draft </w:t>
      </w:r>
      <w:r w:rsidRPr="00A50642">
        <w:rPr>
          <w:b/>
          <w:bCs/>
          <w:color w:val="000000"/>
          <w:szCs w:val="24"/>
          <w:lang w:val="en-US" w:eastAsia="zh-CN"/>
        </w:rPr>
        <w:t>Terms of Reference of the</w:t>
      </w:r>
      <w:r w:rsidRPr="00A50642">
        <w:rPr>
          <w:b/>
          <w:bCs/>
          <w:color w:val="000000"/>
          <w:szCs w:val="24"/>
          <w:lang w:val="en-US" w:eastAsia="zh-CN"/>
        </w:rPr>
        <w:br/>
        <w:t>j</w:t>
      </w:r>
      <w:r w:rsidRPr="00A50642">
        <w:rPr>
          <w:rFonts w:hint="eastAsia"/>
          <w:b/>
          <w:bCs/>
          <w:color w:val="000000"/>
          <w:szCs w:val="24"/>
          <w:lang w:val="en-US" w:eastAsia="zh-CN"/>
        </w:rPr>
        <w:t>oint Rapporteurs group</w:t>
      </w:r>
      <w:r w:rsidRPr="00A50642">
        <w:rPr>
          <w:b/>
          <w:bCs/>
          <w:color w:val="000000"/>
          <w:szCs w:val="24"/>
          <w:lang w:val="en-US" w:eastAsia="zh-CN"/>
        </w:rPr>
        <w:t xml:space="preserve"> on Cloud Computing Management </w:t>
      </w:r>
    </w:p>
    <w:p w:rsidR="006D261B" w:rsidRPr="00990B97" w:rsidRDefault="006D261B" w:rsidP="006D26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b/>
          <w:bCs/>
          <w:color w:val="000000"/>
          <w:szCs w:val="24"/>
          <w:lang w:val="en-US" w:eastAsia="zh-CN"/>
        </w:rPr>
      </w:pPr>
    </w:p>
    <w:p w:rsidR="006D261B" w:rsidRPr="00990B97" w:rsidRDefault="006D261B" w:rsidP="006D261B">
      <w:pPr>
        <w:keepNext/>
        <w:keepLines/>
        <w:widowControl w:val="0"/>
        <w:numPr>
          <w:ilvl w:val="0"/>
          <w:numId w:val="1"/>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Purpose</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This document provides the Terms of Reference for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on </w:t>
      </w:r>
      <w:r w:rsidRPr="00990B97">
        <w:rPr>
          <w:rFonts w:ascii="Cambria" w:hAnsi="Cambria" w:cs="Arial" w:hint="eastAsia"/>
          <w:kern w:val="2"/>
          <w:szCs w:val="24"/>
          <w:lang w:val="en-US" w:eastAsia="zh-CN"/>
        </w:rPr>
        <w:t>C</w:t>
      </w:r>
      <w:r w:rsidRPr="00990B97">
        <w:rPr>
          <w:rFonts w:ascii="Cambria" w:hAnsi="Cambria" w:cs="Arial"/>
          <w:kern w:val="2"/>
          <w:szCs w:val="24"/>
          <w:lang w:val="en-US" w:eastAsia="zh-CN"/>
        </w:rPr>
        <w:t xml:space="preserve">loud </w:t>
      </w:r>
      <w:r w:rsidRPr="00990B97">
        <w:rPr>
          <w:rFonts w:ascii="Cambria" w:hAnsi="Cambria" w:cs="Arial" w:hint="eastAsia"/>
          <w:kern w:val="2"/>
          <w:szCs w:val="24"/>
          <w:lang w:val="en-US" w:eastAsia="zh-CN"/>
        </w:rPr>
        <w:t>C</w:t>
      </w:r>
      <w:r w:rsidRPr="00990B97">
        <w:rPr>
          <w:rFonts w:ascii="Cambria" w:hAnsi="Cambria" w:cs="Arial"/>
          <w:kern w:val="2"/>
          <w:szCs w:val="24"/>
          <w:lang w:val="en-US" w:eastAsia="zh-CN"/>
        </w:rPr>
        <w:t xml:space="preserve">omputing </w:t>
      </w:r>
      <w:r w:rsidRPr="00990B97">
        <w:rPr>
          <w:rFonts w:ascii="Cambria" w:hAnsi="Cambria" w:cs="Arial" w:hint="eastAsia"/>
          <w:kern w:val="2"/>
          <w:szCs w:val="24"/>
          <w:lang w:val="en-US" w:eastAsia="zh-CN"/>
        </w:rPr>
        <w:t>M</w:t>
      </w:r>
      <w:r w:rsidRPr="00990B97">
        <w:rPr>
          <w:rFonts w:ascii="Cambria" w:hAnsi="Cambria" w:cs="Arial"/>
          <w:kern w:val="2"/>
          <w:szCs w:val="24"/>
          <w:lang w:val="en-US" w:eastAsia="zh-CN"/>
        </w:rPr>
        <w:t xml:space="preserve">anagement between relevant Questions of SG 2 and SG13. </w:t>
      </w:r>
    </w:p>
    <w:p w:rsidR="006D261B" w:rsidRPr="00990B97" w:rsidRDefault="006D261B" w:rsidP="006D261B">
      <w:pPr>
        <w:widowControl w:val="0"/>
        <w:spacing w:before="240" w:after="0"/>
        <w:jc w:val="both"/>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Name and composition</w:t>
      </w:r>
    </w:p>
    <w:p w:rsidR="006D261B" w:rsidRPr="00990B97" w:rsidRDefault="006D261B" w:rsidP="006D261B">
      <w:pPr>
        <w:widowControl w:val="0"/>
        <w:spacing w:before="120" w:after="0"/>
        <w:jc w:val="both"/>
        <w:rPr>
          <w:rFonts w:ascii="Cambria" w:hAnsi="Cambria" w:cs="Arial"/>
          <w:kern w:val="2"/>
          <w:szCs w:val="24"/>
          <w:lang w:val="en-US" w:eastAsia="zh-CN"/>
        </w:rPr>
      </w:pPr>
      <w:r w:rsidRPr="00990B97">
        <w:rPr>
          <w:rFonts w:ascii="Cambria" w:hAnsi="Cambria" w:cs="Arial"/>
          <w:kern w:val="2"/>
          <w:szCs w:val="24"/>
          <w:lang w:val="en-US" w:eastAsia="zh-CN"/>
        </w:rPr>
        <w:t>This group will be known as the ITU-T Q5/2, Q7/2</w:t>
      </w:r>
      <w:r w:rsidRPr="00990B97">
        <w:rPr>
          <w:rFonts w:ascii="Cambria" w:hAnsi="Cambria" w:cs="Arial" w:hint="eastAsia"/>
          <w:kern w:val="2"/>
          <w:szCs w:val="24"/>
          <w:lang w:val="en-US" w:eastAsia="zh-CN"/>
        </w:rPr>
        <w:t xml:space="preserve"> </w:t>
      </w:r>
      <w:r w:rsidRPr="00990B97">
        <w:rPr>
          <w:rFonts w:ascii="Cambria" w:hAnsi="Cambria" w:cs="Arial"/>
          <w:kern w:val="2"/>
          <w:szCs w:val="24"/>
          <w:lang w:val="en-US" w:eastAsia="zh-CN"/>
        </w:rPr>
        <w:t>and Q19/13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on Cloud Computing Management (JRG-CCM)</w:t>
      </w:r>
      <w:r w:rsidRPr="00990B97">
        <w:rPr>
          <w:rFonts w:ascii="Cambria" w:hAnsi="Cambria" w:cs="Arial"/>
          <w:bCs/>
          <w:kern w:val="2"/>
          <w:szCs w:val="24"/>
          <w:lang w:val="en-US" w:eastAsia="zh-CN"/>
        </w:rPr>
        <w:t>.</w:t>
      </w:r>
      <w:r w:rsidRPr="00990B97">
        <w:rPr>
          <w:rFonts w:ascii="Cambria" w:hAnsi="Cambria" w:cs="Arial"/>
          <w:kern w:val="2"/>
          <w:szCs w:val="24"/>
          <w:lang w:val="en-US" w:eastAsia="zh-CN"/>
        </w:rPr>
        <w:t xml:space="preserve"> </w:t>
      </w:r>
    </w:p>
    <w:p w:rsidR="006D261B" w:rsidRPr="00990B97" w:rsidRDefault="006D261B" w:rsidP="006D261B">
      <w:pPr>
        <w:keepNext/>
        <w:keepLines/>
        <w:widowControl w:val="0"/>
        <w:numPr>
          <w:ilvl w:val="0"/>
          <w:numId w:val="1"/>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Parent Bodies</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parent bodies of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on Cloud Computing Management are ITU-T WP2/2 and ITU-T WP2/13.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will report to its parent bodies.</w:t>
      </w:r>
    </w:p>
    <w:p w:rsidR="006D261B" w:rsidRPr="00990B97" w:rsidRDefault="006D261B" w:rsidP="006D261B">
      <w:pPr>
        <w:keepNext/>
        <w:keepLines/>
        <w:widowControl w:val="0"/>
        <w:numPr>
          <w:ilvl w:val="0"/>
          <w:numId w:val="1"/>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Scope and Goals</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 xml:space="preserve">The scope and goal of the project is the development of Cloud Computing Management draft Recommendations based on the common understanding from both SG2 and SG13 perspectives. This work will be based on the three </w:t>
      </w:r>
      <w:r w:rsidRPr="00990B97">
        <w:rPr>
          <w:rFonts w:ascii="Cambria" w:hAnsi="Cambria" w:cs="Arial" w:hint="eastAsia"/>
          <w:kern w:val="2"/>
          <w:szCs w:val="24"/>
          <w:lang w:val="en-US" w:eastAsia="zh-CN"/>
        </w:rPr>
        <w:t xml:space="preserve">following </w:t>
      </w:r>
      <w:r w:rsidRPr="00990B97">
        <w:rPr>
          <w:rFonts w:ascii="Cambria" w:hAnsi="Cambria" w:cs="Arial"/>
          <w:kern w:val="2"/>
          <w:szCs w:val="24"/>
          <w:lang w:val="en-US" w:eastAsia="zh-CN"/>
        </w:rPr>
        <w:t>documents:</w:t>
      </w:r>
    </w:p>
    <w:p w:rsidR="006D261B" w:rsidRPr="00990B97" w:rsidRDefault="006D261B" w:rsidP="006D261B">
      <w:pPr>
        <w:widowControl w:val="0"/>
        <w:numPr>
          <w:ilvl w:val="0"/>
          <w:numId w:val="2"/>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Draft new Recommendation ITU-T Y.3500, Cloud Computing Definitions, from ITU-T Q17/13;</w:t>
      </w:r>
    </w:p>
    <w:p w:rsidR="006D261B" w:rsidRPr="00990B97" w:rsidRDefault="006D261B" w:rsidP="006D261B">
      <w:pPr>
        <w:widowControl w:val="0"/>
        <w:numPr>
          <w:ilvl w:val="0"/>
          <w:numId w:val="2"/>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Draft new Recommendation ITU-T Y.3502, Cloud Computing Reference Architecture, from ITU-T Q.18/13;</w:t>
      </w:r>
    </w:p>
    <w:p w:rsidR="006D261B" w:rsidRPr="00990B97" w:rsidRDefault="006D261B" w:rsidP="006D261B">
      <w:pPr>
        <w:widowControl w:val="0"/>
        <w:numPr>
          <w:ilvl w:val="0"/>
          <w:numId w:val="2"/>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Recommendation ITU-T Y.3520, Cloud computing framework for end to end resource management,</w:t>
      </w:r>
      <w:r w:rsidRPr="00990B97">
        <w:rPr>
          <w:rFonts w:ascii="Trebuchet MS" w:hAnsi="Trebuchet MS" w:cs="Arial"/>
          <w:kern w:val="2"/>
          <w:sz w:val="15"/>
          <w:szCs w:val="15"/>
          <w:lang w:val="en-US" w:eastAsia="zh-CN"/>
        </w:rPr>
        <w:t xml:space="preserve"> </w:t>
      </w:r>
      <w:r w:rsidRPr="00990B97">
        <w:rPr>
          <w:rFonts w:ascii="Cambria" w:hAnsi="Cambria" w:cs="Arial"/>
          <w:kern w:val="2"/>
          <w:szCs w:val="24"/>
          <w:lang w:val="en-US" w:eastAsia="zh-CN"/>
        </w:rPr>
        <w:t>from ITU-T Q.19/13.</w:t>
      </w:r>
    </w:p>
    <w:p w:rsidR="006D261B" w:rsidRPr="00990B97" w:rsidRDefault="006D261B" w:rsidP="006D261B">
      <w:pPr>
        <w:keepNext/>
        <w:keepLines/>
        <w:widowControl w:val="0"/>
        <w:numPr>
          <w:ilvl w:val="0"/>
          <w:numId w:val="1"/>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 xml:space="preserve">Deliverables </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 xml:space="preserve">The </w:t>
      </w:r>
      <w:r w:rsidRPr="00990B97">
        <w:rPr>
          <w:rFonts w:ascii="Cambria" w:hAnsi="Cambria" w:cs="Arial" w:hint="eastAsia"/>
          <w:kern w:val="2"/>
          <w:szCs w:val="24"/>
          <w:lang w:val="en-US" w:eastAsia="zh-CN"/>
        </w:rPr>
        <w:t>j</w:t>
      </w:r>
      <w:r w:rsidRPr="00990B97">
        <w:rPr>
          <w:rFonts w:ascii="Cambria" w:hAnsi="Cambria" w:cs="Arial"/>
          <w:kern w:val="2"/>
          <w:szCs w:val="24"/>
          <w:lang w:val="en-US" w:eastAsia="zh-CN"/>
        </w:rPr>
        <w:t xml:space="preserve">oint </w:t>
      </w:r>
      <w:r w:rsidRPr="00990B97">
        <w:rPr>
          <w:rFonts w:ascii="Cambria" w:hAnsi="Cambria" w:cs="Arial" w:hint="eastAsia"/>
          <w:kern w:val="2"/>
          <w:szCs w:val="24"/>
          <w:lang w:val="en-US" w:eastAsia="zh-CN"/>
        </w:rPr>
        <w:t>R</w:t>
      </w:r>
      <w:r w:rsidRPr="00990B97">
        <w:rPr>
          <w:rFonts w:ascii="Cambria" w:hAnsi="Cambria" w:cs="Arial"/>
          <w:kern w:val="2"/>
          <w:szCs w:val="24"/>
          <w:lang w:val="en-US" w:eastAsia="zh-CN"/>
        </w:rPr>
        <w:t>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w:t>
      </w:r>
      <w:r w:rsidRPr="00990B97">
        <w:rPr>
          <w:rFonts w:ascii="Cambria" w:hAnsi="Cambria" w:cs="Arial" w:hint="eastAsia"/>
          <w:kern w:val="2"/>
          <w:szCs w:val="24"/>
          <w:lang w:val="en-US" w:eastAsia="zh-CN"/>
        </w:rPr>
        <w:t>g</w:t>
      </w:r>
      <w:r w:rsidRPr="00990B97">
        <w:rPr>
          <w:rFonts w:ascii="Cambria" w:hAnsi="Cambria" w:cs="Arial"/>
          <w:kern w:val="2"/>
          <w:szCs w:val="24"/>
          <w:lang w:val="en-US" w:eastAsia="zh-CN"/>
        </w:rPr>
        <w:t>roup will deliver draft Recommendations to the applicable parent bodies for initiation of the relevant approval process.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can advise the parent bodies as to which Recommendation series seems most appropriate (e.g. M-series, Y-series), or suggest dual numbering of the draft Recommendation. </w:t>
      </w:r>
      <w:r w:rsidRPr="00990B97">
        <w:rPr>
          <w:rFonts w:ascii="Cambria" w:hAnsi="Cambria" w:cs="Arial"/>
          <w:szCs w:val="24"/>
          <w:lang w:val="en-US" w:eastAsia="zh-CN"/>
        </w:rPr>
        <w:t>The approval process will be handed as usual, by the Study Group normally responsible for the relevant document series. Where dual numbering is agreed, each affected Study Group will handle their respective approval process as usual.</w:t>
      </w:r>
    </w:p>
    <w:p w:rsidR="006D261B" w:rsidRPr="00990B97" w:rsidRDefault="006D261B" w:rsidP="006D261B">
      <w:pPr>
        <w:keepNext/>
        <w:keepLines/>
        <w:widowControl w:val="0"/>
        <w:numPr>
          <w:ilvl w:val="0"/>
          <w:numId w:val="1"/>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Participation</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Those qualified to participate in either parent body may participate in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Individual experts’ participation follows the rules of WTSA-12 Resolution 1, clause 2.3.1.</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A list of participants will be maintained for reference purposes and reported to the parent groups as an attachment to the report of each meeting.</w:t>
      </w:r>
    </w:p>
    <w:p w:rsidR="006D261B" w:rsidRPr="00990B97" w:rsidRDefault="006D261B" w:rsidP="006D261B">
      <w:pPr>
        <w:keepNext/>
        <w:keepLines/>
        <w:widowControl w:val="0"/>
        <w:numPr>
          <w:ilvl w:val="0"/>
          <w:numId w:val="1"/>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Meetings</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JRG-CCM may meet physically or electronically.</w:t>
      </w:r>
    </w:p>
    <w:p w:rsidR="006D261B" w:rsidRPr="00990B97" w:rsidRDefault="006D261B" w:rsidP="006D261B">
      <w:pPr>
        <w:keepNext/>
        <w:keepLines/>
        <w:widowControl w:val="0"/>
        <w:spacing w:before="40" w:after="0"/>
        <w:jc w:val="both"/>
        <w:outlineLvl w:val="1"/>
        <w:rPr>
          <w:rFonts w:ascii="Calibri" w:hAnsi="Calibri"/>
          <w:color w:val="365F91"/>
          <w:kern w:val="2"/>
          <w:sz w:val="26"/>
          <w:szCs w:val="26"/>
          <w:lang w:val="en-US" w:eastAsia="zh-CN"/>
        </w:rPr>
      </w:pPr>
      <w:r w:rsidRPr="00990B97">
        <w:rPr>
          <w:rFonts w:ascii="Calibri" w:hAnsi="Calibri"/>
          <w:color w:val="365F91"/>
          <w:kern w:val="2"/>
          <w:sz w:val="26"/>
          <w:szCs w:val="26"/>
          <w:lang w:val="en-US" w:eastAsia="zh-CN"/>
        </w:rPr>
        <w:lastRenderedPageBreak/>
        <w:t>During meetings of parent bodies</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As appropriate,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meeting venues and dates should be arranged to coincide with meetings of the parent bodies when the meetings are held under the auspices of SG</w:t>
      </w:r>
      <w:r w:rsidRPr="00990B97">
        <w:rPr>
          <w:rFonts w:ascii="Cambria" w:hAnsi="Cambria" w:cs="Arial" w:hint="eastAsia"/>
          <w:kern w:val="2"/>
          <w:szCs w:val="24"/>
          <w:lang w:val="en-US" w:eastAsia="zh-CN"/>
        </w:rPr>
        <w:t>2</w:t>
      </w:r>
      <w:r w:rsidRPr="00990B97">
        <w:rPr>
          <w:rFonts w:ascii="Cambria" w:hAnsi="Cambria" w:cs="Arial"/>
          <w:kern w:val="2"/>
          <w:szCs w:val="24"/>
          <w:lang w:val="en-US" w:eastAsia="zh-CN"/>
        </w:rPr>
        <w:t xml:space="preserve"> or SG</w:t>
      </w:r>
      <w:r w:rsidRPr="00990B97">
        <w:rPr>
          <w:rFonts w:ascii="Cambria" w:hAnsi="Cambria" w:cs="Arial" w:hint="eastAsia"/>
          <w:kern w:val="2"/>
          <w:szCs w:val="24"/>
          <w:lang w:val="en-US" w:eastAsia="zh-CN"/>
        </w:rPr>
        <w:t>13</w:t>
      </w:r>
      <w:r w:rsidRPr="00990B97">
        <w:rPr>
          <w:rFonts w:ascii="Cambria" w:hAnsi="Cambria" w:cs="Arial"/>
          <w:kern w:val="2"/>
          <w:szCs w:val="24"/>
          <w:lang w:val="en-US" w:eastAsia="zh-CN"/>
        </w:rPr>
        <w:t>. The work of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during an associated parent body meeting will be scheduled by the Rapporteurs as part of the overall meeting schedule of that parent body.  Separate sessions for participating Questions to run their regular business (other than that one of JRG) will be arranged on the overall meeting schedule.</w:t>
      </w:r>
    </w:p>
    <w:p w:rsidR="006D261B" w:rsidRPr="00990B97" w:rsidRDefault="006D261B" w:rsidP="006D261B">
      <w:pPr>
        <w:keepNext/>
        <w:keepLines/>
        <w:widowControl w:val="0"/>
        <w:spacing w:before="120" w:after="0"/>
        <w:jc w:val="both"/>
        <w:outlineLvl w:val="1"/>
        <w:rPr>
          <w:rFonts w:ascii="Calibri" w:hAnsi="Calibri"/>
          <w:color w:val="365F91"/>
          <w:kern w:val="2"/>
          <w:sz w:val="26"/>
          <w:szCs w:val="26"/>
          <w:lang w:val="en-US" w:eastAsia="zh-CN"/>
        </w:rPr>
      </w:pPr>
      <w:r w:rsidRPr="00990B97">
        <w:rPr>
          <w:rFonts w:ascii="Calibri" w:hAnsi="Calibri"/>
          <w:color w:val="365F91"/>
          <w:kern w:val="2"/>
          <w:sz w:val="26"/>
          <w:szCs w:val="26"/>
          <w:lang w:val="en-US" w:eastAsia="zh-CN"/>
        </w:rPr>
        <w:t>Interim meetings</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Interim meetings of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i.e. when not collocated with a parent body, should be timed and located so as to minimize travel difficulties for participants.</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Remote virtual meetings may be held as needed.</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procedures for arranging interim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meetings are the same as for scheduling normal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meetings (see </w:t>
      </w:r>
      <w:hyperlink r:id="rId7" w:history="1">
        <w:r w:rsidRPr="00990B97">
          <w:rPr>
            <w:color w:val="0000FF"/>
            <w:szCs w:val="24"/>
            <w:u w:val="single"/>
            <w:lang w:val="en-US" w:eastAsia="zh-CN"/>
          </w:rPr>
          <w:t>Rec.</w:t>
        </w:r>
      </w:hyperlink>
      <w:r w:rsidRPr="00990B97">
        <w:rPr>
          <w:rFonts w:ascii="Cambria" w:hAnsi="Cambria" w:cs="Arial"/>
          <w:kern w:val="2"/>
          <w:szCs w:val="24"/>
          <w:lang w:val="en-US" w:eastAsia="zh-CN"/>
        </w:rPr>
        <w:t xml:space="preserve"> ITU-T A.1, section 2.3.3). If either parent Study Group authorizes an interim meeting of their relevant Questions within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the members of the corresponding Questions of the other Study Group should be invited to join the meeting.</w:t>
      </w:r>
    </w:p>
    <w:p w:rsidR="006D261B" w:rsidRPr="00990B97" w:rsidRDefault="006D261B" w:rsidP="006D261B">
      <w:pPr>
        <w:keepNext/>
        <w:keepLines/>
        <w:widowControl w:val="0"/>
        <w:numPr>
          <w:ilvl w:val="0"/>
          <w:numId w:val="1"/>
        </w:numPr>
        <w:tabs>
          <w:tab w:val="num" w:pos="360"/>
        </w:tabs>
        <w:spacing w:before="12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Management</w:t>
      </w:r>
    </w:p>
    <w:p w:rsidR="006D261B" w:rsidRPr="00990B97" w:rsidRDefault="006D261B" w:rsidP="006D261B">
      <w:pPr>
        <w:widowControl w:val="0"/>
        <w:spacing w:after="0"/>
        <w:jc w:val="both"/>
        <w:rPr>
          <w:rFonts w:ascii="Cambria" w:hAnsi="Cambria" w:cs="Arial"/>
          <w:b/>
          <w:bCs/>
          <w:kern w:val="2"/>
          <w:szCs w:val="24"/>
          <w:lang w:val="en-US" w:eastAsia="zh-CN"/>
        </w:rPr>
      </w:pPr>
      <w:r w:rsidRPr="00990B97">
        <w:rPr>
          <w:rFonts w:ascii="Cambria" w:hAnsi="Cambria" w:cs="Arial"/>
          <w:kern w:val="2"/>
          <w:szCs w:val="24"/>
          <w:lang w:val="en-US" w:eastAsia="zh-CN"/>
        </w:rPr>
        <w:t>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will have one Rapporteur appointed by SG2 and one Rapporteur appointed by SG13. Rapporteurs for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need not be serving as Question Rapporteurs, but should be active in their respective Questions.</w:t>
      </w:r>
    </w:p>
    <w:p w:rsidR="006D261B" w:rsidRPr="00990B97" w:rsidRDefault="006D261B" w:rsidP="006D261B">
      <w:pPr>
        <w:keepNext/>
        <w:keepLines/>
        <w:widowControl w:val="0"/>
        <w:numPr>
          <w:ilvl w:val="0"/>
          <w:numId w:val="1"/>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Documents and Contributions</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 xml:space="preserve">The procedures for submitting documents are the same as for submissions to normal Study Group, Working Party, or Rapporteur meetings as applicable (see </w:t>
      </w:r>
      <w:hyperlink r:id="rId8" w:history="1">
        <w:r w:rsidRPr="00990B97">
          <w:rPr>
            <w:color w:val="0000FF"/>
            <w:szCs w:val="24"/>
            <w:u w:val="single"/>
            <w:lang w:val="en-US" w:eastAsia="zh-CN"/>
          </w:rPr>
          <w:t>Rec.</w:t>
        </w:r>
      </w:hyperlink>
      <w:r w:rsidRPr="00990B97">
        <w:rPr>
          <w:rFonts w:ascii="Cambria" w:hAnsi="Cambria" w:cs="Arial"/>
          <w:kern w:val="2"/>
          <w:szCs w:val="24"/>
          <w:lang w:val="en-US" w:eastAsia="zh-CN"/>
        </w:rPr>
        <w:t xml:space="preserve"> ITU-T A.1, section 2.3.3).</w:t>
      </w:r>
    </w:p>
    <w:p w:rsidR="006D261B" w:rsidRPr="00990B97" w:rsidRDefault="006D261B" w:rsidP="006D261B">
      <w:pPr>
        <w:keepNext/>
        <w:keepLines/>
        <w:widowControl w:val="0"/>
        <w:numPr>
          <w:ilvl w:val="0"/>
          <w:numId w:val="1"/>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Liaison with other groups</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can receive and send liaison statements as normal for a Question/Rapporteur meeting. The source of outgoing liaisons is JRG-CCM (i.e., Qs 5/2</w:t>
      </w:r>
      <w:proofErr w:type="gramStart"/>
      <w:r w:rsidRPr="00990B97">
        <w:rPr>
          <w:rFonts w:ascii="Cambria" w:hAnsi="Cambria" w:cs="Arial"/>
          <w:kern w:val="2"/>
          <w:szCs w:val="24"/>
          <w:lang w:val="en-US" w:eastAsia="zh-CN"/>
        </w:rPr>
        <w:t>,7</w:t>
      </w:r>
      <w:proofErr w:type="gramEnd"/>
      <w:r w:rsidRPr="00990B97">
        <w:rPr>
          <w:rFonts w:ascii="Cambria" w:hAnsi="Cambria" w:cs="Arial"/>
          <w:kern w:val="2"/>
          <w:szCs w:val="24"/>
          <w:lang w:val="en-US" w:eastAsia="zh-CN"/>
        </w:rPr>
        <w:t>/2 and 19/13).</w:t>
      </w:r>
    </w:p>
    <w:p w:rsidR="006D261B" w:rsidRPr="00990B97" w:rsidRDefault="006D261B" w:rsidP="006D261B">
      <w:pPr>
        <w:keepNext/>
        <w:keepLines/>
        <w:widowControl w:val="0"/>
        <w:numPr>
          <w:ilvl w:val="0"/>
          <w:numId w:val="1"/>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Work Plan</w:t>
      </w:r>
    </w:p>
    <w:p w:rsidR="006D261B" w:rsidRPr="00990B97" w:rsidRDefault="006D261B" w:rsidP="006D261B">
      <w:pPr>
        <w:widowControl w:val="0"/>
        <w:numPr>
          <w:ilvl w:val="0"/>
          <w:numId w:val="3"/>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upon formation, will decide what should be the list of initial documents that the work will be deriving from.</w:t>
      </w:r>
    </w:p>
    <w:p w:rsidR="006D261B" w:rsidRPr="00990B97" w:rsidRDefault="006D261B" w:rsidP="006D261B">
      <w:pPr>
        <w:widowControl w:val="0"/>
        <w:numPr>
          <w:ilvl w:val="0"/>
          <w:numId w:val="3"/>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first task of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is to develop a common understanding of the cloud computing management environment, and the way this fits into the overall standardization efforts.</w:t>
      </w:r>
    </w:p>
    <w:p w:rsidR="006D261B" w:rsidRPr="00990B97" w:rsidRDefault="006D261B" w:rsidP="006D261B">
      <w:pPr>
        <w:widowControl w:val="0"/>
        <w:numPr>
          <w:ilvl w:val="0"/>
          <w:numId w:val="3"/>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A next step will be agreement on a common set of overall requirements.</w:t>
      </w:r>
    </w:p>
    <w:p w:rsidR="006D261B" w:rsidRPr="00990B97" w:rsidRDefault="006D261B" w:rsidP="006D261B">
      <w:pPr>
        <w:widowControl w:val="0"/>
        <w:numPr>
          <w:ilvl w:val="0"/>
          <w:numId w:val="3"/>
        </w:numPr>
        <w:spacing w:after="0"/>
        <w:jc w:val="both"/>
        <w:rPr>
          <w:rFonts w:ascii="Cambria" w:hAnsi="Cambria" w:cs="Arial"/>
          <w:kern w:val="2"/>
          <w:szCs w:val="24"/>
          <w:lang w:val="en-US" w:eastAsia="zh-CN"/>
        </w:rPr>
      </w:pPr>
      <w:r w:rsidRPr="00990B97">
        <w:rPr>
          <w:rFonts w:ascii="Cambria" w:hAnsi="Cambria" w:cs="Arial" w:hint="eastAsia"/>
          <w:kern w:val="2"/>
          <w:szCs w:val="24"/>
          <w:lang w:val="en-US" w:eastAsia="zh-CN"/>
        </w:rPr>
        <w:t>To avoid misunderstanding and confusion, a common terminology about Cloud Computing Management should be referred by both sides.</w:t>
      </w:r>
      <w:r w:rsidRPr="00990B97">
        <w:rPr>
          <w:rFonts w:ascii="Cambria" w:hAnsi="Cambria" w:cs="Arial"/>
          <w:kern w:val="2"/>
          <w:szCs w:val="24"/>
          <w:lang w:val="en-US" w:eastAsia="zh-CN"/>
        </w:rPr>
        <w:t xml:space="preserve"> (e.g., cloud datacenter, cloud Operations Support Systems and Business Support Systems - OSS/BSS.)</w:t>
      </w:r>
    </w:p>
    <w:p w:rsidR="006D261B" w:rsidRPr="00990B97" w:rsidRDefault="006D261B" w:rsidP="006D261B">
      <w:pPr>
        <w:widowControl w:val="0"/>
        <w:numPr>
          <w:ilvl w:val="0"/>
          <w:numId w:val="3"/>
        </w:numPr>
        <w:spacing w:after="0"/>
        <w:jc w:val="both"/>
        <w:rPr>
          <w:rFonts w:ascii="Cambria" w:hAnsi="Cambria" w:cs="Arial"/>
          <w:kern w:val="2"/>
          <w:szCs w:val="24"/>
          <w:lang w:val="en-US" w:eastAsia="zh-CN"/>
        </w:rPr>
      </w:pPr>
      <w:r w:rsidRPr="00990B97">
        <w:rPr>
          <w:rFonts w:ascii="Cambria" w:hAnsi="Cambria" w:cs="Arial" w:hint="eastAsia"/>
          <w:kern w:val="2"/>
          <w:szCs w:val="24"/>
          <w:lang w:val="en-US" w:eastAsia="zh-CN"/>
        </w:rPr>
        <w:t xml:space="preserve">To mutually </w:t>
      </w:r>
      <w:r w:rsidRPr="00990B97">
        <w:rPr>
          <w:rFonts w:ascii="Cambria" w:hAnsi="Cambria" w:cs="Arial"/>
          <w:kern w:val="2"/>
          <w:szCs w:val="24"/>
          <w:lang w:val="en-US" w:eastAsia="zh-CN"/>
        </w:rPr>
        <w:t>develop a draft Recommendation on cloud computing management architecture taking into account the Y.3502 cloud computing reference architecture.</w:t>
      </w:r>
    </w:p>
    <w:p w:rsidR="006D261B" w:rsidRPr="00990B97" w:rsidRDefault="006D261B" w:rsidP="006D261B">
      <w:pPr>
        <w:keepNext/>
        <w:keepLines/>
        <w:widowControl w:val="0"/>
        <w:numPr>
          <w:ilvl w:val="0"/>
          <w:numId w:val="1"/>
        </w:numPr>
        <w:tabs>
          <w:tab w:val="num" w:pos="360"/>
        </w:tabs>
        <w:spacing w:before="12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Documentation repository</w:t>
      </w: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JRG will have its dedicated informal FT</w:t>
      </w:r>
      <w:r w:rsidRPr="00990B97">
        <w:rPr>
          <w:rFonts w:ascii="Cambria" w:hAnsi="Cambria" w:cs="Arial" w:hint="eastAsia"/>
          <w:kern w:val="2"/>
          <w:szCs w:val="24"/>
          <w:lang w:val="en-US" w:eastAsia="zh-CN"/>
        </w:rPr>
        <w:t>P</w:t>
      </w:r>
      <w:r w:rsidRPr="00990B97">
        <w:rPr>
          <w:rFonts w:ascii="Cambria" w:hAnsi="Cambria" w:cs="Arial"/>
          <w:kern w:val="2"/>
          <w:szCs w:val="24"/>
          <w:lang w:val="en-US" w:eastAsia="zh-CN"/>
        </w:rPr>
        <w:t xml:space="preserve"> area or SharePoint site to convene its work.</w:t>
      </w:r>
    </w:p>
    <w:p w:rsidR="006D261B" w:rsidRPr="00990B97" w:rsidRDefault="006D261B" w:rsidP="006D26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29FA"/>
          <w:szCs w:val="24"/>
          <w:lang w:val="en-US" w:eastAsia="zh-CN"/>
        </w:rPr>
      </w:pPr>
    </w:p>
    <w:p w:rsidR="006D261B" w:rsidRDefault="006D261B" w:rsidP="006D261B">
      <w:pPr>
        <w:spacing w:after="0"/>
        <w:rPr>
          <w:rFonts w:ascii="Calibri" w:hAnsi="Calibri"/>
          <w:color w:val="365F91"/>
          <w:kern w:val="2"/>
          <w:sz w:val="32"/>
          <w:szCs w:val="32"/>
          <w:lang w:val="en-US" w:eastAsia="zh-CN"/>
        </w:rPr>
      </w:pPr>
      <w:r>
        <w:rPr>
          <w:rFonts w:ascii="Calibri" w:hAnsi="Calibri"/>
          <w:color w:val="365F91"/>
          <w:kern w:val="2"/>
          <w:sz w:val="32"/>
          <w:szCs w:val="32"/>
          <w:lang w:val="en-US" w:eastAsia="zh-CN"/>
        </w:rPr>
        <w:br w:type="page"/>
      </w:r>
    </w:p>
    <w:p w:rsidR="006D261B" w:rsidRPr="00990B97" w:rsidRDefault="006D261B" w:rsidP="006D261B">
      <w:pPr>
        <w:widowControl w:val="0"/>
        <w:spacing w:after="0"/>
        <w:jc w:val="both"/>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lastRenderedPageBreak/>
        <w:t>Lifetime</w:t>
      </w:r>
    </w:p>
    <w:p w:rsidR="006D261B" w:rsidRPr="00990B97" w:rsidRDefault="006D261B" w:rsidP="006D261B">
      <w:pPr>
        <w:widowControl w:val="0"/>
        <w:spacing w:after="0"/>
        <w:jc w:val="both"/>
        <w:rPr>
          <w:rFonts w:ascii="Cambria" w:hAnsi="Cambria" w:cs="Arial"/>
          <w:kern w:val="2"/>
          <w:szCs w:val="24"/>
          <w:lang w:val="en-US" w:eastAsia="zh-CN"/>
        </w:rPr>
      </w:pPr>
    </w:p>
    <w:p w:rsidR="006D261B" w:rsidRPr="00990B97" w:rsidRDefault="006D261B" w:rsidP="006D261B">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JRG will continue until the end of the current ITU-T Study Period (2013-2016). The scope and the purpose of JRG should be revisited at the first meeting of a parent body in the next study period (2017 - 2020) for the purpose of its extension in which case the approval by each study group is needed.</w:t>
      </w:r>
    </w:p>
    <w:p w:rsidR="006D261B" w:rsidRPr="00990B97" w:rsidRDefault="006D261B" w:rsidP="006D261B">
      <w:pPr>
        <w:widowControl w:val="0"/>
        <w:spacing w:after="0"/>
        <w:jc w:val="both"/>
        <w:rPr>
          <w:rFonts w:ascii="Cambria" w:hAnsi="Cambria" w:cs="Arial"/>
          <w:kern w:val="2"/>
          <w:szCs w:val="24"/>
          <w:lang w:val="en-US" w:eastAsia="zh-CN"/>
        </w:rPr>
      </w:pPr>
    </w:p>
    <w:p w:rsidR="006D261B" w:rsidRPr="00A50642" w:rsidRDefault="006D261B" w:rsidP="006D26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b/>
          <w:bCs/>
          <w:color w:val="000000"/>
          <w:szCs w:val="24"/>
          <w:lang w:val="en-US" w:eastAsia="zh-CN"/>
        </w:rPr>
      </w:pPr>
      <w:r>
        <w:rPr>
          <w:b/>
          <w:bCs/>
          <w:color w:val="000000"/>
          <w:szCs w:val="24"/>
          <w:lang w:val="en-US" w:eastAsia="zh-CN"/>
        </w:rPr>
        <w:t>______________________</w:t>
      </w:r>
    </w:p>
    <w:p w:rsidR="0056763C" w:rsidRDefault="0056763C"/>
    <w:sectPr w:rsidR="0056763C" w:rsidSect="00E563CE">
      <w:headerReference w:type="even" r:id="rId9"/>
      <w:headerReference w:type="default" r:id="rId10"/>
      <w:footerReference w:type="even" r:id="rId11"/>
      <w:footerReference w:type="default" r:id="rId12"/>
      <w:headerReference w:type="first" r:id="rId13"/>
      <w:footerReference w:type="first" r:id="rId1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9B" w:rsidRDefault="00095F9B" w:rsidP="006D261B">
      <w:pPr>
        <w:spacing w:after="0"/>
      </w:pPr>
      <w:r>
        <w:separator/>
      </w:r>
    </w:p>
  </w:endnote>
  <w:endnote w:type="continuationSeparator" w:id="0">
    <w:p w:rsidR="00095F9B" w:rsidRDefault="00095F9B" w:rsidP="006D2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1B" w:rsidRDefault="006D2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7A6601282FDC447DB5DC87AFA99B953E"/>
      </w:placeholder>
      <w:temporary/>
      <w:showingPlcHdr/>
      <w15:appearance w15:val="hidden"/>
    </w:sdtPr>
    <w:sdtContent>
      <w:p w:rsidR="006D261B" w:rsidRDefault="006D261B">
        <w:pPr>
          <w:pStyle w:val="Footer"/>
        </w:pPr>
        <w:r>
          <w:t>[Type here]</w:t>
        </w:r>
      </w:p>
    </w:sdtContent>
  </w:sdt>
  <w:p w:rsidR="00905CD1" w:rsidRPr="00905CD1" w:rsidRDefault="00095F9B" w:rsidP="00905CD1">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905CD1" w:rsidRPr="001774D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905CD1" w:rsidRPr="001774D6" w:rsidRDefault="00095F9B" w:rsidP="00905CD1">
          <w:pPr>
            <w:spacing w:after="0"/>
            <w:rPr>
              <w:sz w:val="18"/>
            </w:rPr>
          </w:pPr>
          <w:r w:rsidRPr="001774D6">
            <w:rPr>
              <w:b/>
              <w:bCs/>
              <w:sz w:val="18"/>
            </w:rPr>
            <w:t>Attention:</w:t>
          </w:r>
          <w:r w:rsidRPr="001774D6">
            <w:rPr>
              <w:sz w:val="18"/>
            </w:rPr>
            <w:t xml:space="preserve"> Some or all of the material attached to this liaison statement may be subject to ITU copyright. In such a case this will be indicated in the individual document. </w:t>
          </w:r>
        </w:p>
        <w:p w:rsidR="00905CD1" w:rsidRPr="001774D6" w:rsidRDefault="00095F9B" w:rsidP="00905CD1">
          <w:pPr>
            <w:spacing w:after="0"/>
            <w:rPr>
              <w:sz w:val="18"/>
            </w:rPr>
          </w:pPr>
          <w:r w:rsidRPr="001774D6">
            <w:rPr>
              <w:sz w:val="18"/>
            </w:rPr>
            <w:t>Such a copyright does not prevent the use of the material for its i</w:t>
          </w:r>
          <w:r w:rsidRPr="001774D6">
            <w:rPr>
              <w:sz w:val="18"/>
            </w:rPr>
            <w:t>ntended purpose, but it prevents the reproduction of all or part of it in a publication without the authorization of ITU.</w:t>
          </w:r>
        </w:p>
      </w:tc>
    </w:tr>
  </w:tbl>
  <w:p w:rsidR="00905CD1" w:rsidRPr="00905CD1" w:rsidRDefault="00095F9B" w:rsidP="00905CD1">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9B" w:rsidRDefault="00095F9B" w:rsidP="006D261B">
      <w:pPr>
        <w:spacing w:after="0"/>
      </w:pPr>
      <w:r>
        <w:separator/>
      </w:r>
    </w:p>
  </w:footnote>
  <w:footnote w:type="continuationSeparator" w:id="0">
    <w:p w:rsidR="00095F9B" w:rsidRDefault="00095F9B" w:rsidP="006D26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1B" w:rsidRDefault="006D2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968752352"/>
      <w:placeholder>
        <w:docPart w:val="63626D0BDD254FD68AF89502CEA9B769"/>
      </w:placeholder>
      <w:temporary/>
      <w:showingPlcHdr/>
      <w15:appearance w15:val="hidden"/>
    </w:sdtPr>
    <w:sdtContent>
      <w:p w:rsidR="006D261B" w:rsidRDefault="006D261B">
        <w:pPr>
          <w:pStyle w:val="Header"/>
        </w:pPr>
        <w:r>
          <w:t>[Type here]</w:t>
        </w:r>
      </w:p>
    </w:sdtContent>
  </w:sdt>
  <w:p w:rsidR="00905CD1" w:rsidRPr="00905CD1" w:rsidRDefault="00095F9B" w:rsidP="00905CD1">
    <w:pPr>
      <w:pStyle w:val="Header"/>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1B" w:rsidRDefault="006D2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A177F"/>
    <w:multiLevelType w:val="hybridMultilevel"/>
    <w:tmpl w:val="67A6D8EA"/>
    <w:lvl w:ilvl="0" w:tplc="8D661DFE">
      <w:start w:val="1"/>
      <w:numFmt w:val="decimal"/>
      <w:pStyle w:val="Heading1"/>
      <w:lvlText w:val="%1."/>
      <w:lvlJc w:val="left"/>
      <w:pPr>
        <w:ind w:left="4188" w:hanging="360"/>
      </w:pPr>
      <w:rPr>
        <w:rFonts w:cs="Times New Roman"/>
      </w:rPr>
    </w:lvl>
    <w:lvl w:ilvl="1" w:tplc="08090019" w:tentative="1">
      <w:start w:val="1"/>
      <w:numFmt w:val="lowerLetter"/>
      <w:lvlText w:val="%2."/>
      <w:lvlJc w:val="left"/>
      <w:pPr>
        <w:ind w:left="4908" w:hanging="360"/>
      </w:pPr>
      <w:rPr>
        <w:rFonts w:cs="Times New Roman"/>
      </w:rPr>
    </w:lvl>
    <w:lvl w:ilvl="2" w:tplc="0809001B" w:tentative="1">
      <w:start w:val="1"/>
      <w:numFmt w:val="lowerRoman"/>
      <w:lvlText w:val="%3."/>
      <w:lvlJc w:val="right"/>
      <w:pPr>
        <w:ind w:left="5628" w:hanging="180"/>
      </w:pPr>
      <w:rPr>
        <w:rFonts w:cs="Times New Roman"/>
      </w:rPr>
    </w:lvl>
    <w:lvl w:ilvl="3" w:tplc="0809000F" w:tentative="1">
      <w:start w:val="1"/>
      <w:numFmt w:val="decimal"/>
      <w:lvlText w:val="%4."/>
      <w:lvlJc w:val="left"/>
      <w:pPr>
        <w:ind w:left="6348" w:hanging="360"/>
      </w:pPr>
      <w:rPr>
        <w:rFonts w:cs="Times New Roman"/>
      </w:rPr>
    </w:lvl>
    <w:lvl w:ilvl="4" w:tplc="08090019" w:tentative="1">
      <w:start w:val="1"/>
      <w:numFmt w:val="lowerLetter"/>
      <w:lvlText w:val="%5."/>
      <w:lvlJc w:val="left"/>
      <w:pPr>
        <w:ind w:left="7068" w:hanging="360"/>
      </w:pPr>
      <w:rPr>
        <w:rFonts w:cs="Times New Roman"/>
      </w:rPr>
    </w:lvl>
    <w:lvl w:ilvl="5" w:tplc="0809001B" w:tentative="1">
      <w:start w:val="1"/>
      <w:numFmt w:val="lowerRoman"/>
      <w:lvlText w:val="%6."/>
      <w:lvlJc w:val="right"/>
      <w:pPr>
        <w:ind w:left="7788" w:hanging="180"/>
      </w:pPr>
      <w:rPr>
        <w:rFonts w:cs="Times New Roman"/>
      </w:rPr>
    </w:lvl>
    <w:lvl w:ilvl="6" w:tplc="0809000F" w:tentative="1">
      <w:start w:val="1"/>
      <w:numFmt w:val="decimal"/>
      <w:lvlText w:val="%7."/>
      <w:lvlJc w:val="left"/>
      <w:pPr>
        <w:ind w:left="8508" w:hanging="360"/>
      </w:pPr>
      <w:rPr>
        <w:rFonts w:cs="Times New Roman"/>
      </w:rPr>
    </w:lvl>
    <w:lvl w:ilvl="7" w:tplc="08090019" w:tentative="1">
      <w:start w:val="1"/>
      <w:numFmt w:val="lowerLetter"/>
      <w:lvlText w:val="%8."/>
      <w:lvlJc w:val="left"/>
      <w:pPr>
        <w:ind w:left="9228" w:hanging="360"/>
      </w:pPr>
      <w:rPr>
        <w:rFonts w:cs="Times New Roman"/>
      </w:rPr>
    </w:lvl>
    <w:lvl w:ilvl="8" w:tplc="0809001B" w:tentative="1">
      <w:start w:val="1"/>
      <w:numFmt w:val="lowerRoman"/>
      <w:lvlText w:val="%9."/>
      <w:lvlJc w:val="right"/>
      <w:pPr>
        <w:ind w:left="9948" w:hanging="180"/>
      </w:pPr>
      <w:rPr>
        <w:rFonts w:cs="Times New Roman"/>
      </w:rPr>
    </w:lvl>
  </w:abstractNum>
  <w:abstractNum w:abstractNumId="1">
    <w:nsid w:val="5FAB679A"/>
    <w:multiLevelType w:val="hybridMultilevel"/>
    <w:tmpl w:val="CF6E28AE"/>
    <w:lvl w:ilvl="0" w:tplc="440C02EE">
      <w:numFmt w:val="bullet"/>
      <w:lvlText w:val="-"/>
      <w:lvlJc w:val="left"/>
      <w:pPr>
        <w:ind w:left="720" w:hanging="360"/>
      </w:pPr>
      <w:rPr>
        <w:rFonts w:ascii="Cambria" w:eastAsia="SimSu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C016DD"/>
    <w:multiLevelType w:val="hybridMultilevel"/>
    <w:tmpl w:val="8FE0FA0C"/>
    <w:lvl w:ilvl="0" w:tplc="440C02EE">
      <w:numFmt w:val="bullet"/>
      <w:lvlText w:val="-"/>
      <w:lvlJc w:val="left"/>
      <w:pPr>
        <w:ind w:left="720" w:hanging="360"/>
      </w:pPr>
      <w:rPr>
        <w:rFonts w:ascii="Cambria" w:eastAsia="SimSu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1B"/>
    <w:rsid w:val="00095F9B"/>
    <w:rsid w:val="0056763C"/>
    <w:rsid w:val="006D26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12E40-2381-4C7E-94D0-C210BECE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61B"/>
    <w:pPr>
      <w:spacing w:after="200" w:line="240" w:lineRule="auto"/>
    </w:pPr>
    <w:rPr>
      <w:rFonts w:ascii="Times New Roman" w:eastAsia="SimSun" w:hAnsi="Times New Roman" w:cs="Times New Roman"/>
      <w:sz w:val="24"/>
      <w:lang w:val="en-GB" w:eastAsia="en-US"/>
    </w:rPr>
  </w:style>
  <w:style w:type="paragraph" w:styleId="Heading1">
    <w:name w:val="heading 1"/>
    <w:basedOn w:val="Normal"/>
    <w:next w:val="Normal"/>
    <w:link w:val="Heading1Char"/>
    <w:autoRedefine/>
    <w:qFormat/>
    <w:rsid w:val="006D261B"/>
    <w:pPr>
      <w:keepNext/>
      <w:keepLines/>
      <w:numPr>
        <w:numId w:val="1"/>
      </w:numPr>
      <w:spacing w:before="480" w:after="0"/>
      <w:outlineLvl w:val="0"/>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61B"/>
    <w:rPr>
      <w:rFonts w:ascii="Times New Roman" w:eastAsia="SimSun" w:hAnsi="Times New Roman" w:cs="Times New Roman"/>
      <w:b/>
      <w:bCs/>
      <w:color w:val="000000"/>
      <w:sz w:val="28"/>
      <w:szCs w:val="28"/>
      <w:lang w:val="en-GB" w:eastAsia="en-US"/>
    </w:rPr>
  </w:style>
  <w:style w:type="paragraph" w:styleId="Footer">
    <w:name w:val="footer"/>
    <w:basedOn w:val="Normal"/>
    <w:link w:val="FooterChar"/>
    <w:uiPriority w:val="99"/>
    <w:rsid w:val="006D261B"/>
    <w:pPr>
      <w:tabs>
        <w:tab w:val="left" w:pos="5954"/>
        <w:tab w:val="right" w:pos="9639"/>
      </w:tabs>
      <w:overflowPunct w:val="0"/>
      <w:autoSpaceDE w:val="0"/>
      <w:autoSpaceDN w:val="0"/>
      <w:adjustRightInd w:val="0"/>
      <w:spacing w:after="0"/>
      <w:textAlignment w:val="baseline"/>
    </w:pPr>
    <w:rPr>
      <w:rFonts w:eastAsia="Times New Roman"/>
      <w:caps/>
      <w:noProof/>
      <w:sz w:val="16"/>
      <w:szCs w:val="20"/>
    </w:rPr>
  </w:style>
  <w:style w:type="character" w:customStyle="1" w:styleId="FooterChar">
    <w:name w:val="Footer Char"/>
    <w:basedOn w:val="DefaultParagraphFont"/>
    <w:link w:val="Footer"/>
    <w:uiPriority w:val="99"/>
    <w:rsid w:val="006D261B"/>
    <w:rPr>
      <w:rFonts w:ascii="Times New Roman" w:eastAsia="Times New Roman" w:hAnsi="Times New Roman" w:cs="Times New Roman"/>
      <w:caps/>
      <w:noProof/>
      <w:sz w:val="16"/>
      <w:szCs w:val="20"/>
      <w:lang w:val="en-GB" w:eastAsia="en-US"/>
    </w:rPr>
  </w:style>
  <w:style w:type="paragraph" w:styleId="Header">
    <w:name w:val="header"/>
    <w:basedOn w:val="Normal"/>
    <w:link w:val="HeaderChar"/>
    <w:uiPriority w:val="99"/>
    <w:rsid w:val="006D261B"/>
    <w:pPr>
      <w:overflowPunct w:val="0"/>
      <w:autoSpaceDE w:val="0"/>
      <w:autoSpaceDN w:val="0"/>
      <w:adjustRightInd w:val="0"/>
      <w:spacing w:after="0"/>
      <w:jc w:val="center"/>
      <w:textAlignment w:val="baseline"/>
    </w:pPr>
    <w:rPr>
      <w:rFonts w:eastAsia="Times New Roman"/>
      <w:sz w:val="18"/>
      <w:szCs w:val="20"/>
    </w:rPr>
  </w:style>
  <w:style w:type="character" w:customStyle="1" w:styleId="HeaderChar">
    <w:name w:val="Header Char"/>
    <w:basedOn w:val="DefaultParagraphFont"/>
    <w:link w:val="Header"/>
    <w:uiPriority w:val="99"/>
    <w:rsid w:val="006D261B"/>
    <w:rPr>
      <w:rFonts w:ascii="Times New Roman" w:eastAsia="Times New Roman" w:hAnsi="Times New Roman" w:cs="Times New Roman"/>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rec/T-REC-A.1/en"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itu.int/rec/T-REC-A.1/e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6601282FDC447DB5DC87AFA99B953E"/>
        <w:category>
          <w:name w:val="General"/>
          <w:gallery w:val="placeholder"/>
        </w:category>
        <w:types>
          <w:type w:val="bbPlcHdr"/>
        </w:types>
        <w:behaviors>
          <w:behavior w:val="content"/>
        </w:behaviors>
        <w:guid w:val="{D1CD5B8B-2FCB-40B8-8BBE-BDD4497C1CB1}"/>
      </w:docPartPr>
      <w:docPartBody>
        <w:p w:rsidR="00000000" w:rsidRDefault="00CA4297" w:rsidP="00CA4297">
          <w:pPr>
            <w:pStyle w:val="7A6601282FDC447DB5DC87AFA99B953E"/>
          </w:pPr>
          <w:r>
            <w:t>[Type here]</w:t>
          </w:r>
        </w:p>
      </w:docPartBody>
    </w:docPart>
    <w:docPart>
      <w:docPartPr>
        <w:name w:val="63626D0BDD254FD68AF89502CEA9B769"/>
        <w:category>
          <w:name w:val="General"/>
          <w:gallery w:val="placeholder"/>
        </w:category>
        <w:types>
          <w:type w:val="bbPlcHdr"/>
        </w:types>
        <w:behaviors>
          <w:behavior w:val="content"/>
        </w:behaviors>
        <w:guid w:val="{269893D8-5033-4BC1-BBAD-D67E83287933}"/>
      </w:docPartPr>
      <w:docPartBody>
        <w:p w:rsidR="00000000" w:rsidRDefault="00CA4297" w:rsidP="00CA4297">
          <w:pPr>
            <w:pStyle w:val="63626D0BDD254FD68AF89502CEA9B76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97"/>
    <w:rsid w:val="0058107D"/>
    <w:rsid w:val="00CA42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6601282FDC447DB5DC87AFA99B953E">
    <w:name w:val="7A6601282FDC447DB5DC87AFA99B953E"/>
    <w:rsid w:val="00CA4297"/>
  </w:style>
  <w:style w:type="paragraph" w:customStyle="1" w:styleId="63626D0BDD254FD68AF89502CEA9B769">
    <w:name w:val="63626D0BDD254FD68AF89502CEA9B769"/>
    <w:rsid w:val="00CA4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409C11B65C440AA9D0DBD305973E6" ma:contentTypeVersion="1" ma:contentTypeDescription="Create a new document." ma:contentTypeScope="" ma:versionID="f4d1c880fd2e7cf82b32d37aa4ab9c2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E63BE-38F5-4EC3-9DEA-F4E1523BF2F3}"/>
</file>

<file path=customXml/itemProps2.xml><?xml version="1.0" encoding="utf-8"?>
<ds:datastoreItem xmlns:ds="http://schemas.openxmlformats.org/officeDocument/2006/customXml" ds:itemID="{DF067D5C-1D22-4F5D-8AAD-EFE363A0472C}"/>
</file>

<file path=customXml/itemProps3.xml><?xml version="1.0" encoding="utf-8"?>
<ds:datastoreItem xmlns:ds="http://schemas.openxmlformats.org/officeDocument/2006/customXml" ds:itemID="{215880E0-C258-475E-94B0-390374C82D27}"/>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Paladin, Rae</dc:creator>
  <cp:keywords/>
  <dc:description/>
  <cp:lastModifiedBy>Paladin, Rae</cp:lastModifiedBy>
  <cp:revision>1</cp:revision>
  <dcterms:created xsi:type="dcterms:W3CDTF">2014-09-26T15:28:00Z</dcterms:created>
  <dcterms:modified xsi:type="dcterms:W3CDTF">2014-09-26T15:29:00Z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0x0101003E1409C11B65C440AA9D0DBD305973E6</vt:lpwstr>
  </property>
</Properties>
</file>