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30513" w:rsidRPr="00430513">
        <w:trPr>
          <w:cantSplit/>
        </w:trPr>
        <w:tc>
          <w:tcPr>
            <w:tcW w:w="4857" w:type="dxa"/>
            <w:gridSpan w:val="2"/>
          </w:tcPr>
          <w:p w:rsidR="00430513" w:rsidRPr="00430513" w:rsidRDefault="00430513" w:rsidP="00430513">
            <w:pPr>
              <w:rPr>
                <w:sz w:val="20"/>
              </w:rPr>
            </w:pPr>
            <w:bookmarkStart w:id="0" w:name="dsg" w:colFirst="1" w:colLast="1"/>
            <w:bookmarkStart w:id="1" w:name="dtableau"/>
            <w:bookmarkStart w:id="2" w:name="_GoBack"/>
            <w:bookmarkEnd w:id="2"/>
            <w:r w:rsidRPr="00430513">
              <w:rPr>
                <w:sz w:val="20"/>
              </w:rPr>
              <w:t>INTERNATIONAL TELECOMMUNICATION UNION</w:t>
            </w:r>
          </w:p>
        </w:tc>
        <w:tc>
          <w:tcPr>
            <w:tcW w:w="5066" w:type="dxa"/>
          </w:tcPr>
          <w:p w:rsidR="00430513" w:rsidRPr="00430513" w:rsidRDefault="00430513" w:rsidP="00430513">
            <w:pPr>
              <w:jc w:val="right"/>
              <w:rPr>
                <w:b/>
                <w:bCs/>
                <w:smallCaps/>
                <w:sz w:val="32"/>
              </w:rPr>
            </w:pPr>
            <w:r>
              <w:rPr>
                <w:b/>
                <w:bCs/>
                <w:smallCaps/>
                <w:sz w:val="32"/>
              </w:rPr>
              <w:t>STUDY GROUP 11</w:t>
            </w:r>
          </w:p>
        </w:tc>
      </w:tr>
      <w:tr w:rsidR="00430513" w:rsidRPr="00430513">
        <w:trPr>
          <w:cantSplit/>
          <w:trHeight w:val="461"/>
        </w:trPr>
        <w:tc>
          <w:tcPr>
            <w:tcW w:w="4857" w:type="dxa"/>
            <w:gridSpan w:val="2"/>
            <w:vMerge w:val="restart"/>
            <w:tcBorders>
              <w:bottom w:val="nil"/>
            </w:tcBorders>
          </w:tcPr>
          <w:p w:rsidR="00430513" w:rsidRPr="00430513" w:rsidRDefault="00430513" w:rsidP="00430513">
            <w:pPr>
              <w:rPr>
                <w:b/>
                <w:bCs/>
                <w:sz w:val="26"/>
              </w:rPr>
            </w:pPr>
            <w:bookmarkStart w:id="3" w:name="dnum" w:colFirst="1" w:colLast="1"/>
            <w:bookmarkEnd w:id="0"/>
            <w:r w:rsidRPr="00430513">
              <w:rPr>
                <w:b/>
                <w:bCs/>
                <w:sz w:val="26"/>
              </w:rPr>
              <w:t>TELECOMMUNICATION</w:t>
            </w:r>
            <w:r w:rsidRPr="00430513">
              <w:rPr>
                <w:b/>
                <w:bCs/>
                <w:sz w:val="26"/>
              </w:rPr>
              <w:br/>
              <w:t>STANDARDIZATION SECTOR</w:t>
            </w:r>
          </w:p>
          <w:p w:rsidR="00430513" w:rsidRPr="00430513" w:rsidRDefault="00430513" w:rsidP="00430513">
            <w:pPr>
              <w:rPr>
                <w:smallCaps/>
                <w:sz w:val="20"/>
              </w:rPr>
            </w:pPr>
            <w:r w:rsidRPr="00430513">
              <w:rPr>
                <w:sz w:val="20"/>
              </w:rPr>
              <w:t xml:space="preserve">STUDY PERIOD </w:t>
            </w:r>
            <w:r>
              <w:rPr>
                <w:sz w:val="20"/>
              </w:rPr>
              <w:t>2013-2016</w:t>
            </w:r>
          </w:p>
        </w:tc>
        <w:tc>
          <w:tcPr>
            <w:tcW w:w="5066" w:type="dxa"/>
            <w:tcBorders>
              <w:bottom w:val="nil"/>
            </w:tcBorders>
          </w:tcPr>
          <w:p w:rsidR="00430513" w:rsidRPr="00430513" w:rsidRDefault="00430513" w:rsidP="00430513">
            <w:pPr>
              <w:pStyle w:val="Docnumber"/>
              <w:rPr>
                <w:sz w:val="40"/>
              </w:rPr>
            </w:pPr>
            <w:r>
              <w:rPr>
                <w:sz w:val="40"/>
              </w:rPr>
              <w:t>TD 890 (GEN/11)</w:t>
            </w:r>
          </w:p>
        </w:tc>
      </w:tr>
      <w:tr w:rsidR="00430513" w:rsidRPr="00430513">
        <w:trPr>
          <w:cantSplit/>
          <w:trHeight w:val="355"/>
        </w:trPr>
        <w:tc>
          <w:tcPr>
            <w:tcW w:w="4857" w:type="dxa"/>
            <w:gridSpan w:val="2"/>
            <w:vMerge/>
            <w:tcBorders>
              <w:bottom w:val="single" w:sz="12" w:space="0" w:color="auto"/>
            </w:tcBorders>
          </w:tcPr>
          <w:p w:rsidR="00430513" w:rsidRPr="00430513" w:rsidRDefault="00430513" w:rsidP="00430513">
            <w:pPr>
              <w:rPr>
                <w:b/>
                <w:bCs/>
                <w:sz w:val="26"/>
              </w:rPr>
            </w:pPr>
            <w:bookmarkStart w:id="4" w:name="dorlang" w:colFirst="1" w:colLast="1"/>
            <w:bookmarkEnd w:id="3"/>
          </w:p>
        </w:tc>
        <w:tc>
          <w:tcPr>
            <w:tcW w:w="5066" w:type="dxa"/>
            <w:tcBorders>
              <w:bottom w:val="single" w:sz="12" w:space="0" w:color="auto"/>
            </w:tcBorders>
          </w:tcPr>
          <w:p w:rsidR="00430513" w:rsidRDefault="00430513" w:rsidP="00430513">
            <w:pPr>
              <w:jc w:val="right"/>
              <w:rPr>
                <w:b/>
                <w:bCs/>
                <w:sz w:val="28"/>
              </w:rPr>
            </w:pPr>
            <w:r>
              <w:rPr>
                <w:b/>
                <w:bCs/>
                <w:sz w:val="28"/>
              </w:rPr>
              <w:t>English only</w:t>
            </w:r>
          </w:p>
          <w:p w:rsidR="00430513" w:rsidRPr="00430513" w:rsidRDefault="00430513" w:rsidP="00430513">
            <w:pPr>
              <w:jc w:val="right"/>
              <w:rPr>
                <w:b/>
                <w:bCs/>
                <w:sz w:val="28"/>
              </w:rPr>
            </w:pPr>
            <w:r>
              <w:rPr>
                <w:b/>
                <w:bCs/>
                <w:sz w:val="28"/>
              </w:rPr>
              <w:t>Original: English</w:t>
            </w:r>
          </w:p>
        </w:tc>
      </w:tr>
      <w:tr w:rsidR="00430513" w:rsidRPr="00430513">
        <w:trPr>
          <w:cantSplit/>
          <w:trHeight w:val="357"/>
        </w:trPr>
        <w:tc>
          <w:tcPr>
            <w:tcW w:w="1617" w:type="dxa"/>
          </w:tcPr>
          <w:p w:rsidR="00430513" w:rsidRPr="00430513" w:rsidRDefault="00430513" w:rsidP="00430513">
            <w:pPr>
              <w:rPr>
                <w:b/>
                <w:bCs/>
              </w:rPr>
            </w:pPr>
            <w:bookmarkStart w:id="5" w:name="dbluepink" w:colFirst="1" w:colLast="1"/>
            <w:bookmarkStart w:id="6" w:name="dmeeting" w:colFirst="2" w:colLast="2"/>
            <w:bookmarkEnd w:id="4"/>
            <w:r w:rsidRPr="00430513">
              <w:rPr>
                <w:b/>
                <w:bCs/>
              </w:rPr>
              <w:t>Question(s):</w:t>
            </w:r>
          </w:p>
        </w:tc>
        <w:tc>
          <w:tcPr>
            <w:tcW w:w="3240" w:type="dxa"/>
          </w:tcPr>
          <w:p w:rsidR="00430513" w:rsidRPr="00430513" w:rsidRDefault="00430513" w:rsidP="00430513">
            <w:r w:rsidRPr="00430513">
              <w:t>11/11</w:t>
            </w:r>
          </w:p>
        </w:tc>
        <w:tc>
          <w:tcPr>
            <w:tcW w:w="5066" w:type="dxa"/>
          </w:tcPr>
          <w:p w:rsidR="00430513" w:rsidRPr="00430513" w:rsidRDefault="00430513" w:rsidP="00430513">
            <w:pPr>
              <w:jc w:val="right"/>
            </w:pPr>
            <w:r w:rsidRPr="00430513">
              <w:t>Geneva, 2-11 December 2015</w:t>
            </w:r>
          </w:p>
        </w:tc>
      </w:tr>
      <w:tr w:rsidR="00430513" w:rsidRPr="00430513">
        <w:trPr>
          <w:cantSplit/>
          <w:trHeight w:val="357"/>
        </w:trPr>
        <w:tc>
          <w:tcPr>
            <w:tcW w:w="9923" w:type="dxa"/>
            <w:gridSpan w:val="3"/>
          </w:tcPr>
          <w:p w:rsidR="00430513" w:rsidRPr="00430513" w:rsidRDefault="00430513" w:rsidP="00430513">
            <w:pPr>
              <w:jc w:val="center"/>
              <w:rPr>
                <w:b/>
                <w:bCs/>
              </w:rPr>
            </w:pPr>
            <w:bookmarkStart w:id="7" w:name="dtitle" w:colFirst="0" w:colLast="0"/>
            <w:bookmarkEnd w:id="5"/>
            <w:bookmarkEnd w:id="6"/>
            <w:r w:rsidRPr="00430513">
              <w:rPr>
                <w:b/>
                <w:bCs/>
              </w:rPr>
              <w:t>TD</w:t>
            </w:r>
          </w:p>
        </w:tc>
      </w:tr>
      <w:tr w:rsidR="00430513" w:rsidRPr="00430513">
        <w:trPr>
          <w:cantSplit/>
          <w:trHeight w:val="357"/>
        </w:trPr>
        <w:tc>
          <w:tcPr>
            <w:tcW w:w="1617" w:type="dxa"/>
          </w:tcPr>
          <w:p w:rsidR="00430513" w:rsidRPr="00430513" w:rsidRDefault="00430513" w:rsidP="00430513">
            <w:pPr>
              <w:rPr>
                <w:b/>
                <w:bCs/>
              </w:rPr>
            </w:pPr>
            <w:bookmarkStart w:id="8" w:name="dsource" w:colFirst="1" w:colLast="1"/>
            <w:bookmarkEnd w:id="7"/>
            <w:r w:rsidRPr="00430513">
              <w:rPr>
                <w:b/>
                <w:bCs/>
              </w:rPr>
              <w:t>Source:</w:t>
            </w:r>
          </w:p>
        </w:tc>
        <w:tc>
          <w:tcPr>
            <w:tcW w:w="8306" w:type="dxa"/>
            <w:gridSpan w:val="2"/>
          </w:tcPr>
          <w:p w:rsidR="00430513" w:rsidRPr="00430513" w:rsidRDefault="00430513" w:rsidP="006544C2">
            <w:r>
              <w:t>Associate Rapporteur Q11/11</w:t>
            </w:r>
          </w:p>
        </w:tc>
      </w:tr>
      <w:tr w:rsidR="00430513" w:rsidRPr="00430513">
        <w:trPr>
          <w:cantSplit/>
          <w:trHeight w:val="357"/>
        </w:trPr>
        <w:tc>
          <w:tcPr>
            <w:tcW w:w="1617" w:type="dxa"/>
            <w:tcBorders>
              <w:bottom w:val="single" w:sz="12" w:space="0" w:color="auto"/>
            </w:tcBorders>
          </w:tcPr>
          <w:p w:rsidR="00430513" w:rsidRPr="00430513" w:rsidRDefault="00430513" w:rsidP="00430513">
            <w:pPr>
              <w:spacing w:after="120"/>
            </w:pPr>
            <w:bookmarkStart w:id="9" w:name="dtitle1" w:colFirst="1" w:colLast="1"/>
            <w:bookmarkEnd w:id="8"/>
            <w:r w:rsidRPr="00430513">
              <w:rPr>
                <w:b/>
                <w:bCs/>
              </w:rPr>
              <w:t>Title:</w:t>
            </w:r>
          </w:p>
        </w:tc>
        <w:tc>
          <w:tcPr>
            <w:tcW w:w="8306" w:type="dxa"/>
            <w:gridSpan w:val="2"/>
            <w:tcBorders>
              <w:bottom w:val="single" w:sz="12" w:space="0" w:color="auto"/>
            </w:tcBorders>
          </w:tcPr>
          <w:p w:rsidR="006544C2" w:rsidRDefault="00430513" w:rsidP="006544C2">
            <w:pPr>
              <w:spacing w:after="120"/>
            </w:pPr>
            <w:r>
              <w:t xml:space="preserve">Output - </w:t>
            </w:r>
            <w:r w:rsidRPr="00430513">
              <w:t>Proposal for a baseline text for draft Recommendation ITU-T Q.C&amp;I_VOC “Terms and definitions to be used in Conformance and Interoperability issues”</w:t>
            </w:r>
          </w:p>
          <w:p w:rsidR="00430513" w:rsidRPr="00430513" w:rsidRDefault="00430513" w:rsidP="006544C2">
            <w:pPr>
              <w:spacing w:after="120"/>
            </w:pPr>
            <w:r w:rsidRPr="00CF6BE9">
              <w:t>(Joint Rapporteur meeting, Vienna, 8-10 September 2015)</w:t>
            </w:r>
          </w:p>
        </w:tc>
      </w:tr>
    </w:tbl>
    <w:bookmarkEnd w:id="1"/>
    <w:bookmarkEnd w:id="9"/>
    <w:p w:rsidR="002A1F72" w:rsidRDefault="002A1F72">
      <w:pPr>
        <w:rPr>
          <w:lang w:val="en-US"/>
        </w:rPr>
      </w:pPr>
      <w:r>
        <w:rPr>
          <w:lang w:val="en-US"/>
        </w:rPr>
        <w:t xml:space="preserve">This </w:t>
      </w:r>
      <w:r w:rsidR="00430513">
        <w:rPr>
          <w:lang w:val="en-US"/>
        </w:rPr>
        <w:t>TD</w:t>
      </w:r>
      <w:r>
        <w:rPr>
          <w:lang w:val="en-US"/>
        </w:rPr>
        <w:t xml:space="preserve"> proposes the baseline text for draft new Recommendation ITU-T </w:t>
      </w:r>
      <w:r w:rsidR="0093019F" w:rsidRPr="00A71F49">
        <w:rPr>
          <w:lang w:val="en-US"/>
        </w:rPr>
        <w:t>Q.</w:t>
      </w:r>
      <w:r w:rsidR="0093019F">
        <w:rPr>
          <w:lang w:val="en-US"/>
        </w:rPr>
        <w:t xml:space="preserve">C&amp;I_VOC </w:t>
      </w:r>
      <w:r w:rsidR="0093019F" w:rsidRPr="00B2106D">
        <w:rPr>
          <w:lang w:val="en-US"/>
        </w:rPr>
        <w:t>“</w:t>
      </w:r>
      <w:r w:rsidR="0093019F">
        <w:rPr>
          <w:lang w:val="en-US"/>
        </w:rPr>
        <w:t>Terms and definitions to be used in Conformance and Interoperability issues”</w:t>
      </w:r>
      <w:r>
        <w:rPr>
          <w:lang w:val="en-US"/>
        </w:rPr>
        <w:t>.</w:t>
      </w:r>
    </w:p>
    <w:p w:rsidR="002A1F72" w:rsidRPr="0093019F" w:rsidRDefault="002A1F72" w:rsidP="0093019F">
      <w:pPr>
        <w:tabs>
          <w:tab w:val="clear" w:pos="794"/>
          <w:tab w:val="clear" w:pos="1191"/>
          <w:tab w:val="clear" w:pos="1588"/>
          <w:tab w:val="clear" w:pos="1985"/>
        </w:tabs>
      </w:pPr>
      <w:r>
        <w:rPr>
          <w:lang w:val="en-US"/>
        </w:rPr>
        <w:t>Please find the proposed baseline text below.</w:t>
      </w:r>
    </w:p>
    <w:p w:rsidR="002A1F72" w:rsidRPr="00CE2BD7" w:rsidRDefault="002A1F72" w:rsidP="0093019F">
      <w:pPr>
        <w:pStyle w:val="Headingb"/>
        <w:pageBreakBefore/>
        <w:rPr>
          <w:sz w:val="32"/>
          <w:szCs w:val="24"/>
          <w:lang w:val="en-US"/>
        </w:rPr>
      </w:pPr>
      <w:r w:rsidRPr="00CE2BD7">
        <w:rPr>
          <w:sz w:val="32"/>
          <w:szCs w:val="24"/>
          <w:lang w:val="en-US"/>
        </w:rPr>
        <w:lastRenderedPageBreak/>
        <w:t xml:space="preserve">Draft New </w:t>
      </w:r>
      <w:r w:rsidR="004C2A81" w:rsidRPr="009D0F22">
        <w:rPr>
          <w:sz w:val="32"/>
          <w:szCs w:val="24"/>
          <w:lang w:val="en-US"/>
        </w:rPr>
        <w:t>Recommenda</w:t>
      </w:r>
      <w:r w:rsidR="004C2A81" w:rsidRPr="004C2A81">
        <w:rPr>
          <w:sz w:val="32"/>
          <w:szCs w:val="24"/>
          <w:lang w:val="en-US"/>
        </w:rPr>
        <w:t>tion</w:t>
      </w:r>
      <w:r w:rsidRPr="00CE2BD7">
        <w:rPr>
          <w:sz w:val="32"/>
          <w:szCs w:val="24"/>
          <w:lang w:val="en-US"/>
        </w:rPr>
        <w:t xml:space="preserve"> </w:t>
      </w:r>
      <w:r w:rsidR="0093019F" w:rsidRPr="0093019F">
        <w:rPr>
          <w:sz w:val="32"/>
          <w:szCs w:val="24"/>
          <w:lang w:val="en-US"/>
        </w:rPr>
        <w:t>Q.C&amp;I_VOC</w:t>
      </w:r>
    </w:p>
    <w:p w:rsidR="002A1F72" w:rsidRDefault="0093019F" w:rsidP="00691477">
      <w:pPr>
        <w:pStyle w:val="Rectitle"/>
      </w:pPr>
      <w:r w:rsidRPr="0093019F">
        <w:rPr>
          <w:sz w:val="32"/>
          <w:szCs w:val="24"/>
          <w:lang w:val="en-US"/>
        </w:rPr>
        <w:t>“Terms and definitions to be used in Conformance and Interoperability issues”</w:t>
      </w:r>
    </w:p>
    <w:p w:rsidR="002A1F72" w:rsidRDefault="002A1F72" w:rsidP="002A1F72">
      <w:pPr>
        <w:pStyle w:val="Headingb"/>
      </w:pPr>
      <w:r>
        <w:t>Summary</w:t>
      </w:r>
    </w:p>
    <w:p w:rsidR="0093019F" w:rsidRDefault="0093019F" w:rsidP="0093019F">
      <w:r>
        <w:t>The activities on Conformance and Interoperability (C&amp;I) are widespread in the ICT world, but there are different interpretation of terms and definitions which define similar concept.</w:t>
      </w:r>
    </w:p>
    <w:p w:rsidR="007B3014" w:rsidRPr="00EE0AA1" w:rsidRDefault="0093019F" w:rsidP="0093019F">
      <w:pPr>
        <w:rPr>
          <w:lang w:val="en-US"/>
        </w:rPr>
      </w:pPr>
      <w:r>
        <w:t xml:space="preserve">For ensuring the correctness of the use of the </w:t>
      </w:r>
      <w:proofErr w:type="gramStart"/>
      <w:r>
        <w:t>C&amp;I</w:t>
      </w:r>
      <w:proofErr w:type="gramEnd"/>
      <w:r>
        <w:t xml:space="preserve"> vocabulary in the activities of the ITU C&amp;I Programme, this recommendation provides the list of terms and definitions related to the conformance and interoperability.</w:t>
      </w:r>
    </w:p>
    <w:p w:rsidR="007B3014" w:rsidRDefault="007B3014" w:rsidP="007B3014">
      <w:pPr>
        <w:pStyle w:val="Headingb"/>
      </w:pPr>
      <w:r>
        <w:t>Keywords</w:t>
      </w:r>
    </w:p>
    <w:p w:rsidR="007B3014" w:rsidRDefault="0093019F" w:rsidP="0093019F">
      <w:pPr>
        <w:rPr>
          <w:lang w:val="en-US"/>
        </w:rPr>
      </w:pPr>
      <w:r>
        <w:t>Conformance, Interoperability, T</w:t>
      </w:r>
      <w:r w:rsidR="007B3014">
        <w:t xml:space="preserve">esting, </w:t>
      </w:r>
      <w:r>
        <w:t>Vocabulary, Terms, Definitions</w:t>
      </w:r>
    </w:p>
    <w:p w:rsidR="002A1F72" w:rsidRPr="00C13542" w:rsidRDefault="002A1F72" w:rsidP="002A1F72">
      <w:pPr>
        <w:pStyle w:val="TOCHeading"/>
        <w:pageBreakBefore/>
      </w:pPr>
      <w:r w:rsidRPr="00C13542">
        <w:lastRenderedPageBreak/>
        <w:t>Contents</w:t>
      </w:r>
    </w:p>
    <w:p w:rsidR="0093019F" w:rsidRDefault="00E7188C">
      <w:pPr>
        <w:pStyle w:val="TOC1"/>
        <w:rPr>
          <w:rFonts w:asciiTheme="minorHAnsi" w:eastAsiaTheme="minorEastAsia" w:hAnsiTheme="minorHAnsi" w:cstheme="minorBidi"/>
          <w:noProof/>
          <w:sz w:val="22"/>
          <w:szCs w:val="22"/>
          <w:lang w:val="en-US" w:eastAsia="zh-CN"/>
        </w:rPr>
      </w:pPr>
      <w:r>
        <w:fldChar w:fldCharType="begin"/>
      </w:r>
      <w:r w:rsidR="002A1F72">
        <w:instrText xml:space="preserve"> TOC \o "1-3" \h \z \u </w:instrText>
      </w:r>
      <w:r>
        <w:fldChar w:fldCharType="separate"/>
      </w:r>
      <w:hyperlink w:anchor="_Toc429388710" w:history="1">
        <w:r w:rsidR="0093019F" w:rsidRPr="00CC36CF">
          <w:rPr>
            <w:rStyle w:val="Hyperlink"/>
            <w:noProof/>
          </w:rPr>
          <w:t>1</w:t>
        </w:r>
        <w:r w:rsidR="0093019F">
          <w:rPr>
            <w:rFonts w:asciiTheme="minorHAnsi" w:eastAsiaTheme="minorEastAsia" w:hAnsiTheme="minorHAnsi" w:cstheme="minorBidi"/>
            <w:noProof/>
            <w:sz w:val="22"/>
            <w:szCs w:val="22"/>
            <w:lang w:val="en-US" w:eastAsia="zh-CN"/>
          </w:rPr>
          <w:tab/>
        </w:r>
        <w:r w:rsidR="0093019F" w:rsidRPr="00CC36CF">
          <w:rPr>
            <w:rStyle w:val="Hyperlink"/>
            <w:noProof/>
          </w:rPr>
          <w:t>Scope</w:t>
        </w:r>
        <w:r w:rsidR="0093019F">
          <w:rPr>
            <w:noProof/>
            <w:webHidden/>
          </w:rPr>
          <w:tab/>
        </w:r>
        <w:r w:rsidR="0093019F">
          <w:rPr>
            <w:noProof/>
            <w:webHidden/>
          </w:rPr>
          <w:fldChar w:fldCharType="begin"/>
        </w:r>
        <w:r w:rsidR="0093019F">
          <w:rPr>
            <w:noProof/>
            <w:webHidden/>
          </w:rPr>
          <w:instrText xml:space="preserve"> PAGEREF _Toc429388710 \h </w:instrText>
        </w:r>
        <w:r w:rsidR="0093019F">
          <w:rPr>
            <w:noProof/>
            <w:webHidden/>
          </w:rPr>
        </w:r>
        <w:r w:rsidR="0093019F">
          <w:rPr>
            <w:noProof/>
            <w:webHidden/>
          </w:rPr>
          <w:fldChar w:fldCharType="separate"/>
        </w:r>
        <w:r w:rsidR="0093019F">
          <w:rPr>
            <w:noProof/>
            <w:webHidden/>
          </w:rPr>
          <w:t>4</w:t>
        </w:r>
        <w:r w:rsidR="0093019F">
          <w:rPr>
            <w:noProof/>
            <w:webHidden/>
          </w:rPr>
          <w:fldChar w:fldCharType="end"/>
        </w:r>
      </w:hyperlink>
    </w:p>
    <w:p w:rsidR="0093019F" w:rsidRDefault="00311A92">
      <w:pPr>
        <w:pStyle w:val="TOC1"/>
        <w:rPr>
          <w:rFonts w:asciiTheme="minorHAnsi" w:eastAsiaTheme="minorEastAsia" w:hAnsiTheme="minorHAnsi" w:cstheme="minorBidi"/>
          <w:noProof/>
          <w:sz w:val="22"/>
          <w:szCs w:val="22"/>
          <w:lang w:val="en-US" w:eastAsia="zh-CN"/>
        </w:rPr>
      </w:pPr>
      <w:hyperlink w:anchor="_Toc429388711" w:history="1">
        <w:r w:rsidR="0093019F" w:rsidRPr="00CC36CF">
          <w:rPr>
            <w:rStyle w:val="Hyperlink"/>
            <w:noProof/>
          </w:rPr>
          <w:t>2</w:t>
        </w:r>
        <w:r w:rsidR="0093019F">
          <w:rPr>
            <w:rFonts w:asciiTheme="minorHAnsi" w:eastAsiaTheme="minorEastAsia" w:hAnsiTheme="minorHAnsi" w:cstheme="minorBidi"/>
            <w:noProof/>
            <w:sz w:val="22"/>
            <w:szCs w:val="22"/>
            <w:lang w:val="en-US" w:eastAsia="zh-CN"/>
          </w:rPr>
          <w:tab/>
        </w:r>
        <w:r w:rsidR="0093019F" w:rsidRPr="00CC36CF">
          <w:rPr>
            <w:rStyle w:val="Hyperlink"/>
            <w:noProof/>
          </w:rPr>
          <w:t>References</w:t>
        </w:r>
        <w:r w:rsidR="0093019F">
          <w:rPr>
            <w:noProof/>
            <w:webHidden/>
          </w:rPr>
          <w:tab/>
        </w:r>
        <w:r w:rsidR="0093019F">
          <w:rPr>
            <w:noProof/>
            <w:webHidden/>
          </w:rPr>
          <w:fldChar w:fldCharType="begin"/>
        </w:r>
        <w:r w:rsidR="0093019F">
          <w:rPr>
            <w:noProof/>
            <w:webHidden/>
          </w:rPr>
          <w:instrText xml:space="preserve"> PAGEREF _Toc429388711 \h </w:instrText>
        </w:r>
        <w:r w:rsidR="0093019F">
          <w:rPr>
            <w:noProof/>
            <w:webHidden/>
          </w:rPr>
        </w:r>
        <w:r w:rsidR="0093019F">
          <w:rPr>
            <w:noProof/>
            <w:webHidden/>
          </w:rPr>
          <w:fldChar w:fldCharType="separate"/>
        </w:r>
        <w:r w:rsidR="0093019F">
          <w:rPr>
            <w:noProof/>
            <w:webHidden/>
          </w:rPr>
          <w:t>4</w:t>
        </w:r>
        <w:r w:rsidR="0093019F">
          <w:rPr>
            <w:noProof/>
            <w:webHidden/>
          </w:rPr>
          <w:fldChar w:fldCharType="end"/>
        </w:r>
      </w:hyperlink>
    </w:p>
    <w:p w:rsidR="0093019F" w:rsidRDefault="00311A92">
      <w:pPr>
        <w:pStyle w:val="TOC1"/>
        <w:rPr>
          <w:rFonts w:asciiTheme="minorHAnsi" w:eastAsiaTheme="minorEastAsia" w:hAnsiTheme="minorHAnsi" w:cstheme="minorBidi"/>
          <w:noProof/>
          <w:sz w:val="22"/>
          <w:szCs w:val="22"/>
          <w:lang w:val="en-US" w:eastAsia="zh-CN"/>
        </w:rPr>
      </w:pPr>
      <w:hyperlink w:anchor="_Toc429388712" w:history="1">
        <w:r w:rsidR="0093019F" w:rsidRPr="00CC36CF">
          <w:rPr>
            <w:rStyle w:val="Hyperlink"/>
            <w:noProof/>
            <w:lang w:val="en-US"/>
          </w:rPr>
          <w:t>3</w:t>
        </w:r>
        <w:r w:rsidR="0093019F">
          <w:rPr>
            <w:rFonts w:asciiTheme="minorHAnsi" w:eastAsiaTheme="minorEastAsia" w:hAnsiTheme="minorHAnsi" w:cstheme="minorBidi"/>
            <w:noProof/>
            <w:sz w:val="22"/>
            <w:szCs w:val="22"/>
            <w:lang w:val="en-US" w:eastAsia="zh-CN"/>
          </w:rPr>
          <w:tab/>
        </w:r>
        <w:r w:rsidR="0093019F" w:rsidRPr="00CC36CF">
          <w:rPr>
            <w:rStyle w:val="Hyperlink"/>
            <w:noProof/>
            <w:lang w:val="en-US"/>
          </w:rPr>
          <w:t>Definitions</w:t>
        </w:r>
        <w:r w:rsidR="0093019F">
          <w:rPr>
            <w:noProof/>
            <w:webHidden/>
          </w:rPr>
          <w:tab/>
        </w:r>
        <w:r w:rsidR="0093019F">
          <w:rPr>
            <w:noProof/>
            <w:webHidden/>
          </w:rPr>
          <w:fldChar w:fldCharType="begin"/>
        </w:r>
        <w:r w:rsidR="0093019F">
          <w:rPr>
            <w:noProof/>
            <w:webHidden/>
          </w:rPr>
          <w:instrText xml:space="preserve"> PAGEREF _Toc429388712 \h </w:instrText>
        </w:r>
        <w:r w:rsidR="0093019F">
          <w:rPr>
            <w:noProof/>
            <w:webHidden/>
          </w:rPr>
        </w:r>
        <w:r w:rsidR="0093019F">
          <w:rPr>
            <w:noProof/>
            <w:webHidden/>
          </w:rPr>
          <w:fldChar w:fldCharType="separate"/>
        </w:r>
        <w:r w:rsidR="0093019F">
          <w:rPr>
            <w:noProof/>
            <w:webHidden/>
          </w:rPr>
          <w:t>4</w:t>
        </w:r>
        <w:r w:rsidR="0093019F">
          <w:rPr>
            <w:noProof/>
            <w:webHidden/>
          </w:rPr>
          <w:fldChar w:fldCharType="end"/>
        </w:r>
      </w:hyperlink>
    </w:p>
    <w:p w:rsidR="0093019F" w:rsidRDefault="00311A92">
      <w:pPr>
        <w:pStyle w:val="TOC1"/>
        <w:rPr>
          <w:rFonts w:asciiTheme="minorHAnsi" w:eastAsiaTheme="minorEastAsia" w:hAnsiTheme="minorHAnsi" w:cstheme="minorBidi"/>
          <w:noProof/>
          <w:sz w:val="22"/>
          <w:szCs w:val="22"/>
          <w:lang w:val="en-US" w:eastAsia="zh-CN"/>
        </w:rPr>
      </w:pPr>
      <w:hyperlink w:anchor="_Toc429388713" w:history="1">
        <w:r w:rsidR="0093019F" w:rsidRPr="00CC36CF">
          <w:rPr>
            <w:rStyle w:val="Hyperlink"/>
            <w:noProof/>
            <w:lang w:val="en-US"/>
          </w:rPr>
          <w:t>4</w:t>
        </w:r>
        <w:r w:rsidR="0093019F">
          <w:rPr>
            <w:rFonts w:asciiTheme="minorHAnsi" w:eastAsiaTheme="minorEastAsia" w:hAnsiTheme="minorHAnsi" w:cstheme="minorBidi"/>
            <w:noProof/>
            <w:sz w:val="22"/>
            <w:szCs w:val="22"/>
            <w:lang w:val="en-US" w:eastAsia="zh-CN"/>
          </w:rPr>
          <w:tab/>
        </w:r>
        <w:r w:rsidR="0093019F" w:rsidRPr="00CC36CF">
          <w:rPr>
            <w:rStyle w:val="Hyperlink"/>
            <w:noProof/>
            <w:lang w:val="en-US"/>
          </w:rPr>
          <w:t>Abbreviations and acronyms</w:t>
        </w:r>
        <w:r w:rsidR="0093019F">
          <w:rPr>
            <w:noProof/>
            <w:webHidden/>
          </w:rPr>
          <w:tab/>
        </w:r>
        <w:r w:rsidR="0093019F">
          <w:rPr>
            <w:noProof/>
            <w:webHidden/>
          </w:rPr>
          <w:fldChar w:fldCharType="begin"/>
        </w:r>
        <w:r w:rsidR="0093019F">
          <w:rPr>
            <w:noProof/>
            <w:webHidden/>
          </w:rPr>
          <w:instrText xml:space="preserve"> PAGEREF _Toc429388713 \h </w:instrText>
        </w:r>
        <w:r w:rsidR="0093019F">
          <w:rPr>
            <w:noProof/>
            <w:webHidden/>
          </w:rPr>
        </w:r>
        <w:r w:rsidR="0093019F">
          <w:rPr>
            <w:noProof/>
            <w:webHidden/>
          </w:rPr>
          <w:fldChar w:fldCharType="separate"/>
        </w:r>
        <w:r w:rsidR="0093019F">
          <w:rPr>
            <w:noProof/>
            <w:webHidden/>
          </w:rPr>
          <w:t>4</w:t>
        </w:r>
        <w:r w:rsidR="0093019F">
          <w:rPr>
            <w:noProof/>
            <w:webHidden/>
          </w:rPr>
          <w:fldChar w:fldCharType="end"/>
        </w:r>
      </w:hyperlink>
    </w:p>
    <w:p w:rsidR="0093019F" w:rsidRDefault="00311A92">
      <w:pPr>
        <w:pStyle w:val="TOC1"/>
        <w:rPr>
          <w:rFonts w:asciiTheme="minorHAnsi" w:eastAsiaTheme="minorEastAsia" w:hAnsiTheme="minorHAnsi" w:cstheme="minorBidi"/>
          <w:noProof/>
          <w:sz w:val="22"/>
          <w:szCs w:val="22"/>
          <w:lang w:val="en-US" w:eastAsia="zh-CN"/>
        </w:rPr>
      </w:pPr>
      <w:hyperlink w:anchor="_Toc429388714" w:history="1">
        <w:r w:rsidR="0093019F" w:rsidRPr="00CC36CF">
          <w:rPr>
            <w:rStyle w:val="Hyperlink"/>
            <w:noProof/>
            <w:lang w:val="en-US"/>
          </w:rPr>
          <w:t>5</w:t>
        </w:r>
        <w:r w:rsidR="0093019F">
          <w:rPr>
            <w:rFonts w:asciiTheme="minorHAnsi" w:eastAsiaTheme="minorEastAsia" w:hAnsiTheme="minorHAnsi" w:cstheme="minorBidi"/>
            <w:noProof/>
            <w:sz w:val="22"/>
            <w:szCs w:val="22"/>
            <w:lang w:val="en-US" w:eastAsia="zh-CN"/>
          </w:rPr>
          <w:tab/>
        </w:r>
        <w:r w:rsidR="0093019F" w:rsidRPr="00CC36CF">
          <w:rPr>
            <w:rStyle w:val="Hyperlink"/>
            <w:noProof/>
            <w:lang w:val="en-US"/>
          </w:rPr>
          <w:t>Endorsement</w:t>
        </w:r>
        <w:r w:rsidR="0093019F">
          <w:rPr>
            <w:noProof/>
            <w:webHidden/>
          </w:rPr>
          <w:tab/>
        </w:r>
        <w:r w:rsidR="0093019F">
          <w:rPr>
            <w:noProof/>
            <w:webHidden/>
          </w:rPr>
          <w:fldChar w:fldCharType="begin"/>
        </w:r>
        <w:r w:rsidR="0093019F">
          <w:rPr>
            <w:noProof/>
            <w:webHidden/>
          </w:rPr>
          <w:instrText xml:space="preserve"> PAGEREF _Toc429388714 \h </w:instrText>
        </w:r>
        <w:r w:rsidR="0093019F">
          <w:rPr>
            <w:noProof/>
            <w:webHidden/>
          </w:rPr>
        </w:r>
        <w:r w:rsidR="0093019F">
          <w:rPr>
            <w:noProof/>
            <w:webHidden/>
          </w:rPr>
          <w:fldChar w:fldCharType="separate"/>
        </w:r>
        <w:r w:rsidR="0093019F">
          <w:rPr>
            <w:noProof/>
            <w:webHidden/>
          </w:rPr>
          <w:t>4</w:t>
        </w:r>
        <w:r w:rsidR="0093019F">
          <w:rPr>
            <w:noProof/>
            <w:webHidden/>
          </w:rPr>
          <w:fldChar w:fldCharType="end"/>
        </w:r>
      </w:hyperlink>
    </w:p>
    <w:p w:rsidR="0093019F" w:rsidRDefault="00311A92">
      <w:pPr>
        <w:pStyle w:val="TOC1"/>
        <w:rPr>
          <w:rFonts w:asciiTheme="minorHAnsi" w:eastAsiaTheme="minorEastAsia" w:hAnsiTheme="minorHAnsi" w:cstheme="minorBidi"/>
          <w:noProof/>
          <w:sz w:val="22"/>
          <w:szCs w:val="22"/>
          <w:lang w:val="en-US" w:eastAsia="zh-CN"/>
        </w:rPr>
      </w:pPr>
      <w:hyperlink w:anchor="_Toc429388715" w:history="1">
        <w:r w:rsidR="0093019F" w:rsidRPr="00CC36CF">
          <w:rPr>
            <w:rStyle w:val="Hyperlink"/>
            <w:noProof/>
            <w:lang w:val="en-US"/>
          </w:rPr>
          <w:t>6</w:t>
        </w:r>
        <w:r w:rsidR="0093019F">
          <w:rPr>
            <w:rFonts w:asciiTheme="minorHAnsi" w:eastAsiaTheme="minorEastAsia" w:hAnsiTheme="minorHAnsi" w:cstheme="minorBidi"/>
            <w:noProof/>
            <w:sz w:val="22"/>
            <w:szCs w:val="22"/>
            <w:lang w:val="en-US" w:eastAsia="zh-CN"/>
          </w:rPr>
          <w:tab/>
        </w:r>
        <w:r w:rsidR="0093019F" w:rsidRPr="00CC36CF">
          <w:rPr>
            <w:rStyle w:val="Hyperlink"/>
            <w:noProof/>
            <w:lang w:val="en-US"/>
          </w:rPr>
          <w:t>Terms and definitions on C&amp;I</w:t>
        </w:r>
        <w:r w:rsidR="0093019F">
          <w:rPr>
            <w:noProof/>
            <w:webHidden/>
          </w:rPr>
          <w:tab/>
        </w:r>
        <w:r w:rsidR="0093019F">
          <w:rPr>
            <w:noProof/>
            <w:webHidden/>
          </w:rPr>
          <w:fldChar w:fldCharType="begin"/>
        </w:r>
        <w:r w:rsidR="0093019F">
          <w:rPr>
            <w:noProof/>
            <w:webHidden/>
          </w:rPr>
          <w:instrText xml:space="preserve"> PAGEREF _Toc429388715 \h </w:instrText>
        </w:r>
        <w:r w:rsidR="0093019F">
          <w:rPr>
            <w:noProof/>
            <w:webHidden/>
          </w:rPr>
        </w:r>
        <w:r w:rsidR="0093019F">
          <w:rPr>
            <w:noProof/>
            <w:webHidden/>
          </w:rPr>
          <w:fldChar w:fldCharType="separate"/>
        </w:r>
        <w:r w:rsidR="0093019F">
          <w:rPr>
            <w:noProof/>
            <w:webHidden/>
          </w:rPr>
          <w:t>4</w:t>
        </w:r>
        <w:r w:rsidR="0093019F">
          <w:rPr>
            <w:noProof/>
            <w:webHidden/>
          </w:rPr>
          <w:fldChar w:fldCharType="end"/>
        </w:r>
      </w:hyperlink>
    </w:p>
    <w:p w:rsidR="002A1F72" w:rsidRDefault="00E7188C" w:rsidP="002A1F72">
      <w:r>
        <w:rPr>
          <w:b/>
          <w:bCs/>
          <w:noProof/>
        </w:rPr>
        <w:fldChar w:fldCharType="end"/>
      </w:r>
    </w:p>
    <w:p w:rsidR="007B3014" w:rsidRDefault="007B3014" w:rsidP="007B3014">
      <w:pPr>
        <w:pStyle w:val="Heading1"/>
        <w:pageBreakBefore/>
        <w:numPr>
          <w:ilvl w:val="0"/>
          <w:numId w:val="16"/>
        </w:numPr>
        <w:tabs>
          <w:tab w:val="clear" w:pos="1191"/>
          <w:tab w:val="left" w:pos="567"/>
        </w:tabs>
        <w:ind w:left="567" w:hanging="567"/>
      </w:pPr>
      <w:bookmarkStart w:id="10" w:name="_Toc414033048"/>
      <w:bookmarkStart w:id="11" w:name="_Toc429388710"/>
      <w:r>
        <w:lastRenderedPageBreak/>
        <w:t>Scope</w:t>
      </w:r>
      <w:bookmarkEnd w:id="10"/>
      <w:bookmarkEnd w:id="11"/>
    </w:p>
    <w:p w:rsidR="007B3014" w:rsidRDefault="0093019F" w:rsidP="007B3014">
      <w:r w:rsidRPr="0093019F">
        <w:t>This recommendation collects all terms and definitions on C&amp;I which are being used</w:t>
      </w:r>
      <w:r w:rsidR="00223021">
        <w:t xml:space="preserve"> or to be used</w:t>
      </w:r>
      <w:r w:rsidRPr="0093019F">
        <w:t xml:space="preserve"> in the existing ITU-T Recommendations and standards of other SDOs. The document will be revised on a regular basis.</w:t>
      </w:r>
    </w:p>
    <w:p w:rsidR="007B3014" w:rsidRDefault="007B3014" w:rsidP="007B3014">
      <w:pPr>
        <w:pStyle w:val="Heading1"/>
        <w:numPr>
          <w:ilvl w:val="0"/>
          <w:numId w:val="16"/>
        </w:numPr>
        <w:tabs>
          <w:tab w:val="clear" w:pos="1191"/>
          <w:tab w:val="left" w:pos="567"/>
        </w:tabs>
        <w:ind w:left="567" w:hanging="567"/>
      </w:pPr>
      <w:bookmarkStart w:id="12" w:name="_Toc414033049"/>
      <w:bookmarkStart w:id="13" w:name="_Toc429388711"/>
      <w:r>
        <w:t>References</w:t>
      </w:r>
      <w:bookmarkEnd w:id="12"/>
      <w:bookmarkEnd w:id="13"/>
    </w:p>
    <w:p w:rsidR="007B3014" w:rsidRDefault="007B3014" w:rsidP="007B3014">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9779F" w:rsidRDefault="00F9779F" w:rsidP="0093019F">
      <w:pPr>
        <w:pStyle w:val="enumlev1"/>
        <w:tabs>
          <w:tab w:val="clear" w:pos="794"/>
          <w:tab w:val="clear" w:pos="1191"/>
          <w:tab w:val="clear" w:pos="1588"/>
          <w:tab w:val="clear" w:pos="1985"/>
          <w:tab w:val="left" w:pos="3402"/>
        </w:tabs>
        <w:ind w:left="3402" w:hanging="3402"/>
        <w:rPr>
          <w:i/>
          <w:lang w:val="en-US"/>
        </w:rPr>
      </w:pPr>
      <w:r w:rsidRPr="0093019F">
        <w:rPr>
          <w:iCs/>
          <w:lang w:val="en-US"/>
        </w:rPr>
        <w:t>[</w:t>
      </w:r>
      <w:r w:rsidR="0093019F" w:rsidRPr="0093019F">
        <w:rPr>
          <w:iCs/>
          <w:lang w:val="en-US"/>
        </w:rPr>
        <w:t>TBD</w:t>
      </w:r>
      <w:r w:rsidRPr="0093019F">
        <w:rPr>
          <w:iCs/>
          <w:lang w:val="en-US"/>
        </w:rPr>
        <w:t>]</w:t>
      </w:r>
      <w:r w:rsidRPr="0093019F">
        <w:rPr>
          <w:iCs/>
          <w:lang w:val="en-US"/>
        </w:rPr>
        <w:tab/>
      </w:r>
      <w:r w:rsidR="0093019F" w:rsidRPr="0093019F">
        <w:rPr>
          <w:iCs/>
          <w:lang w:val="en-US"/>
        </w:rPr>
        <w:t>TBD</w:t>
      </w:r>
    </w:p>
    <w:p w:rsidR="007B3014" w:rsidRDefault="007B3014" w:rsidP="007B3014">
      <w:pPr>
        <w:pStyle w:val="Heading1"/>
        <w:numPr>
          <w:ilvl w:val="0"/>
          <w:numId w:val="16"/>
        </w:numPr>
        <w:tabs>
          <w:tab w:val="clear" w:pos="1191"/>
          <w:tab w:val="left" w:pos="567"/>
        </w:tabs>
        <w:ind w:left="567" w:hanging="567"/>
        <w:rPr>
          <w:lang w:val="en-US"/>
        </w:rPr>
      </w:pPr>
      <w:bookmarkStart w:id="14" w:name="_Toc414033050"/>
      <w:bookmarkStart w:id="15" w:name="_Toc429388712"/>
      <w:r w:rsidRPr="004A106E">
        <w:rPr>
          <w:lang w:val="en-US"/>
        </w:rPr>
        <w:t>Definitions</w:t>
      </w:r>
      <w:bookmarkEnd w:id="14"/>
      <w:bookmarkEnd w:id="15"/>
    </w:p>
    <w:p w:rsidR="005C45DC" w:rsidRPr="00E65481" w:rsidRDefault="005C45DC" w:rsidP="0093019F">
      <w:bookmarkStart w:id="16" w:name="_Toc414033051"/>
      <w:r w:rsidRPr="00E65481">
        <w:t>In particular, the following terms and definitions defined in:</w:t>
      </w:r>
    </w:p>
    <w:p w:rsidR="005C45DC" w:rsidRPr="0093019F" w:rsidRDefault="00883664" w:rsidP="0093019F">
      <w:pPr>
        <w:rPr>
          <w:bCs/>
          <w:sz w:val="20"/>
        </w:rPr>
      </w:pPr>
      <w:r>
        <w:rPr>
          <w:bCs/>
        </w:rPr>
        <w:t>C&amp;I</w:t>
      </w:r>
      <w:r>
        <w:rPr>
          <w:bCs/>
        </w:rPr>
        <w:tab/>
        <w:t>Conformance and Interoperability</w:t>
      </w:r>
    </w:p>
    <w:p w:rsidR="007B3014" w:rsidRDefault="007B3014" w:rsidP="007B3014">
      <w:pPr>
        <w:pStyle w:val="Heading1"/>
        <w:numPr>
          <w:ilvl w:val="0"/>
          <w:numId w:val="16"/>
        </w:numPr>
        <w:tabs>
          <w:tab w:val="clear" w:pos="1191"/>
          <w:tab w:val="left" w:pos="567"/>
        </w:tabs>
        <w:ind w:left="567" w:hanging="567"/>
        <w:rPr>
          <w:lang w:val="en-US"/>
        </w:rPr>
      </w:pPr>
      <w:bookmarkStart w:id="17" w:name="_Toc429388713"/>
      <w:r>
        <w:rPr>
          <w:lang w:val="en-US"/>
        </w:rPr>
        <w:t>Abbreviations and acronyms</w:t>
      </w:r>
      <w:bookmarkEnd w:id="16"/>
      <w:bookmarkEnd w:id="17"/>
    </w:p>
    <w:p w:rsidR="007B3014" w:rsidRPr="004A106E" w:rsidRDefault="007B3014" w:rsidP="007B3014">
      <w:pPr>
        <w:rPr>
          <w:lang w:val="en-US"/>
        </w:rPr>
      </w:pPr>
      <w:r>
        <w:rPr>
          <w:lang w:val="en-US"/>
        </w:rPr>
        <w:t xml:space="preserve">This Recommendation uses the following abbreviations </w:t>
      </w:r>
      <w:r w:rsidRPr="00F31B0E">
        <w:rPr>
          <w:lang w:val="en-US"/>
        </w:rPr>
        <w:t>and acronyms</w:t>
      </w:r>
      <w:r>
        <w:rPr>
          <w:lang w:val="en-US"/>
        </w:rPr>
        <w:t>:</w:t>
      </w:r>
    </w:p>
    <w:p w:rsidR="007B3014" w:rsidRPr="00A07165" w:rsidRDefault="0093019F" w:rsidP="007B3014">
      <w:pPr>
        <w:rPr>
          <w:lang w:val="fr-FR"/>
        </w:rPr>
      </w:pPr>
      <w:r>
        <w:rPr>
          <w:lang w:val="en-US"/>
        </w:rPr>
        <w:t>TBD</w:t>
      </w:r>
    </w:p>
    <w:p w:rsidR="007B3014" w:rsidRDefault="007B3014" w:rsidP="007B3014">
      <w:pPr>
        <w:pStyle w:val="Heading1"/>
        <w:numPr>
          <w:ilvl w:val="0"/>
          <w:numId w:val="16"/>
        </w:numPr>
        <w:tabs>
          <w:tab w:val="clear" w:pos="1191"/>
          <w:tab w:val="left" w:pos="567"/>
        </w:tabs>
        <w:ind w:left="567" w:hanging="567"/>
        <w:rPr>
          <w:lang w:val="en-US"/>
        </w:rPr>
      </w:pPr>
      <w:bookmarkStart w:id="18" w:name="_Toc414033052"/>
      <w:bookmarkStart w:id="19" w:name="_Toc429388714"/>
      <w:r>
        <w:rPr>
          <w:lang w:val="en-US"/>
        </w:rPr>
        <w:t>Endorsement</w:t>
      </w:r>
      <w:bookmarkEnd w:id="18"/>
      <w:bookmarkEnd w:id="19"/>
    </w:p>
    <w:p w:rsidR="007B3014" w:rsidRDefault="0093019F" w:rsidP="007B3014">
      <w:pPr>
        <w:rPr>
          <w:iCs/>
          <w:lang w:val="en-US"/>
        </w:rPr>
      </w:pPr>
      <w:r>
        <w:rPr>
          <w:iCs/>
          <w:lang w:val="en-US"/>
        </w:rPr>
        <w:t>None</w:t>
      </w:r>
    </w:p>
    <w:p w:rsidR="0051221D" w:rsidRPr="00533D0E" w:rsidRDefault="0093019F" w:rsidP="00533D0E">
      <w:pPr>
        <w:pStyle w:val="Heading1"/>
        <w:numPr>
          <w:ilvl w:val="0"/>
          <w:numId w:val="16"/>
        </w:numPr>
        <w:tabs>
          <w:tab w:val="clear" w:pos="1191"/>
          <w:tab w:val="left" w:pos="567"/>
        </w:tabs>
        <w:ind w:left="567" w:hanging="567"/>
        <w:rPr>
          <w:lang w:val="en-US"/>
        </w:rPr>
      </w:pPr>
      <w:bookmarkStart w:id="20" w:name="_Toc429388715"/>
      <w:r>
        <w:rPr>
          <w:lang w:val="en-US"/>
        </w:rPr>
        <w:t>Terms and definitions on C&amp;I</w:t>
      </w:r>
      <w:bookmarkEnd w:id="20"/>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lang w:val="en-GB"/>
        </w:rPr>
      </w:pPr>
      <w:r w:rsidRPr="0093019F">
        <w:rPr>
          <w:rFonts w:asciiTheme="majorBidi" w:hAnsiTheme="majorBidi" w:cstheme="majorBidi"/>
          <w:b/>
          <w:bCs/>
          <w:color w:val="000000"/>
          <w:lang w:val="en-GB"/>
        </w:rPr>
        <w:t>abstract test method (ATM):</w:t>
      </w:r>
      <w:r w:rsidRPr="0093019F">
        <w:rPr>
          <w:rFonts w:asciiTheme="majorBidi" w:hAnsiTheme="majorBidi" w:cstheme="majorBidi"/>
          <w:color w:val="000000"/>
          <w:lang w:val="en-GB"/>
        </w:rPr>
        <w:t xml:space="preserve"> the description of how an Implementation Under Test (IUT) is to be tested, given at an appropriate level of abstraction to make the description independent of any particular realization of a Means of Testing, but with enough detail to enable abstract test cases to be specified for this test method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lang w:val="en-GB"/>
        </w:rPr>
      </w:pPr>
      <w:proofErr w:type="gramStart"/>
      <w:r w:rsidRPr="0093019F">
        <w:rPr>
          <w:rFonts w:asciiTheme="majorBidi" w:hAnsiTheme="majorBidi" w:cstheme="majorBidi"/>
          <w:b/>
          <w:bCs/>
          <w:color w:val="000000"/>
          <w:lang w:val="en-GB"/>
        </w:rPr>
        <w:t>abstract</w:t>
      </w:r>
      <w:proofErr w:type="gramEnd"/>
      <w:r w:rsidRPr="0093019F">
        <w:rPr>
          <w:rFonts w:asciiTheme="majorBidi" w:hAnsiTheme="majorBidi" w:cstheme="majorBidi"/>
          <w:b/>
          <w:bCs/>
          <w:color w:val="000000"/>
          <w:lang w:val="en-GB"/>
        </w:rPr>
        <w:t xml:space="preserve"> test case:</w:t>
      </w:r>
      <w:r w:rsidRPr="0093019F">
        <w:rPr>
          <w:rFonts w:asciiTheme="majorBidi" w:hAnsiTheme="majorBidi" w:cstheme="majorBidi"/>
          <w:color w:val="000000"/>
          <w:lang w:val="en-GB"/>
        </w:rPr>
        <w:t xml:space="preserve"> a complete and independent specification of the actions required to achieve a specific test purpose, defined at the level of abstraction of a particular Abstract Test Method, starting in a stable testing state and ending in a stable testing state. This specification may involve one or more consecutive or concurrent connections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lang w:val="en-GB"/>
        </w:rPr>
      </w:pPr>
      <w:proofErr w:type="gramStart"/>
      <w:r w:rsidRPr="0093019F">
        <w:rPr>
          <w:rFonts w:asciiTheme="majorBidi" w:hAnsiTheme="majorBidi" w:cstheme="majorBidi"/>
          <w:b/>
          <w:bCs/>
          <w:color w:val="000000"/>
          <w:lang w:val="en-GB"/>
        </w:rPr>
        <w:t>abstract</w:t>
      </w:r>
      <w:proofErr w:type="gramEnd"/>
      <w:r w:rsidRPr="0093019F">
        <w:rPr>
          <w:rFonts w:asciiTheme="majorBidi" w:hAnsiTheme="majorBidi" w:cstheme="majorBidi"/>
          <w:b/>
          <w:bCs/>
          <w:color w:val="000000"/>
          <w:lang w:val="en-GB"/>
        </w:rPr>
        <w:t xml:space="preserve"> test suite (ATS):</w:t>
      </w:r>
      <w:r w:rsidRPr="0093019F">
        <w:rPr>
          <w:rFonts w:asciiTheme="majorBidi" w:hAnsiTheme="majorBidi" w:cstheme="majorBidi"/>
          <w:color w:val="000000"/>
          <w:lang w:val="en-GB"/>
        </w:rPr>
        <w:t xml:space="preserve"> a test suite composed of abstract test cases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acceptance</w:t>
      </w:r>
      <w:proofErr w:type="gramEnd"/>
      <w:r w:rsidRPr="0093019F">
        <w:rPr>
          <w:rFonts w:asciiTheme="majorBidi" w:hAnsiTheme="majorBidi" w:cstheme="majorBidi"/>
          <w:b/>
          <w:bCs/>
          <w:color w:val="000000"/>
          <w:lang w:val="en-GB"/>
        </w:rPr>
        <w:t xml:space="preserve"> </w:t>
      </w:r>
      <w:r w:rsidRPr="0093019F">
        <w:rPr>
          <w:rFonts w:asciiTheme="majorBidi" w:hAnsiTheme="majorBidi" w:cstheme="majorBidi"/>
          <w:color w:val="000000"/>
          <w:lang w:val="en-GB"/>
        </w:rPr>
        <w:t xml:space="preserve">or </w:t>
      </w:r>
      <w:r w:rsidRPr="0093019F">
        <w:rPr>
          <w:rFonts w:asciiTheme="majorBidi" w:hAnsiTheme="majorBidi" w:cstheme="majorBidi"/>
          <w:b/>
          <w:bCs/>
          <w:color w:val="000000"/>
          <w:lang w:val="en-GB"/>
        </w:rPr>
        <w:t>acceptance of conformity assessment results</w:t>
      </w:r>
      <w:r w:rsidRPr="0093019F">
        <w:rPr>
          <w:rFonts w:asciiTheme="majorBidi" w:hAnsiTheme="majorBidi" w:cstheme="majorBidi"/>
          <w:color w:val="000000"/>
          <w:lang w:val="en-GB"/>
        </w:rPr>
        <w:t>: use of a conformity assessment result provided by another person or body.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accreditation</w:t>
      </w:r>
      <w:proofErr w:type="gramEnd"/>
      <w:r w:rsidRPr="0093019F">
        <w:rPr>
          <w:rFonts w:asciiTheme="majorBidi" w:hAnsiTheme="majorBidi" w:cstheme="majorBidi"/>
          <w:color w:val="000000"/>
          <w:lang w:val="en-GB"/>
        </w:rPr>
        <w:t>: third-party attestation related to a conformity assessment body conveying formal demonstration of its competence to carry out specific conformity assessment tasks.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accreditation</w:t>
      </w:r>
      <w:proofErr w:type="gramEnd"/>
      <w:r w:rsidRPr="0093019F">
        <w:rPr>
          <w:rFonts w:asciiTheme="majorBidi" w:hAnsiTheme="majorBidi" w:cstheme="majorBidi"/>
          <w:b/>
          <w:bCs/>
          <w:color w:val="000000"/>
          <w:lang w:val="en-GB"/>
        </w:rPr>
        <w:t xml:space="preserve"> body</w:t>
      </w:r>
      <w:r w:rsidRPr="0093019F">
        <w:rPr>
          <w:rFonts w:asciiTheme="majorBidi" w:hAnsiTheme="majorBidi" w:cstheme="majorBidi"/>
          <w:color w:val="000000"/>
          <w:lang w:val="en-GB"/>
        </w:rPr>
        <w:t>: authoritative body that performs accreditation.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lastRenderedPageBreak/>
        <w:t>approval</w:t>
      </w:r>
      <w:proofErr w:type="gramEnd"/>
      <w:r w:rsidRPr="0093019F">
        <w:rPr>
          <w:rFonts w:asciiTheme="majorBidi" w:hAnsiTheme="majorBidi" w:cstheme="majorBidi"/>
          <w:color w:val="000000"/>
          <w:lang w:val="en-GB"/>
        </w:rPr>
        <w:t>: permission for a product or process to be marketed or used for stated purposes or under stated conditions.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attestation</w:t>
      </w:r>
      <w:proofErr w:type="gramEnd"/>
      <w:r w:rsidRPr="0093019F">
        <w:rPr>
          <w:rFonts w:asciiTheme="majorBidi" w:hAnsiTheme="majorBidi" w:cstheme="majorBidi"/>
          <w:color w:val="000000"/>
          <w:lang w:val="en-GB"/>
        </w:rPr>
        <w:t>: issue of a statement, based on a decision following review, that fulfilment of specified requirements has been demonstrated.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basic</w:t>
      </w:r>
      <w:proofErr w:type="gramEnd"/>
      <w:r w:rsidRPr="0093019F">
        <w:rPr>
          <w:rFonts w:asciiTheme="majorBidi" w:hAnsiTheme="majorBidi" w:cstheme="majorBidi"/>
          <w:b/>
          <w:bCs/>
          <w:color w:val="000000"/>
          <w:lang w:val="en-GB"/>
        </w:rPr>
        <w:t xml:space="preserve"> interconnection test</w:t>
      </w:r>
      <w:r w:rsidRPr="0093019F">
        <w:rPr>
          <w:rFonts w:asciiTheme="majorBidi" w:hAnsiTheme="majorBidi" w:cstheme="majorBidi"/>
          <w:color w:val="000000"/>
          <w:lang w:val="en-GB"/>
        </w:rPr>
        <w:t>: a test of an IUT which has limited scope to determine whether or not there is sufficient conformance to the relevant protocol(s) for interconnection to be possible, without trying to perform thorough testing.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bilateral</w:t>
      </w:r>
      <w:proofErr w:type="gramEnd"/>
      <w:r w:rsidRPr="0093019F">
        <w:rPr>
          <w:rFonts w:asciiTheme="majorBidi" w:hAnsiTheme="majorBidi" w:cstheme="majorBidi"/>
          <w:b/>
          <w:bCs/>
          <w:color w:val="000000"/>
          <w:lang w:val="en-GB"/>
        </w:rPr>
        <w:t xml:space="preserve"> arrangement</w:t>
      </w:r>
      <w:r w:rsidRPr="0093019F">
        <w:rPr>
          <w:rFonts w:asciiTheme="majorBidi" w:hAnsiTheme="majorBidi" w:cstheme="majorBidi"/>
          <w:color w:val="000000"/>
          <w:lang w:val="en-GB"/>
        </w:rPr>
        <w:t>: arrangement whereby two parties recognize or accept each other's conformity assessment results.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certification</w:t>
      </w:r>
      <w:proofErr w:type="gramEnd"/>
      <w:r w:rsidRPr="0093019F">
        <w:rPr>
          <w:rFonts w:asciiTheme="majorBidi" w:hAnsiTheme="majorBidi" w:cstheme="majorBidi"/>
          <w:color w:val="000000"/>
          <w:lang w:val="en-GB"/>
        </w:rPr>
        <w:t>: third-party attestation related to products, processes, systems or persons.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conformance</w:t>
      </w:r>
      <w:proofErr w:type="gramEnd"/>
      <w:r w:rsidRPr="0093019F">
        <w:rPr>
          <w:rFonts w:asciiTheme="majorBidi" w:hAnsiTheme="majorBidi" w:cstheme="majorBidi"/>
          <w:color w:val="000000"/>
          <w:lang w:val="en-GB"/>
        </w:rPr>
        <w:t>: compliance with requirements specified in applicable series Recommendations.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conformity</w:t>
      </w:r>
      <w:proofErr w:type="gramEnd"/>
      <w:r w:rsidRPr="0093019F">
        <w:rPr>
          <w:rFonts w:asciiTheme="majorBidi" w:hAnsiTheme="majorBidi" w:cstheme="majorBidi"/>
          <w:b/>
          <w:bCs/>
          <w:color w:val="000000"/>
          <w:lang w:val="en-GB"/>
        </w:rPr>
        <w:t xml:space="preserve"> assessment</w:t>
      </w:r>
      <w:r w:rsidRPr="0093019F">
        <w:rPr>
          <w:rFonts w:asciiTheme="majorBidi" w:hAnsiTheme="majorBidi" w:cstheme="majorBidi"/>
          <w:color w:val="000000"/>
          <w:lang w:val="en-GB"/>
        </w:rPr>
        <w:t>: demonstration that specified requirements relating to a product, process, system, person or body are fulfilled.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conformity</w:t>
      </w:r>
      <w:proofErr w:type="gramEnd"/>
      <w:r w:rsidRPr="0093019F">
        <w:rPr>
          <w:rFonts w:asciiTheme="majorBidi" w:hAnsiTheme="majorBidi" w:cstheme="majorBidi"/>
          <w:b/>
          <w:bCs/>
          <w:color w:val="000000"/>
          <w:lang w:val="en-GB"/>
        </w:rPr>
        <w:t xml:space="preserve"> assessment body</w:t>
      </w:r>
      <w:r w:rsidRPr="0093019F">
        <w:rPr>
          <w:rFonts w:asciiTheme="majorBidi" w:hAnsiTheme="majorBidi" w:cstheme="majorBidi"/>
          <w:color w:val="000000"/>
          <w:lang w:val="en-GB"/>
        </w:rPr>
        <w:t>: body that performs conformity assessment services.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conformity</w:t>
      </w:r>
      <w:proofErr w:type="gramEnd"/>
      <w:r w:rsidRPr="0093019F">
        <w:rPr>
          <w:rFonts w:asciiTheme="majorBidi" w:hAnsiTheme="majorBidi" w:cstheme="majorBidi"/>
          <w:b/>
          <w:bCs/>
          <w:color w:val="000000"/>
          <w:lang w:val="en-GB"/>
        </w:rPr>
        <w:t xml:space="preserve"> assessment scheme</w:t>
      </w:r>
      <w:r w:rsidRPr="0093019F">
        <w:rPr>
          <w:rStyle w:val="apple-converted-space"/>
          <w:rFonts w:asciiTheme="majorBidi" w:hAnsiTheme="majorBidi" w:cstheme="majorBidi"/>
          <w:color w:val="000000"/>
          <w:lang w:val="en-GB"/>
        </w:rPr>
        <w:t> </w:t>
      </w:r>
      <w:r w:rsidRPr="0093019F">
        <w:rPr>
          <w:rFonts w:asciiTheme="majorBidi" w:hAnsiTheme="majorBidi" w:cstheme="majorBidi"/>
          <w:color w:val="000000"/>
          <w:lang w:val="en-GB"/>
        </w:rPr>
        <w:t>(or programme):  conformity assessment system related to specified objects of conformity assessment, to which the same specified requirements, specific rules and procedures apply.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declaration</w:t>
      </w:r>
      <w:proofErr w:type="gramEnd"/>
      <w:r w:rsidRPr="0093019F">
        <w:rPr>
          <w:rFonts w:asciiTheme="majorBidi" w:hAnsiTheme="majorBidi" w:cstheme="majorBidi"/>
          <w:color w:val="000000"/>
          <w:lang w:val="en-GB"/>
        </w:rPr>
        <w:t>: first-party attestation.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designating</w:t>
      </w:r>
      <w:proofErr w:type="gramEnd"/>
      <w:r w:rsidRPr="0093019F">
        <w:rPr>
          <w:rFonts w:asciiTheme="majorBidi" w:hAnsiTheme="majorBidi" w:cstheme="majorBidi"/>
          <w:b/>
          <w:bCs/>
          <w:color w:val="000000"/>
          <w:lang w:val="en-GB"/>
        </w:rPr>
        <w:t xml:space="preserve"> body</w:t>
      </w:r>
      <w:r w:rsidRPr="0093019F">
        <w:rPr>
          <w:rFonts w:asciiTheme="majorBidi" w:hAnsiTheme="majorBidi" w:cstheme="majorBidi"/>
          <w:color w:val="000000"/>
          <w:lang w:val="en-GB"/>
        </w:rPr>
        <w:t>: means a body appointed by a Party, with responsibility to identify and monitor testing laboratories and/or certification bodies. [APECTEL]</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electromagnetic</w:t>
      </w:r>
      <w:proofErr w:type="gramEnd"/>
      <w:r w:rsidRPr="0093019F">
        <w:rPr>
          <w:rFonts w:asciiTheme="majorBidi" w:hAnsiTheme="majorBidi" w:cstheme="majorBidi"/>
          <w:b/>
          <w:bCs/>
          <w:color w:val="000000"/>
          <w:lang w:val="en-GB"/>
        </w:rPr>
        <w:t xml:space="preserve"> compatibility</w:t>
      </w:r>
      <w:r w:rsidRPr="0093019F">
        <w:rPr>
          <w:rFonts w:asciiTheme="majorBidi" w:hAnsiTheme="majorBidi" w:cstheme="majorBidi"/>
          <w:color w:val="000000"/>
          <w:lang w:val="en-GB"/>
        </w:rPr>
        <w:t>: the ability of an equipment or system to function satisfactorily in its electromagnetic environment without introducing intolerable electromagnetic disturbance to anything in that environment. [IEC 60050 and ITU-T K.63]</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equal</w:t>
      </w:r>
      <w:proofErr w:type="gramEnd"/>
      <w:r w:rsidRPr="0093019F">
        <w:rPr>
          <w:rFonts w:asciiTheme="majorBidi" w:hAnsiTheme="majorBidi" w:cstheme="majorBidi"/>
          <w:b/>
          <w:bCs/>
          <w:color w:val="000000"/>
          <w:lang w:val="en-GB"/>
        </w:rPr>
        <w:t xml:space="preserve"> treatment</w:t>
      </w:r>
      <w:r w:rsidRPr="0093019F">
        <w:rPr>
          <w:rFonts w:asciiTheme="majorBidi" w:hAnsiTheme="majorBidi" w:cstheme="majorBidi"/>
          <w:color w:val="000000"/>
          <w:lang w:val="en-GB"/>
        </w:rPr>
        <w:t>: treatment accorded to products or processes from one supplier that is no less favourable than that accorded to like products or processes from any other supplier, in a comparable situation.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equal</w:t>
      </w:r>
      <w:proofErr w:type="gramEnd"/>
      <w:r w:rsidRPr="0093019F">
        <w:rPr>
          <w:rFonts w:asciiTheme="majorBidi" w:hAnsiTheme="majorBidi" w:cstheme="majorBidi"/>
          <w:b/>
          <w:bCs/>
          <w:color w:val="000000"/>
          <w:lang w:val="en-GB"/>
        </w:rPr>
        <w:t xml:space="preserve"> and national treatment</w:t>
      </w:r>
      <w:r w:rsidRPr="0093019F">
        <w:rPr>
          <w:rFonts w:asciiTheme="majorBidi" w:hAnsiTheme="majorBidi" w:cstheme="majorBidi"/>
          <w:color w:val="000000"/>
          <w:lang w:val="en-GB"/>
        </w:rPr>
        <w:t>: treatment accorded to products or processes originating in other countries that is no less favourable than that accorded to like products or processes of national origin, or originating in any other country, in a comparable situation.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first-party</w:t>
      </w:r>
      <w:proofErr w:type="gramEnd"/>
      <w:r w:rsidRPr="0093019F">
        <w:rPr>
          <w:rFonts w:asciiTheme="majorBidi" w:hAnsiTheme="majorBidi" w:cstheme="majorBidi"/>
          <w:b/>
          <w:bCs/>
          <w:color w:val="000000"/>
          <w:lang w:val="en-GB"/>
        </w:rPr>
        <w:t xml:space="preserve"> conformity assessment activity</w:t>
      </w:r>
      <w:r w:rsidRPr="0093019F">
        <w:rPr>
          <w:rFonts w:asciiTheme="majorBidi" w:hAnsiTheme="majorBidi" w:cstheme="majorBidi"/>
          <w:color w:val="000000"/>
          <w:lang w:val="en-GB"/>
        </w:rPr>
        <w:t>: conformity assessment activity that is performed by the person or organization that provides the object.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implementation</w:t>
      </w:r>
      <w:proofErr w:type="gramEnd"/>
      <w:r w:rsidRPr="0093019F">
        <w:rPr>
          <w:rFonts w:asciiTheme="majorBidi" w:hAnsiTheme="majorBidi" w:cstheme="majorBidi"/>
          <w:b/>
          <w:bCs/>
          <w:color w:val="000000"/>
          <w:lang w:val="en-GB"/>
        </w:rPr>
        <w:t xml:space="preserve"> under test</w:t>
      </w:r>
      <w:r w:rsidRPr="0093019F">
        <w:rPr>
          <w:rFonts w:asciiTheme="majorBidi" w:hAnsiTheme="majorBidi" w:cstheme="majorBidi"/>
          <w:color w:val="000000"/>
          <w:lang w:val="en-GB"/>
        </w:rPr>
        <w:t>: an implementation of one or more OSI protocols in an adjacent user/provider relationship, being that part of a real open system which is to be studied by testing.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implementation</w:t>
      </w:r>
      <w:proofErr w:type="gramEnd"/>
      <w:r w:rsidRPr="0093019F">
        <w:rPr>
          <w:rFonts w:asciiTheme="majorBidi" w:hAnsiTheme="majorBidi" w:cstheme="majorBidi"/>
          <w:b/>
          <w:bCs/>
          <w:color w:val="000000"/>
          <w:lang w:val="en-GB"/>
        </w:rPr>
        <w:t xml:space="preserve"> conformance statement</w:t>
      </w:r>
      <w:r w:rsidRPr="0093019F">
        <w:rPr>
          <w:rFonts w:asciiTheme="majorBidi" w:hAnsiTheme="majorBidi" w:cstheme="majorBidi"/>
          <w:color w:val="000000"/>
          <w:lang w:val="en-GB"/>
        </w:rPr>
        <w:t>: a statement made by the supplier of an implementation or system claimed to conform to a given specification, stating which capabilities have been implemented. The ICS can take several forms: protocol ICS, profile ICS, and information object ICS.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inspection</w:t>
      </w:r>
      <w:proofErr w:type="gramEnd"/>
      <w:r w:rsidRPr="0093019F">
        <w:rPr>
          <w:rFonts w:asciiTheme="majorBidi" w:hAnsiTheme="majorBidi" w:cstheme="majorBidi"/>
          <w:b/>
          <w:bCs/>
          <w:color w:val="000000"/>
          <w:lang w:val="en-GB"/>
        </w:rPr>
        <w:t>:</w:t>
      </w:r>
      <w:r w:rsidRPr="0093019F">
        <w:rPr>
          <w:rStyle w:val="apple-converted-space"/>
          <w:rFonts w:asciiTheme="majorBidi" w:hAnsiTheme="majorBidi" w:cstheme="majorBidi"/>
          <w:b/>
          <w:bCs/>
          <w:color w:val="000000"/>
          <w:lang w:val="en-GB"/>
        </w:rPr>
        <w:t> </w:t>
      </w:r>
      <w:r w:rsidRPr="0093019F">
        <w:rPr>
          <w:rFonts w:asciiTheme="majorBidi" w:hAnsiTheme="majorBidi" w:cstheme="majorBidi"/>
          <w:color w:val="000000"/>
          <w:lang w:val="en-GB"/>
        </w:rPr>
        <w:t>examination of a product design, product, process or installation and determination of its conformity with specific requirements or, on the basis of professional judgement, with general requirements.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lastRenderedPageBreak/>
        <w:t>interoperability</w:t>
      </w:r>
      <w:proofErr w:type="gramEnd"/>
      <w:r w:rsidRPr="0093019F">
        <w:rPr>
          <w:rFonts w:asciiTheme="majorBidi" w:hAnsiTheme="majorBidi" w:cstheme="majorBidi"/>
          <w:color w:val="000000"/>
          <w:lang w:val="en-GB"/>
        </w:rPr>
        <w:t>: the ability of two or more systems or applications to exchange information and to mutually use the information that has been exchanged. [ITU-T Y.101]</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interoperability</w:t>
      </w:r>
      <w:proofErr w:type="gramEnd"/>
      <w:r w:rsidRPr="0093019F">
        <w:rPr>
          <w:rStyle w:val="apple-converted-space"/>
          <w:rFonts w:asciiTheme="majorBidi" w:hAnsiTheme="majorBidi" w:cstheme="majorBidi"/>
          <w:color w:val="000000"/>
          <w:lang w:val="en-GB"/>
        </w:rPr>
        <w:t> </w:t>
      </w:r>
      <w:r w:rsidRPr="0093019F">
        <w:rPr>
          <w:rFonts w:asciiTheme="majorBidi" w:hAnsiTheme="majorBidi" w:cstheme="majorBidi"/>
          <w:color w:val="000000"/>
          <w:lang w:val="en-GB"/>
        </w:rPr>
        <w:t>(Management Network): The ability of network management products and services from different suppliers to work together to manage communications between managed object classes. [ITU-T M.80]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interoperability</w:t>
      </w:r>
      <w:proofErr w:type="gramEnd"/>
      <w:r w:rsidRPr="0093019F">
        <w:rPr>
          <w:rFonts w:asciiTheme="majorBidi" w:hAnsiTheme="majorBidi" w:cstheme="majorBidi"/>
          <w:b/>
          <w:bCs/>
          <w:color w:val="000000"/>
          <w:lang w:val="en-GB"/>
        </w:rPr>
        <w:t xml:space="preserve"> testing</w:t>
      </w:r>
      <w:r w:rsidRPr="0093019F">
        <w:rPr>
          <w:rFonts w:asciiTheme="majorBidi" w:hAnsiTheme="majorBidi" w:cstheme="majorBidi"/>
          <w:color w:val="000000"/>
          <w:lang w:val="en-GB"/>
        </w:rPr>
        <w:t>: testing to assess the ability of two or more systems to exchange information and to make mutual use of the information that has been exchanged. [ITU-T Z.450]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market</w:t>
      </w:r>
      <w:proofErr w:type="gramEnd"/>
      <w:r w:rsidRPr="0093019F">
        <w:rPr>
          <w:rFonts w:asciiTheme="majorBidi" w:hAnsiTheme="majorBidi" w:cstheme="majorBidi"/>
          <w:b/>
          <w:bCs/>
          <w:color w:val="000000"/>
          <w:lang w:val="en-GB"/>
        </w:rPr>
        <w:t xml:space="preserve"> surveillance</w:t>
      </w:r>
      <w:r w:rsidRPr="0093019F">
        <w:rPr>
          <w:rFonts w:asciiTheme="majorBidi" w:hAnsiTheme="majorBidi" w:cstheme="majorBidi"/>
          <w:color w:val="000000"/>
          <w:lang w:val="en-GB"/>
        </w:rPr>
        <w:t>: activities carried out and measures taken by public authorities to ensure that products comply with the requirements set out in the relevant Community harmonisation legislation and do not endanger health, safety or any other aspect of public interest protection.</w:t>
      </w:r>
      <w:r w:rsidRPr="0093019F">
        <w:rPr>
          <w:rStyle w:val="apple-converted-space"/>
          <w:rFonts w:asciiTheme="majorBidi" w:hAnsiTheme="majorBidi" w:cstheme="majorBidi"/>
          <w:color w:val="000000"/>
          <w:lang w:val="en-GB"/>
        </w:rPr>
        <w:t> </w:t>
      </w:r>
      <w:r w:rsidRPr="0093019F">
        <w:rPr>
          <w:rFonts w:asciiTheme="majorBidi" w:hAnsiTheme="majorBidi" w:cstheme="majorBidi"/>
          <w:color w:val="000000"/>
        </w:rPr>
        <w:t>[EU 765/2008/EC]</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lang w:val="en-GB"/>
        </w:rPr>
      </w:pPr>
      <w:proofErr w:type="gramStart"/>
      <w:r w:rsidRPr="0093019F">
        <w:rPr>
          <w:rFonts w:asciiTheme="majorBidi" w:hAnsiTheme="majorBidi" w:cstheme="majorBidi"/>
          <w:b/>
          <w:bCs/>
          <w:color w:val="000000"/>
          <w:lang w:val="en-GB"/>
        </w:rPr>
        <w:t>model</w:t>
      </w:r>
      <w:proofErr w:type="gramEnd"/>
      <w:r w:rsidRPr="0093019F">
        <w:rPr>
          <w:rFonts w:asciiTheme="majorBidi" w:hAnsiTheme="majorBidi" w:cstheme="majorBidi"/>
          <w:b/>
          <w:bCs/>
          <w:color w:val="000000"/>
          <w:lang w:val="en-GB"/>
        </w:rPr>
        <w:t xml:space="preserve"> network:</w:t>
      </w:r>
      <w:r w:rsidRPr="0093019F">
        <w:rPr>
          <w:rFonts w:asciiTheme="majorBidi" w:hAnsiTheme="majorBidi" w:cstheme="majorBidi"/>
          <w:color w:val="000000"/>
          <w:lang w:val="en-GB"/>
        </w:rPr>
        <w:t xml:space="preserve"> network which simulates the capabilities similar to those available in present telecommunication networks, has a similar architecture and functionality and uses the same telecommunication technical means [ITU-T Q.3900]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most</w:t>
      </w:r>
      <w:proofErr w:type="gramEnd"/>
      <w:r w:rsidRPr="0093019F">
        <w:rPr>
          <w:rFonts w:asciiTheme="majorBidi" w:hAnsiTheme="majorBidi" w:cstheme="majorBidi"/>
          <w:b/>
          <w:bCs/>
          <w:color w:val="000000"/>
          <w:lang w:val="en-GB"/>
        </w:rPr>
        <w:t xml:space="preserve"> favoured nation</w:t>
      </w:r>
      <w:r w:rsidRPr="0093019F">
        <w:rPr>
          <w:rFonts w:asciiTheme="majorBidi" w:hAnsiTheme="majorBidi" w:cstheme="majorBidi"/>
          <w:color w:val="000000"/>
          <w:lang w:val="en-GB"/>
        </w:rPr>
        <w:t>: countries cannot normally discriminate between their trading partners, where one is granted a special favour (such as a lower customs duty rate for one of their products) than all other members must receive the same favour. [WTO]</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multilateral</w:t>
      </w:r>
      <w:proofErr w:type="gramEnd"/>
      <w:r w:rsidRPr="0093019F">
        <w:rPr>
          <w:rFonts w:asciiTheme="majorBidi" w:hAnsiTheme="majorBidi" w:cstheme="majorBidi"/>
          <w:b/>
          <w:bCs/>
          <w:color w:val="000000"/>
          <w:lang w:val="en-GB"/>
        </w:rPr>
        <w:t xml:space="preserve"> arrangement</w:t>
      </w:r>
      <w:r w:rsidRPr="0093019F">
        <w:rPr>
          <w:rFonts w:asciiTheme="majorBidi" w:hAnsiTheme="majorBidi" w:cstheme="majorBidi"/>
          <w:color w:val="000000"/>
          <w:lang w:val="en-GB"/>
        </w:rPr>
        <w:t>: arrangement whereby more than two parties recognize or accept one another's conformity assessment results.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mutual</w:t>
      </w:r>
      <w:proofErr w:type="gramEnd"/>
      <w:r w:rsidRPr="0093019F">
        <w:rPr>
          <w:rFonts w:asciiTheme="majorBidi" w:hAnsiTheme="majorBidi" w:cstheme="majorBidi"/>
          <w:b/>
          <w:bCs/>
          <w:color w:val="000000"/>
          <w:lang w:val="en-GB"/>
        </w:rPr>
        <w:t xml:space="preserve"> recognition agreement</w:t>
      </w:r>
      <w:r w:rsidRPr="0093019F">
        <w:rPr>
          <w:rFonts w:asciiTheme="majorBidi" w:hAnsiTheme="majorBidi" w:cstheme="majorBidi"/>
          <w:color w:val="000000"/>
          <w:lang w:val="en-GB"/>
        </w:rPr>
        <w:t>: an international agreement by which two or more countries agree to recognize one another's conformity assessments. [Wikipedia]</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national</w:t>
      </w:r>
      <w:proofErr w:type="gramEnd"/>
      <w:r w:rsidRPr="0093019F">
        <w:rPr>
          <w:rFonts w:asciiTheme="majorBidi" w:hAnsiTheme="majorBidi" w:cstheme="majorBidi"/>
          <w:b/>
          <w:bCs/>
          <w:color w:val="000000"/>
          <w:lang w:val="en-GB"/>
        </w:rPr>
        <w:t xml:space="preserve"> treatment</w:t>
      </w:r>
      <w:r w:rsidRPr="0093019F">
        <w:rPr>
          <w:rFonts w:asciiTheme="majorBidi" w:hAnsiTheme="majorBidi" w:cstheme="majorBidi"/>
          <w:color w:val="000000"/>
          <w:lang w:val="en-GB"/>
        </w:rPr>
        <w:t>: treatment accorded to products or processes originating in other countries that is no less favourable than that accorded to like products or processes of national origin, in a comparable situation.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national</w:t>
      </w:r>
      <w:proofErr w:type="gramEnd"/>
      <w:r w:rsidRPr="0093019F">
        <w:rPr>
          <w:rFonts w:asciiTheme="majorBidi" w:hAnsiTheme="majorBidi" w:cstheme="majorBidi"/>
          <w:b/>
          <w:bCs/>
          <w:color w:val="000000"/>
          <w:lang w:val="en-GB"/>
        </w:rPr>
        <w:t xml:space="preserve"> accreditation body</w:t>
      </w:r>
      <w:r w:rsidRPr="0093019F">
        <w:rPr>
          <w:rFonts w:asciiTheme="majorBidi" w:hAnsiTheme="majorBidi" w:cstheme="majorBidi"/>
          <w:color w:val="000000"/>
          <w:lang w:val="en-GB"/>
        </w:rPr>
        <w:t>: the sole body in a Member State that performs accreditation with authority derived from the State.</w:t>
      </w:r>
      <w:r w:rsidRPr="0093019F">
        <w:rPr>
          <w:rStyle w:val="apple-converted-space"/>
          <w:rFonts w:asciiTheme="majorBidi" w:hAnsiTheme="majorBidi" w:cstheme="majorBidi"/>
          <w:color w:val="000000"/>
          <w:lang w:val="en-GB"/>
        </w:rPr>
        <w:t> </w:t>
      </w:r>
      <w:r w:rsidRPr="0093019F">
        <w:rPr>
          <w:rFonts w:asciiTheme="majorBidi" w:hAnsiTheme="majorBidi" w:cstheme="majorBidi"/>
          <w:color w:val="000000"/>
        </w:rPr>
        <w:t>[EU 765/2008/EC]</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next generation network (NGN)</w:t>
      </w:r>
      <w:r w:rsidRPr="0093019F">
        <w:rPr>
          <w:rFonts w:asciiTheme="majorBidi" w:hAnsiTheme="majorBidi" w:cstheme="majorBidi"/>
          <w:color w:val="000000"/>
        </w:rPr>
        <w:t>: a packet-based network able to provide Telecommunication Services to users and able to make use of multiple broadband, QoS-enabled transport technologies and in which service-related functions are independent of the underlying transport-related technologies. It enables unfettered access for users to networks and to competing service providers and services of their choice. It supports generalised mobility which will allow consistent and ubiquitous provision of services to users. [ITU-T Recommendation Y.2001]</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NGN technical means:</w:t>
      </w:r>
      <w:r w:rsidRPr="0093019F">
        <w:rPr>
          <w:rFonts w:asciiTheme="majorBidi" w:hAnsiTheme="majorBidi" w:cstheme="majorBidi"/>
          <w:color w:val="000000"/>
        </w:rPr>
        <w:t xml:space="preserve"> the NGN basic equipment which serves as a basis for building new generation network solutions, including for application in public telecommunication networks [ITU-T Q.3900]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NGN monitoring systems (NMS):</w:t>
      </w:r>
      <w:r w:rsidRPr="0093019F">
        <w:rPr>
          <w:rFonts w:asciiTheme="majorBidi" w:hAnsiTheme="majorBidi" w:cstheme="majorBidi"/>
          <w:color w:val="000000"/>
        </w:rPr>
        <w:t xml:space="preserve"> a system which is responsible for online (under payload) measurement values of the NGN protocols carried out on the different NGN strata [ITU-T Q.3902]</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peer</w:t>
      </w:r>
      <w:proofErr w:type="gramEnd"/>
      <w:r w:rsidRPr="0093019F">
        <w:rPr>
          <w:rFonts w:asciiTheme="majorBidi" w:hAnsiTheme="majorBidi" w:cstheme="majorBidi"/>
          <w:b/>
          <w:bCs/>
          <w:color w:val="000000"/>
          <w:lang w:val="en-GB"/>
        </w:rPr>
        <w:t xml:space="preserve"> evaluation</w:t>
      </w:r>
      <w:r w:rsidRPr="0093019F">
        <w:rPr>
          <w:rFonts w:asciiTheme="majorBidi" w:hAnsiTheme="majorBidi" w:cstheme="majorBidi"/>
          <w:color w:val="000000"/>
          <w:lang w:val="en-GB"/>
        </w:rPr>
        <w:t>: a process for the assessment of a national accreditation body by other national accreditation bodies.</w:t>
      </w:r>
      <w:r w:rsidRPr="0093019F">
        <w:rPr>
          <w:rStyle w:val="apple-converted-space"/>
          <w:rFonts w:asciiTheme="majorBidi" w:hAnsiTheme="majorBidi" w:cstheme="majorBidi"/>
          <w:color w:val="000000"/>
        </w:rPr>
        <w:t> </w:t>
      </w:r>
      <w:r w:rsidRPr="0093019F">
        <w:rPr>
          <w:rFonts w:asciiTheme="majorBidi" w:hAnsiTheme="majorBidi" w:cstheme="majorBidi"/>
          <w:color w:val="000000"/>
        </w:rPr>
        <w:t>[EU 765/2008/EC]</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protocol implementation conformance statement (PICS):</w:t>
      </w:r>
      <w:r w:rsidRPr="0093019F">
        <w:rPr>
          <w:rFonts w:asciiTheme="majorBidi" w:hAnsiTheme="majorBidi" w:cstheme="majorBidi"/>
          <w:color w:val="000000"/>
        </w:rPr>
        <w:t xml:space="preserve"> an Implmentation Conformance Statement (ICS) for an implementation or system claimed to conform to a given protocol specification [ITU-T X.296]</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pluri-lateral agreement</w:t>
      </w:r>
      <w:r w:rsidRPr="0093019F">
        <w:rPr>
          <w:rFonts w:asciiTheme="majorBidi" w:hAnsiTheme="majorBidi" w:cstheme="majorBidi"/>
          <w:color w:val="000000"/>
        </w:rPr>
        <w:t>: an agreement which only some members have signed. [WTO]</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lastRenderedPageBreak/>
        <w:t>product certification</w:t>
      </w:r>
      <w:r w:rsidRPr="0093019F">
        <w:rPr>
          <w:rFonts w:asciiTheme="majorBidi" w:hAnsiTheme="majorBidi" w:cstheme="majorBidi"/>
          <w:color w:val="000000"/>
        </w:rPr>
        <w:t>: an activity by which a third party gives written assurance that a product (including process and service) fulfils specified requirements. [ISO Guide 67]</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review</w:t>
      </w:r>
      <w:proofErr w:type="gramEnd"/>
      <w:r w:rsidRPr="0093019F">
        <w:rPr>
          <w:rFonts w:asciiTheme="majorBidi" w:hAnsiTheme="majorBidi" w:cstheme="majorBidi"/>
          <w:color w:val="000000"/>
          <w:lang w:val="en-GB"/>
        </w:rPr>
        <w:t>: verification of the suitability, adequacy and effectiveness of selection and determination activities, and the results of these activities, with regard to fulfilment of specified requirements by an object of conformity assessment.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recognition</w:t>
      </w:r>
      <w:proofErr w:type="gramEnd"/>
      <w:r w:rsidRPr="0093019F">
        <w:rPr>
          <w:rStyle w:val="apple-converted-space"/>
          <w:rFonts w:asciiTheme="majorBidi" w:hAnsiTheme="majorBidi" w:cstheme="majorBidi"/>
          <w:color w:val="000000"/>
          <w:lang w:val="en-GB"/>
        </w:rPr>
        <w:t> </w:t>
      </w:r>
      <w:r w:rsidRPr="0093019F">
        <w:rPr>
          <w:rFonts w:asciiTheme="majorBidi" w:hAnsiTheme="majorBidi" w:cstheme="majorBidi"/>
          <w:color w:val="000000"/>
          <w:lang w:val="en-GB"/>
        </w:rPr>
        <w:t>or</w:t>
      </w:r>
      <w:r w:rsidRPr="0093019F">
        <w:rPr>
          <w:rStyle w:val="apple-converted-space"/>
          <w:rFonts w:asciiTheme="majorBidi" w:hAnsiTheme="majorBidi" w:cstheme="majorBidi"/>
          <w:color w:val="000000"/>
          <w:lang w:val="en-GB"/>
        </w:rPr>
        <w:t> </w:t>
      </w:r>
      <w:r w:rsidRPr="0093019F">
        <w:rPr>
          <w:rFonts w:asciiTheme="majorBidi" w:hAnsiTheme="majorBidi" w:cstheme="majorBidi"/>
          <w:b/>
          <w:bCs/>
          <w:color w:val="000000"/>
          <w:lang w:val="en-GB"/>
        </w:rPr>
        <w:t>recognition of conformity assessment results</w:t>
      </w:r>
      <w:r w:rsidRPr="0093019F">
        <w:rPr>
          <w:rFonts w:asciiTheme="majorBidi" w:hAnsiTheme="majorBidi" w:cstheme="majorBidi"/>
          <w:color w:val="000000"/>
          <w:lang w:val="en-GB"/>
        </w:rPr>
        <w:t>: acknowledgement of the validity of a conformity assessment result provided by another person or body.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scope</w:t>
      </w:r>
      <w:proofErr w:type="gramEnd"/>
      <w:r w:rsidRPr="0093019F">
        <w:rPr>
          <w:rFonts w:asciiTheme="majorBidi" w:hAnsiTheme="majorBidi" w:cstheme="majorBidi"/>
          <w:b/>
          <w:bCs/>
          <w:color w:val="000000"/>
          <w:lang w:val="en-GB"/>
        </w:rPr>
        <w:t xml:space="preserve"> of attestation</w:t>
      </w:r>
      <w:r w:rsidRPr="0093019F">
        <w:rPr>
          <w:rFonts w:asciiTheme="majorBidi" w:hAnsiTheme="majorBidi" w:cstheme="majorBidi"/>
          <w:color w:val="000000"/>
          <w:lang w:val="en-GB"/>
        </w:rPr>
        <w:t>: range or characteristics of objects of conformity assessment covered by attestation.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second-party</w:t>
      </w:r>
      <w:proofErr w:type="gramEnd"/>
      <w:r w:rsidRPr="0093019F">
        <w:rPr>
          <w:rFonts w:asciiTheme="majorBidi" w:hAnsiTheme="majorBidi" w:cstheme="majorBidi"/>
          <w:b/>
          <w:bCs/>
          <w:color w:val="000000"/>
          <w:lang w:val="en-GB"/>
        </w:rPr>
        <w:t xml:space="preserve"> conformity assessment</w:t>
      </w:r>
      <w:r w:rsidRPr="0093019F">
        <w:rPr>
          <w:rFonts w:asciiTheme="majorBidi" w:hAnsiTheme="majorBidi" w:cstheme="majorBidi"/>
          <w:color w:val="000000"/>
          <w:lang w:val="en-GB"/>
        </w:rPr>
        <w:t>: activity conformity assessment activity that is performed by a person or organization that has a user interest in the object.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specified</w:t>
      </w:r>
      <w:proofErr w:type="gramEnd"/>
      <w:r w:rsidRPr="0093019F">
        <w:rPr>
          <w:rFonts w:asciiTheme="majorBidi" w:hAnsiTheme="majorBidi" w:cstheme="majorBidi"/>
          <w:b/>
          <w:bCs/>
          <w:color w:val="000000"/>
          <w:lang w:val="en-GB"/>
        </w:rPr>
        <w:t xml:space="preserve"> requirement</w:t>
      </w:r>
      <w:r w:rsidRPr="0093019F">
        <w:rPr>
          <w:rFonts w:asciiTheme="majorBidi" w:hAnsiTheme="majorBidi" w:cstheme="majorBidi"/>
          <w:color w:val="000000"/>
          <w:lang w:val="en-GB"/>
        </w:rPr>
        <w:t>: need or expectation that is stated.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lang w:val="en-GB"/>
        </w:rPr>
        <w:t>standard</w:t>
      </w:r>
      <w:r w:rsidRPr="0093019F">
        <w:rPr>
          <w:rFonts w:asciiTheme="majorBidi" w:hAnsiTheme="majorBidi" w:cstheme="majorBidi"/>
          <w:color w:val="000000"/>
          <w:lang w:val="en-GB"/>
        </w:rPr>
        <w:t>: document approved by a recognized body, that provides, for common and repeated use, rules, guidelines or characteristics for products or related processes and production methods, with which compliance is not mandatory.  It may also include or deal exclusively with terminology, symbols, packaging, marking or labelling requirements as they apply to a product, process or production method. [WTO TBT Agreement]</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supplier’s</w:t>
      </w:r>
      <w:proofErr w:type="gramEnd"/>
      <w:r w:rsidRPr="0093019F">
        <w:rPr>
          <w:rFonts w:asciiTheme="majorBidi" w:hAnsiTheme="majorBidi" w:cstheme="majorBidi"/>
          <w:b/>
          <w:bCs/>
          <w:color w:val="000000"/>
          <w:lang w:val="en-GB"/>
        </w:rPr>
        <w:t xml:space="preserve"> declaration of conformity</w:t>
      </w:r>
      <w:r w:rsidRPr="0093019F">
        <w:rPr>
          <w:rFonts w:asciiTheme="majorBidi" w:hAnsiTheme="majorBidi" w:cstheme="majorBidi"/>
          <w:color w:val="000000"/>
          <w:lang w:val="en-GB"/>
        </w:rPr>
        <w:t>: is a “declaration” as defined in ISO/IEC 17000, i.e. first-party attestation. [ISO 17050] (Note. To avoid any confusion with attestation by certification bodies, the term “self-certification” is deprecated and should not be used.)</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lang w:val="en-GB"/>
        </w:rPr>
      </w:pPr>
      <w:proofErr w:type="gramStart"/>
      <w:r w:rsidRPr="0093019F">
        <w:rPr>
          <w:rFonts w:asciiTheme="majorBidi" w:hAnsiTheme="majorBidi" w:cstheme="majorBidi"/>
          <w:b/>
          <w:bCs/>
          <w:color w:val="000000"/>
          <w:lang w:val="en-GB"/>
        </w:rPr>
        <w:t>surveillance</w:t>
      </w:r>
      <w:proofErr w:type="gramEnd"/>
      <w:r w:rsidRPr="0093019F">
        <w:rPr>
          <w:rFonts w:asciiTheme="majorBidi" w:hAnsiTheme="majorBidi" w:cstheme="majorBidi"/>
          <w:color w:val="000000"/>
          <w:lang w:val="en-GB"/>
        </w:rPr>
        <w:t>: systematic iteration of conformity assessment activities as a basis for maintaining the validity of the statement of conformity.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lang w:val="en-GB"/>
        </w:rPr>
      </w:pPr>
      <w:r w:rsidRPr="0093019F">
        <w:rPr>
          <w:rFonts w:asciiTheme="majorBidi" w:hAnsiTheme="majorBidi" w:cstheme="majorBidi"/>
          <w:b/>
          <w:bCs/>
          <w:color w:val="000000"/>
        </w:rPr>
        <w:t xml:space="preserve">system under test (SUT): </w:t>
      </w:r>
      <w:r w:rsidRPr="0093019F">
        <w:rPr>
          <w:rFonts w:asciiTheme="majorBidi" w:hAnsiTheme="majorBidi" w:cstheme="majorBidi"/>
        </w:rPr>
        <w:t>t</w:t>
      </w:r>
      <w:r w:rsidRPr="0093019F">
        <w:rPr>
          <w:rFonts w:asciiTheme="majorBidi" w:hAnsiTheme="majorBidi" w:cstheme="majorBidi"/>
          <w:color w:val="000000"/>
          <w:lang w:val="en-GB"/>
        </w:rPr>
        <w:t>he real open system in which the IUT resides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technical</w:t>
      </w:r>
      <w:proofErr w:type="gramEnd"/>
      <w:r w:rsidRPr="0093019F">
        <w:rPr>
          <w:rFonts w:asciiTheme="majorBidi" w:hAnsiTheme="majorBidi" w:cstheme="majorBidi"/>
          <w:b/>
          <w:bCs/>
          <w:color w:val="000000"/>
          <w:lang w:val="en-GB"/>
        </w:rPr>
        <w:t xml:space="preserve"> regulation</w:t>
      </w:r>
      <w:r w:rsidRPr="0093019F">
        <w:rPr>
          <w:rFonts w:asciiTheme="majorBidi" w:hAnsiTheme="majorBidi" w:cstheme="majorBidi"/>
          <w:color w:val="000000"/>
          <w:lang w:val="en-GB"/>
        </w:rPr>
        <w:t>: document which lays down product characteristics or their related processes and production methods, including the applicable administrative provisions, with which compliance is mandatory.  It may also include or deal exclusively with terminology, symbols, packaging, marking or labelling requirements as they apply to a product, process or production method. [WTO TBT Agreement]</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test laboratory</w:t>
      </w:r>
      <w:r w:rsidRPr="0093019F">
        <w:rPr>
          <w:rFonts w:asciiTheme="majorBidi" w:hAnsiTheme="majorBidi" w:cstheme="majorBidi"/>
          <w:color w:val="000000"/>
        </w:rPr>
        <w:t>: an organization that carries out conformance testing. This can be a third party, a user organization, a telecommunications administration or recognized private operating agency, or an identifiable part of a supplier organization.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test purpose (TP):</w:t>
      </w:r>
      <w:r w:rsidRPr="0093019F">
        <w:rPr>
          <w:rFonts w:asciiTheme="majorBidi" w:hAnsiTheme="majorBidi" w:cstheme="majorBidi"/>
        </w:rPr>
        <w:t xml:space="preserve"> </w:t>
      </w:r>
      <w:r w:rsidRPr="0093019F">
        <w:rPr>
          <w:rFonts w:asciiTheme="majorBidi" w:hAnsiTheme="majorBidi" w:cstheme="majorBidi"/>
          <w:color w:val="000000"/>
        </w:rPr>
        <w:t>a prose description of a well defined objective of testing, focusing on a single conformance requirement or a set of related conformance requirements as specified in the appropriate OSI specification (e.g. verifying the support of a specific value of a specific parameter)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test suite</w:t>
      </w:r>
      <w:r w:rsidRPr="0093019F">
        <w:rPr>
          <w:rFonts w:asciiTheme="majorBidi" w:hAnsiTheme="majorBidi" w:cstheme="majorBidi"/>
          <w:color w:val="000000"/>
        </w:rPr>
        <w:t>: A complete set of test cases, possibly combined into nested test groups, that is needed to perform dynamic conformance testing for one or more OSI protocols. [ITU-T X.290]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testing</w:t>
      </w:r>
      <w:proofErr w:type="gramEnd"/>
      <w:r w:rsidRPr="0093019F">
        <w:rPr>
          <w:rFonts w:asciiTheme="majorBidi" w:hAnsiTheme="majorBidi" w:cstheme="majorBidi"/>
          <w:color w:val="000000"/>
          <w:lang w:val="en-GB"/>
        </w:rPr>
        <w:t>: determination of one or more characteristics of an object of conformity assessment, according to a procedure.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third-party</w:t>
      </w:r>
      <w:proofErr w:type="gramEnd"/>
      <w:r w:rsidRPr="0093019F">
        <w:rPr>
          <w:rFonts w:asciiTheme="majorBidi" w:hAnsiTheme="majorBidi" w:cstheme="majorBidi"/>
          <w:b/>
          <w:bCs/>
          <w:color w:val="000000"/>
          <w:lang w:val="en-GB"/>
        </w:rPr>
        <w:t xml:space="preserve"> conformity assessment activity</w:t>
      </w:r>
      <w:r w:rsidRPr="0093019F">
        <w:rPr>
          <w:rFonts w:asciiTheme="majorBidi" w:hAnsiTheme="majorBidi" w:cstheme="majorBidi"/>
          <w:color w:val="000000"/>
          <w:lang w:val="en-GB"/>
        </w:rPr>
        <w:t>: conformity assessment activity that is performed by a person or body that is independent of the person or organization that provides the object, and of user interests in that object.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proofErr w:type="gramStart"/>
      <w:r w:rsidRPr="0093019F">
        <w:rPr>
          <w:rFonts w:asciiTheme="majorBidi" w:hAnsiTheme="majorBidi" w:cstheme="majorBidi"/>
          <w:b/>
          <w:bCs/>
          <w:color w:val="000000"/>
          <w:lang w:val="en-GB"/>
        </w:rPr>
        <w:t>type</w:t>
      </w:r>
      <w:proofErr w:type="gramEnd"/>
      <w:r w:rsidRPr="0093019F">
        <w:rPr>
          <w:rFonts w:asciiTheme="majorBidi" w:hAnsiTheme="majorBidi" w:cstheme="majorBidi"/>
          <w:b/>
          <w:bCs/>
          <w:color w:val="000000"/>
          <w:lang w:val="en-GB"/>
        </w:rPr>
        <w:t xml:space="preserve"> approval</w:t>
      </w:r>
      <w:r w:rsidRPr="0093019F">
        <w:rPr>
          <w:rFonts w:asciiTheme="majorBidi" w:hAnsiTheme="majorBidi" w:cstheme="majorBidi"/>
          <w:color w:val="000000"/>
          <w:lang w:val="en-GB"/>
        </w:rPr>
        <w:t>: see approval.</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lang w:val="en-GB"/>
        </w:rPr>
      </w:pPr>
      <w:proofErr w:type="gramStart"/>
      <w:r w:rsidRPr="0093019F">
        <w:rPr>
          <w:rFonts w:asciiTheme="majorBidi" w:hAnsiTheme="majorBidi" w:cstheme="majorBidi"/>
          <w:b/>
          <w:bCs/>
          <w:color w:val="000000"/>
          <w:lang w:val="en-GB"/>
        </w:rPr>
        <w:lastRenderedPageBreak/>
        <w:t>unilateral</w:t>
      </w:r>
      <w:proofErr w:type="gramEnd"/>
      <w:r w:rsidRPr="0093019F">
        <w:rPr>
          <w:rFonts w:asciiTheme="majorBidi" w:hAnsiTheme="majorBidi" w:cstheme="majorBidi"/>
          <w:b/>
          <w:bCs/>
          <w:color w:val="000000"/>
          <w:lang w:val="en-GB"/>
        </w:rPr>
        <w:t xml:space="preserve"> arrangement</w:t>
      </w:r>
      <w:r w:rsidRPr="0093019F">
        <w:rPr>
          <w:rFonts w:asciiTheme="majorBidi" w:hAnsiTheme="majorBidi" w:cstheme="majorBidi"/>
          <w:color w:val="000000"/>
          <w:lang w:val="en-GB"/>
        </w:rPr>
        <w:t>: arrangement whereby one party recognizes or accepts the conformity assessment results of another party. [ISO 17000]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lang w:val="en-GB"/>
        </w:rPr>
      </w:pPr>
      <w:r w:rsidRPr="0093019F">
        <w:rPr>
          <w:rFonts w:asciiTheme="majorBidi" w:hAnsiTheme="majorBidi" w:cstheme="majorBidi"/>
          <w:b/>
          <w:bCs/>
          <w:color w:val="000000"/>
        </w:rPr>
        <w:t>Quality of Service (QoS):</w:t>
      </w:r>
      <w:r w:rsidRPr="0093019F">
        <w:rPr>
          <w:rFonts w:asciiTheme="majorBidi" w:hAnsiTheme="majorBidi" w:cstheme="majorBidi"/>
          <w:color w:val="000000"/>
          <w:lang w:val="en-GB"/>
        </w:rPr>
        <w:t xml:space="preserve"> totality of characteristics of a telecommunications service that bear on its ability to satisfy stated and implied needs of the user of the service [ITU-T E.800]</w:t>
      </w:r>
    </w:p>
    <w:p w:rsidR="0093019F" w:rsidRPr="0093019F" w:rsidRDefault="0093019F" w:rsidP="0093019F">
      <w:pPr>
        <w:pStyle w:val="ecxmsonormal"/>
        <w:shd w:val="clear" w:color="auto" w:fill="FFFFFF"/>
        <w:spacing w:before="120" w:beforeAutospacing="0" w:after="0" w:afterAutospacing="0"/>
        <w:rPr>
          <w:rFonts w:asciiTheme="majorBidi" w:hAnsiTheme="majorBidi" w:cstheme="majorBidi"/>
          <w:color w:val="000000"/>
        </w:rPr>
      </w:pPr>
      <w:r w:rsidRPr="0093019F">
        <w:rPr>
          <w:rFonts w:asciiTheme="majorBidi" w:hAnsiTheme="majorBidi" w:cstheme="majorBidi"/>
          <w:b/>
          <w:bCs/>
          <w:color w:val="000000"/>
        </w:rPr>
        <w:t>QoS experienced/perceived by customer/user (QoE):</w:t>
      </w:r>
      <w:r w:rsidRPr="0093019F">
        <w:rPr>
          <w:rFonts w:asciiTheme="majorBidi" w:hAnsiTheme="majorBidi" w:cstheme="majorBidi"/>
          <w:color w:val="000000"/>
        </w:rPr>
        <w:t xml:space="preserve"> a statement expressing the level of quality that customers/users believe they have experienced [ITU-T E.800]</w:t>
      </w:r>
    </w:p>
    <w:p w:rsidR="007B3014" w:rsidRPr="0093019F" w:rsidRDefault="007B3014" w:rsidP="007B3014">
      <w:pPr>
        <w:rPr>
          <w:rFonts w:asciiTheme="majorBidi" w:hAnsiTheme="majorBidi" w:cstheme="majorBidi"/>
          <w:szCs w:val="24"/>
          <w:lang w:val="pt-BR"/>
        </w:rPr>
      </w:pPr>
    </w:p>
    <w:p w:rsidR="007B3014" w:rsidRPr="0093019F" w:rsidRDefault="007B3014" w:rsidP="007B3014">
      <w:pPr>
        <w:jc w:val="center"/>
        <w:rPr>
          <w:rFonts w:asciiTheme="majorBidi" w:hAnsiTheme="majorBidi" w:cstheme="majorBidi"/>
          <w:szCs w:val="24"/>
        </w:rPr>
      </w:pPr>
      <w:r w:rsidRPr="0093019F">
        <w:rPr>
          <w:rFonts w:asciiTheme="majorBidi" w:hAnsiTheme="majorBidi" w:cstheme="majorBidi"/>
          <w:szCs w:val="24"/>
        </w:rPr>
        <w:t>_________________</w:t>
      </w:r>
    </w:p>
    <w:sectPr w:rsidR="007B3014" w:rsidRPr="0093019F" w:rsidSect="00430513">
      <w:head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142" w:rsidRDefault="00C55142">
      <w:r>
        <w:separator/>
      </w:r>
    </w:p>
  </w:endnote>
  <w:endnote w:type="continuationSeparator" w:id="0">
    <w:p w:rsidR="00C55142" w:rsidRDefault="00C5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80" w:type="dxa"/>
      <w:jc w:val="center"/>
      <w:tblLayout w:type="fixed"/>
      <w:tblCellMar>
        <w:left w:w="57" w:type="dxa"/>
        <w:right w:w="57" w:type="dxa"/>
      </w:tblCellMar>
      <w:tblLook w:val="0000" w:firstRow="0" w:lastRow="0" w:firstColumn="0" w:lastColumn="0" w:noHBand="0" w:noVBand="0"/>
    </w:tblPr>
    <w:tblGrid>
      <w:gridCol w:w="57"/>
      <w:gridCol w:w="1560"/>
      <w:gridCol w:w="4394"/>
      <w:gridCol w:w="3912"/>
      <w:gridCol w:w="57"/>
    </w:tblGrid>
    <w:tr w:rsidR="00430513" w:rsidRPr="00C22C4B" w:rsidTr="00C87EE1">
      <w:trPr>
        <w:gridAfter w:val="1"/>
        <w:wAfter w:w="57" w:type="dxa"/>
        <w:cantSplit/>
        <w:trHeight w:val="204"/>
        <w:jc w:val="center"/>
      </w:trPr>
      <w:tc>
        <w:tcPr>
          <w:tcW w:w="1617" w:type="dxa"/>
          <w:gridSpan w:val="2"/>
          <w:tcBorders>
            <w:top w:val="single" w:sz="12" w:space="0" w:color="auto"/>
          </w:tcBorders>
        </w:tcPr>
        <w:p w:rsidR="00430513" w:rsidRPr="0091151B" w:rsidRDefault="00430513" w:rsidP="00430513">
          <w:pPr>
            <w:rPr>
              <w:b/>
              <w:bCs/>
              <w:sz w:val="22"/>
            </w:rPr>
          </w:pPr>
          <w:r w:rsidRPr="0091151B">
            <w:rPr>
              <w:b/>
              <w:bCs/>
              <w:sz w:val="22"/>
            </w:rPr>
            <w:t>Contact:</w:t>
          </w:r>
        </w:p>
      </w:tc>
      <w:tc>
        <w:tcPr>
          <w:tcW w:w="4394" w:type="dxa"/>
          <w:tcBorders>
            <w:top w:val="single" w:sz="12" w:space="0" w:color="auto"/>
          </w:tcBorders>
        </w:tcPr>
        <w:p w:rsidR="00430513" w:rsidRPr="00C22C4B" w:rsidRDefault="00430513" w:rsidP="00430513">
          <w:pPr>
            <w:rPr>
              <w:sz w:val="22"/>
            </w:rPr>
          </w:pPr>
          <w:r w:rsidRPr="00526F98">
            <w:rPr>
              <w:sz w:val="22"/>
            </w:rPr>
            <w:t xml:space="preserve">Isaac </w:t>
          </w:r>
          <w:proofErr w:type="spellStart"/>
          <w:r w:rsidRPr="00526F98">
            <w:rPr>
              <w:sz w:val="22"/>
            </w:rPr>
            <w:t>Boateng</w:t>
          </w:r>
          <w:proofErr w:type="spellEnd"/>
          <w:r>
            <w:rPr>
              <w:sz w:val="22"/>
            </w:rPr>
            <w:br/>
            <w:t>Ghana</w:t>
          </w:r>
        </w:p>
      </w:tc>
      <w:tc>
        <w:tcPr>
          <w:tcW w:w="3912" w:type="dxa"/>
          <w:tcBorders>
            <w:top w:val="single" w:sz="12" w:space="0" w:color="auto"/>
          </w:tcBorders>
        </w:tcPr>
        <w:p w:rsidR="00430513" w:rsidRPr="00526F98" w:rsidRDefault="00430513" w:rsidP="00430513">
          <w:pPr>
            <w:spacing w:before="0"/>
            <w:rPr>
              <w:sz w:val="22"/>
            </w:rPr>
          </w:pPr>
          <w:r w:rsidRPr="00526F98">
            <w:rPr>
              <w:sz w:val="22"/>
            </w:rPr>
            <w:t>Tel: + 233 302 763434/776621</w:t>
          </w:r>
        </w:p>
        <w:p w:rsidR="00430513" w:rsidRPr="00526F98" w:rsidRDefault="00430513" w:rsidP="00430513">
          <w:pPr>
            <w:spacing w:before="0"/>
            <w:rPr>
              <w:sz w:val="22"/>
            </w:rPr>
          </w:pPr>
          <w:r w:rsidRPr="00526F98">
            <w:rPr>
              <w:sz w:val="22"/>
            </w:rPr>
            <w:t>Fax: +233 302 763449</w:t>
          </w:r>
        </w:p>
        <w:p w:rsidR="00430513" w:rsidRPr="00C22C4B" w:rsidRDefault="00430513" w:rsidP="00430513">
          <w:pPr>
            <w:spacing w:before="0"/>
            <w:rPr>
              <w:sz w:val="22"/>
            </w:rPr>
          </w:pPr>
          <w:r w:rsidRPr="00526F98">
            <w:rPr>
              <w:sz w:val="22"/>
            </w:rPr>
            <w:t xml:space="preserve">E-mail: </w:t>
          </w:r>
          <w:hyperlink r:id="rId1" w:history="1">
            <w:r w:rsidRPr="00447E2B">
              <w:rPr>
                <w:rStyle w:val="Hyperlink"/>
                <w:sz w:val="22"/>
              </w:rPr>
              <w:t>isaac.boateng@nca.org.gh</w:t>
            </w:r>
          </w:hyperlink>
        </w:p>
      </w:tc>
    </w:tr>
    <w:tr w:rsidR="00430513" w:rsidRPr="0037415F" w:rsidTr="00C87EE1">
      <w:tblPrEx>
        <w:tblCellMar>
          <w:left w:w="108" w:type="dxa"/>
          <w:right w:w="108" w:type="dxa"/>
        </w:tblCellMar>
      </w:tblPrEx>
      <w:trPr>
        <w:gridBefore w:val="1"/>
        <w:wBefore w:w="57"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430513" w:rsidRPr="0037415F" w:rsidRDefault="00430513" w:rsidP="00430513">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30513" w:rsidRPr="00430513" w:rsidRDefault="00430513" w:rsidP="004305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142" w:rsidRDefault="00C55142">
      <w:r>
        <w:separator/>
      </w:r>
    </w:p>
  </w:footnote>
  <w:footnote w:type="continuationSeparator" w:id="0">
    <w:p w:rsidR="00C55142" w:rsidRDefault="00C5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E35" w:rsidRPr="00430513" w:rsidRDefault="00430513" w:rsidP="00430513">
    <w:pPr>
      <w:pStyle w:val="Header"/>
    </w:pPr>
    <w:r w:rsidRPr="00430513">
      <w:t xml:space="preserve">- </w:t>
    </w:r>
    <w:r w:rsidRPr="00430513">
      <w:fldChar w:fldCharType="begin"/>
    </w:r>
    <w:r w:rsidRPr="00430513">
      <w:instrText xml:space="preserve"> PAGE  \* MERGEFORMAT </w:instrText>
    </w:r>
    <w:r w:rsidRPr="00430513">
      <w:fldChar w:fldCharType="separate"/>
    </w:r>
    <w:r w:rsidR="00311A92">
      <w:rPr>
        <w:noProof/>
      </w:rPr>
      <w:t>8</w:t>
    </w:r>
    <w:r w:rsidRPr="00430513">
      <w:fldChar w:fldCharType="end"/>
    </w:r>
    <w:r w:rsidRPr="00430513">
      <w:t xml:space="preserve"> -</w:t>
    </w:r>
  </w:p>
  <w:p w:rsidR="00430513" w:rsidRPr="00430513" w:rsidRDefault="00430513" w:rsidP="00430513">
    <w:pPr>
      <w:pStyle w:val="Header"/>
      <w:spacing w:after="240"/>
    </w:pPr>
    <w:r w:rsidRPr="00430513">
      <w:fldChar w:fldCharType="begin"/>
    </w:r>
    <w:r w:rsidRPr="00430513">
      <w:instrText xml:space="preserve"> STYLEREF  Docnumber  </w:instrText>
    </w:r>
    <w:r w:rsidRPr="00430513">
      <w:fldChar w:fldCharType="separate"/>
    </w:r>
    <w:r w:rsidR="00311A92">
      <w:rPr>
        <w:noProof/>
      </w:rPr>
      <w:t>TD 890 (GEN/11)</w:t>
    </w:r>
    <w:r w:rsidRPr="0043051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8828A3"/>
    <w:multiLevelType w:val="multilevel"/>
    <w:tmpl w:val="9DCE829C"/>
    <w:lvl w:ilvl="0">
      <w:start w:val="1"/>
      <w:numFmt w:val="decimal"/>
      <w:lvlText w:val="%1"/>
      <w:lvlJc w:val="left"/>
      <w:pPr>
        <w:ind w:left="1155" w:hanging="795"/>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11AE8"/>
    <w:rsid w:val="00022127"/>
    <w:rsid w:val="00053703"/>
    <w:rsid w:val="00072A4E"/>
    <w:rsid w:val="000850A6"/>
    <w:rsid w:val="000F35B3"/>
    <w:rsid w:val="001421D9"/>
    <w:rsid w:val="001425E0"/>
    <w:rsid w:val="00150556"/>
    <w:rsid w:val="00157A45"/>
    <w:rsid w:val="00161CAA"/>
    <w:rsid w:val="00190304"/>
    <w:rsid w:val="00223021"/>
    <w:rsid w:val="002516CB"/>
    <w:rsid w:val="0025424F"/>
    <w:rsid w:val="00280971"/>
    <w:rsid w:val="002A1F72"/>
    <w:rsid w:val="002A38CF"/>
    <w:rsid w:val="002A3AFB"/>
    <w:rsid w:val="002A682C"/>
    <w:rsid w:val="002C38DB"/>
    <w:rsid w:val="002D68F7"/>
    <w:rsid w:val="002D6EA9"/>
    <w:rsid w:val="002E1F33"/>
    <w:rsid w:val="00311A92"/>
    <w:rsid w:val="00323761"/>
    <w:rsid w:val="003415FD"/>
    <w:rsid w:val="00372998"/>
    <w:rsid w:val="0037415F"/>
    <w:rsid w:val="003757AE"/>
    <w:rsid w:val="00381155"/>
    <w:rsid w:val="003862F8"/>
    <w:rsid w:val="003B0FFB"/>
    <w:rsid w:val="003B1361"/>
    <w:rsid w:val="003B2EFE"/>
    <w:rsid w:val="00407434"/>
    <w:rsid w:val="00421E2F"/>
    <w:rsid w:val="00430513"/>
    <w:rsid w:val="00434B3D"/>
    <w:rsid w:val="004A46D5"/>
    <w:rsid w:val="004B425C"/>
    <w:rsid w:val="004C2A81"/>
    <w:rsid w:val="004D4D4C"/>
    <w:rsid w:val="004E3F2C"/>
    <w:rsid w:val="0051221D"/>
    <w:rsid w:val="005235D2"/>
    <w:rsid w:val="00533D0E"/>
    <w:rsid w:val="005504FC"/>
    <w:rsid w:val="005645B1"/>
    <w:rsid w:val="00566723"/>
    <w:rsid w:val="0058385C"/>
    <w:rsid w:val="00590A2F"/>
    <w:rsid w:val="005C45DC"/>
    <w:rsid w:val="005D02FE"/>
    <w:rsid w:val="0060422E"/>
    <w:rsid w:val="006131E2"/>
    <w:rsid w:val="006248BE"/>
    <w:rsid w:val="006273A7"/>
    <w:rsid w:val="00631696"/>
    <w:rsid w:val="006544C2"/>
    <w:rsid w:val="00687EF5"/>
    <w:rsid w:val="00691477"/>
    <w:rsid w:val="006B2828"/>
    <w:rsid w:val="006D4504"/>
    <w:rsid w:val="006E57AA"/>
    <w:rsid w:val="007459EA"/>
    <w:rsid w:val="00761C8D"/>
    <w:rsid w:val="00762E0E"/>
    <w:rsid w:val="00790AAA"/>
    <w:rsid w:val="007A6717"/>
    <w:rsid w:val="007B03C2"/>
    <w:rsid w:val="007B3014"/>
    <w:rsid w:val="00821FE2"/>
    <w:rsid w:val="00825243"/>
    <w:rsid w:val="00854697"/>
    <w:rsid w:val="00854CC2"/>
    <w:rsid w:val="00862D8F"/>
    <w:rsid w:val="00872B98"/>
    <w:rsid w:val="00880DA5"/>
    <w:rsid w:val="00883664"/>
    <w:rsid w:val="00883C90"/>
    <w:rsid w:val="008971C7"/>
    <w:rsid w:val="008A1622"/>
    <w:rsid w:val="008B0D5E"/>
    <w:rsid w:val="0090076D"/>
    <w:rsid w:val="00901262"/>
    <w:rsid w:val="00901CBB"/>
    <w:rsid w:val="009230DF"/>
    <w:rsid w:val="0093019F"/>
    <w:rsid w:val="00936B0E"/>
    <w:rsid w:val="009B4026"/>
    <w:rsid w:val="009D0F22"/>
    <w:rsid w:val="009E35D2"/>
    <w:rsid w:val="009F50B3"/>
    <w:rsid w:val="00A07165"/>
    <w:rsid w:val="00A1004A"/>
    <w:rsid w:val="00A157BA"/>
    <w:rsid w:val="00A43A47"/>
    <w:rsid w:val="00A464DB"/>
    <w:rsid w:val="00A52B68"/>
    <w:rsid w:val="00A8602B"/>
    <w:rsid w:val="00AC238A"/>
    <w:rsid w:val="00AD46AF"/>
    <w:rsid w:val="00AF7F72"/>
    <w:rsid w:val="00B0579C"/>
    <w:rsid w:val="00B2106D"/>
    <w:rsid w:val="00B30F67"/>
    <w:rsid w:val="00B3728A"/>
    <w:rsid w:val="00B6593B"/>
    <w:rsid w:val="00B661F9"/>
    <w:rsid w:val="00B7613B"/>
    <w:rsid w:val="00B84D3F"/>
    <w:rsid w:val="00BB138D"/>
    <w:rsid w:val="00BB3B3C"/>
    <w:rsid w:val="00BB53E4"/>
    <w:rsid w:val="00BD1BD2"/>
    <w:rsid w:val="00C55142"/>
    <w:rsid w:val="00C656E2"/>
    <w:rsid w:val="00C806D9"/>
    <w:rsid w:val="00C96830"/>
    <w:rsid w:val="00CA3606"/>
    <w:rsid w:val="00CA55AE"/>
    <w:rsid w:val="00CD56F3"/>
    <w:rsid w:val="00CE2BD7"/>
    <w:rsid w:val="00D22E35"/>
    <w:rsid w:val="00D94A28"/>
    <w:rsid w:val="00DA1601"/>
    <w:rsid w:val="00DA58B9"/>
    <w:rsid w:val="00DC1538"/>
    <w:rsid w:val="00DC7B9A"/>
    <w:rsid w:val="00DF64A7"/>
    <w:rsid w:val="00E63CA2"/>
    <w:rsid w:val="00E65890"/>
    <w:rsid w:val="00E7188C"/>
    <w:rsid w:val="00EA4BDA"/>
    <w:rsid w:val="00EE0AA1"/>
    <w:rsid w:val="00EE7E10"/>
    <w:rsid w:val="00EF3C6C"/>
    <w:rsid w:val="00EF4A14"/>
    <w:rsid w:val="00EF4C30"/>
    <w:rsid w:val="00F15ECA"/>
    <w:rsid w:val="00F204FB"/>
    <w:rsid w:val="00F237FD"/>
    <w:rsid w:val="00F249E7"/>
    <w:rsid w:val="00F318AC"/>
    <w:rsid w:val="00F43396"/>
    <w:rsid w:val="00F513A9"/>
    <w:rsid w:val="00F540C1"/>
    <w:rsid w:val="00F73F6A"/>
    <w:rsid w:val="00F75719"/>
    <w:rsid w:val="00F9779F"/>
    <w:rsid w:val="00FA4E86"/>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F19F8E4-D93C-4F9B-8E9F-067F5522A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01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uiPriority w:val="39"/>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uiPriority w:val="99"/>
    <w:rsid w:val="002A1F72"/>
    <w:rPr>
      <w:color w:val="0000FF"/>
      <w:u w:val="single"/>
    </w:rPr>
  </w:style>
  <w:style w:type="paragraph" w:styleId="TOCHeading">
    <w:name w:val="TOC Heading"/>
    <w:basedOn w:val="Heading1"/>
    <w:next w:val="Normal"/>
    <w:uiPriority w:val="39"/>
    <w:semiHidden/>
    <w:unhideWhenUsed/>
    <w:qFormat/>
    <w:rsid w:val="002A1F72"/>
    <w:pPr>
      <w:keepLines w:val="0"/>
      <w:spacing w:before="240" w:after="60"/>
      <w:ind w:left="0" w:firstLine="0"/>
      <w:outlineLvl w:val="9"/>
    </w:pPr>
    <w:rPr>
      <w:rFonts w:ascii="Cambria" w:eastAsia="SimSun" w:hAnsi="Cambria"/>
      <w:bCs/>
      <w:kern w:val="32"/>
      <w:sz w:val="32"/>
      <w:szCs w:val="32"/>
    </w:rPr>
  </w:style>
  <w:style w:type="paragraph" w:styleId="ListParagraph">
    <w:name w:val="List Paragraph"/>
    <w:basedOn w:val="Normal"/>
    <w:uiPriority w:val="34"/>
    <w:qFormat/>
    <w:rsid w:val="00F75719"/>
    <w:pPr>
      <w:ind w:left="720"/>
      <w:contextualSpacing/>
    </w:pPr>
  </w:style>
  <w:style w:type="character" w:customStyle="1" w:styleId="DocnumberChar">
    <w:name w:val="Docnumber Char"/>
    <w:basedOn w:val="DefaultParagraphFont"/>
    <w:link w:val="Docnumber"/>
    <w:rsid w:val="007B3014"/>
    <w:rPr>
      <w:b/>
      <w:sz w:val="28"/>
      <w:lang w:val="en-GB" w:eastAsia="en-US"/>
    </w:rPr>
  </w:style>
  <w:style w:type="paragraph" w:customStyle="1" w:styleId="H6">
    <w:name w:val="H6"/>
    <w:basedOn w:val="Heading5"/>
    <w:next w:val="Normal"/>
    <w:rsid w:val="0051221D"/>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customStyle="1" w:styleId="NO">
    <w:name w:val="NO"/>
    <w:basedOn w:val="Normal"/>
    <w:link w:val="NOChar"/>
    <w:rsid w:val="0051221D"/>
    <w:pPr>
      <w:keepLines/>
      <w:tabs>
        <w:tab w:val="clear" w:pos="794"/>
        <w:tab w:val="clear" w:pos="1191"/>
        <w:tab w:val="clear" w:pos="1588"/>
        <w:tab w:val="clear" w:pos="1985"/>
      </w:tabs>
      <w:spacing w:before="0" w:after="180"/>
      <w:ind w:left="1135" w:hanging="851"/>
    </w:pPr>
    <w:rPr>
      <w:sz w:val="20"/>
    </w:rPr>
  </w:style>
  <w:style w:type="paragraph" w:customStyle="1" w:styleId="TAL">
    <w:name w:val="TAL"/>
    <w:basedOn w:val="Normal"/>
    <w:rsid w:val="0051221D"/>
    <w:pPr>
      <w:keepNext/>
      <w:keepLines/>
      <w:tabs>
        <w:tab w:val="clear" w:pos="794"/>
        <w:tab w:val="clear" w:pos="1191"/>
        <w:tab w:val="clear" w:pos="1588"/>
        <w:tab w:val="clear" w:pos="1985"/>
      </w:tabs>
      <w:spacing w:before="0"/>
    </w:pPr>
    <w:rPr>
      <w:rFonts w:ascii="Arial" w:hAnsi="Arial"/>
      <w:sz w:val="18"/>
    </w:rPr>
  </w:style>
  <w:style w:type="paragraph" w:customStyle="1" w:styleId="TAH">
    <w:name w:val="TAH"/>
    <w:basedOn w:val="TAC"/>
    <w:rsid w:val="0051221D"/>
    <w:rPr>
      <w:b/>
    </w:rPr>
  </w:style>
  <w:style w:type="paragraph" w:customStyle="1" w:styleId="TAC">
    <w:name w:val="TAC"/>
    <w:basedOn w:val="TAL"/>
    <w:rsid w:val="0051221D"/>
    <w:pPr>
      <w:jc w:val="center"/>
    </w:pPr>
  </w:style>
  <w:style w:type="paragraph" w:customStyle="1" w:styleId="EX">
    <w:name w:val="EX"/>
    <w:basedOn w:val="Normal"/>
    <w:rsid w:val="0051221D"/>
    <w:pPr>
      <w:keepLines/>
      <w:tabs>
        <w:tab w:val="clear" w:pos="794"/>
        <w:tab w:val="clear" w:pos="1191"/>
        <w:tab w:val="clear" w:pos="1588"/>
        <w:tab w:val="clear" w:pos="1985"/>
      </w:tabs>
      <w:spacing w:before="0" w:after="180"/>
      <w:ind w:left="1702" w:hanging="1418"/>
    </w:pPr>
    <w:rPr>
      <w:sz w:val="20"/>
    </w:rPr>
  </w:style>
  <w:style w:type="paragraph" w:customStyle="1" w:styleId="FP">
    <w:name w:val="FP"/>
    <w:basedOn w:val="Normal"/>
    <w:rsid w:val="0051221D"/>
    <w:pPr>
      <w:tabs>
        <w:tab w:val="clear" w:pos="794"/>
        <w:tab w:val="clear" w:pos="1191"/>
        <w:tab w:val="clear" w:pos="1588"/>
        <w:tab w:val="clear" w:pos="1985"/>
      </w:tabs>
      <w:spacing w:before="0"/>
    </w:pPr>
    <w:rPr>
      <w:sz w:val="20"/>
    </w:rPr>
  </w:style>
  <w:style w:type="paragraph" w:customStyle="1" w:styleId="B1">
    <w:name w:val="B1"/>
    <w:basedOn w:val="List"/>
    <w:rsid w:val="0051221D"/>
    <w:pPr>
      <w:tabs>
        <w:tab w:val="clear" w:pos="794"/>
        <w:tab w:val="clear" w:pos="1191"/>
        <w:tab w:val="clear" w:pos="1588"/>
        <w:tab w:val="clear" w:pos="1985"/>
      </w:tabs>
      <w:spacing w:before="0" w:after="180"/>
      <w:ind w:left="738" w:hanging="454"/>
      <w:contextualSpacing w:val="0"/>
    </w:pPr>
    <w:rPr>
      <w:sz w:val="20"/>
    </w:rPr>
  </w:style>
  <w:style w:type="paragraph" w:customStyle="1" w:styleId="TH">
    <w:name w:val="TH"/>
    <w:basedOn w:val="Normal"/>
    <w:next w:val="Normal"/>
    <w:link w:val="THChar"/>
    <w:rsid w:val="0051221D"/>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B2">
    <w:name w:val="B2"/>
    <w:basedOn w:val="List2"/>
    <w:rsid w:val="0051221D"/>
    <w:pPr>
      <w:tabs>
        <w:tab w:val="clear" w:pos="794"/>
        <w:tab w:val="clear" w:pos="1191"/>
        <w:tab w:val="clear" w:pos="1588"/>
        <w:tab w:val="clear" w:pos="1985"/>
      </w:tabs>
      <w:spacing w:before="0" w:after="180"/>
      <w:ind w:left="1191" w:hanging="454"/>
      <w:contextualSpacing w:val="0"/>
    </w:pPr>
    <w:rPr>
      <w:sz w:val="20"/>
    </w:rPr>
  </w:style>
  <w:style w:type="character" w:customStyle="1" w:styleId="NOChar">
    <w:name w:val="NO Char"/>
    <w:link w:val="NO"/>
    <w:locked/>
    <w:rsid w:val="0051221D"/>
    <w:rPr>
      <w:lang w:val="en-GB" w:eastAsia="en-US"/>
    </w:rPr>
  </w:style>
  <w:style w:type="character" w:customStyle="1" w:styleId="THChar">
    <w:name w:val="TH Char"/>
    <w:basedOn w:val="DefaultParagraphFont"/>
    <w:link w:val="TH"/>
    <w:rsid w:val="0051221D"/>
    <w:rPr>
      <w:rFonts w:ascii="Arial" w:hAnsi="Arial"/>
      <w:b/>
      <w:lang w:val="en-GB" w:eastAsia="en-US"/>
    </w:rPr>
  </w:style>
  <w:style w:type="paragraph" w:styleId="List">
    <w:name w:val="List"/>
    <w:basedOn w:val="Normal"/>
    <w:semiHidden/>
    <w:unhideWhenUsed/>
    <w:rsid w:val="0051221D"/>
    <w:pPr>
      <w:ind w:left="283" w:hanging="283"/>
      <w:contextualSpacing/>
    </w:pPr>
  </w:style>
  <w:style w:type="paragraph" w:styleId="List2">
    <w:name w:val="List 2"/>
    <w:basedOn w:val="Normal"/>
    <w:semiHidden/>
    <w:unhideWhenUsed/>
    <w:rsid w:val="0051221D"/>
    <w:pPr>
      <w:ind w:left="566" w:hanging="283"/>
      <w:contextualSpacing/>
    </w:pPr>
  </w:style>
  <w:style w:type="character" w:styleId="FollowedHyperlink">
    <w:name w:val="FollowedHyperlink"/>
    <w:basedOn w:val="DefaultParagraphFont"/>
    <w:semiHidden/>
    <w:unhideWhenUsed/>
    <w:rsid w:val="005C45DC"/>
    <w:rPr>
      <w:color w:val="800080" w:themeColor="followedHyperlink"/>
      <w:u w:val="single"/>
    </w:rPr>
  </w:style>
  <w:style w:type="paragraph" w:customStyle="1" w:styleId="ecxmsonormal">
    <w:name w:val="ecxmsonormal"/>
    <w:basedOn w:val="Normal"/>
    <w:rsid w:val="0093019F"/>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pt-BR" w:eastAsia="pt-BR"/>
    </w:rPr>
  </w:style>
  <w:style w:type="character" w:customStyle="1" w:styleId="apple-converted-space">
    <w:name w:val="apple-converted-space"/>
    <w:rsid w:val="0093019F"/>
  </w:style>
  <w:style w:type="character" w:styleId="CommentReference">
    <w:name w:val="annotation reference"/>
    <w:rsid w:val="0093019F"/>
    <w:rPr>
      <w:sz w:val="16"/>
      <w:szCs w:val="16"/>
    </w:rPr>
  </w:style>
  <w:style w:type="paragraph" w:styleId="CommentText">
    <w:name w:val="annotation text"/>
    <w:basedOn w:val="Normal"/>
    <w:link w:val="CommentTextChar"/>
    <w:rsid w:val="0093019F"/>
    <w:rPr>
      <w:sz w:val="20"/>
    </w:rPr>
  </w:style>
  <w:style w:type="character" w:customStyle="1" w:styleId="CommentTextChar">
    <w:name w:val="Comment Text Char"/>
    <w:basedOn w:val="DefaultParagraphFont"/>
    <w:link w:val="CommentText"/>
    <w:rsid w:val="009301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982623">
      <w:bodyDiv w:val="1"/>
      <w:marLeft w:val="0"/>
      <w:marRight w:val="0"/>
      <w:marTop w:val="0"/>
      <w:marBottom w:val="0"/>
      <w:divBdr>
        <w:top w:val="none" w:sz="0" w:space="0" w:color="auto"/>
        <w:left w:val="none" w:sz="0" w:space="0" w:color="auto"/>
        <w:bottom w:val="none" w:sz="0" w:space="0" w:color="auto"/>
        <w:right w:val="none" w:sz="0" w:space="0" w:color="auto"/>
      </w:divBdr>
    </w:div>
    <w:div w:id="170887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saac.boateng@nca.org.g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40C53-64AB-4C62-A3BF-B5BD6392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2021</Words>
  <Characters>12656</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Output - Proposal for a baseline text for draft Recommendation ITU-T Q.C&amp;I_VOC “Terms and definitions to be used in Conformance and Interoperability issues” (Joint Rapporteur meeting, Vienna, 8-10 September 2015)</vt:lpstr>
      <vt:lpstr/>
    </vt:vector>
  </TitlesOfParts>
  <Manager>ITU-T</Manager>
  <Company>International Telecommunication Union (ITU)</Company>
  <LinksUpToDate>false</LinksUpToDate>
  <CharactersWithSpaces>14648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Proposal for a baseline text for draft Recommendation ITU-T Q.C&amp;I_VOC “Terms and definitions to be used in Conformance and Interoperability issues” (Joint Rapporteur meeting, Vienna, 8-10 September 2015)</dc:title>
  <dc:creator>GhanaAssociate Rapporteur Q11/11</dc:creator>
  <cp:keywords>11/11</cp:keywords>
  <dc:description>TD 890 (GEN/11)  For: Geneva, 2-11 December 2015_x000d_Document date: _x000d_Saved by ITU51010703 at 14:00:46 on 12/10/2015</dc:description>
  <cp:lastModifiedBy>Norton Viard, Emma</cp:lastModifiedBy>
  <cp:revision>2</cp:revision>
  <cp:lastPrinted>2002-08-01T06:30:00Z</cp:lastPrinted>
  <dcterms:created xsi:type="dcterms:W3CDTF">2015-11-12T13:18:00Z</dcterms:created>
  <dcterms:modified xsi:type="dcterms:W3CDTF">2015-11-12T13:18:00Z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890 (GEN/11)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11/11</vt:lpwstr>
  </property>
  <property fmtid="{D5CDD505-2E9C-101B-9397-08002B2CF9AE}" pid="6" name="Docdest">
    <vt:lpwstr>Geneva, 2-11 December 2015</vt:lpwstr>
  </property>
  <property fmtid="{D5CDD505-2E9C-101B-9397-08002B2CF9AE}" pid="7" name="Docauthor">
    <vt:lpwstr>GhanaAssociate Rapporteur Q11/11</vt:lpwstr>
  </property>
</Properties>
</file>