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4659" w:rsidRDefault="00FD4659" w:rsidP="00281845">
      <w:pPr>
        <w:pStyle w:val="Heading1"/>
        <w:tabs>
          <w:tab w:val="left" w:pos="794"/>
          <w:tab w:val="left" w:pos="1191"/>
          <w:tab w:val="left" w:pos="1588"/>
          <w:tab w:val="left" w:pos="1985"/>
        </w:tabs>
        <w:overflowPunct w:val="0"/>
        <w:autoSpaceDE w:val="0"/>
        <w:autoSpaceDN w:val="0"/>
        <w:adjustRightInd w:val="0"/>
        <w:spacing w:before="0" w:line="240" w:lineRule="auto"/>
        <w:ind w:left="792" w:hanging="792"/>
        <w:jc w:val="center"/>
        <w:textAlignment w:val="baseline"/>
        <w:rPr>
          <w:rFonts w:ascii="Times New Roman" w:eastAsia="Times New Roman" w:hAnsi="Times New Roman" w:cs="Times New Roman"/>
          <w:bCs w:val="0"/>
          <w:color w:val="auto"/>
          <w:sz w:val="24"/>
          <w:szCs w:val="24"/>
          <w:lang w:val="en-GB" w:eastAsia="en-US"/>
        </w:rPr>
      </w:pPr>
      <w:r>
        <w:rPr>
          <w:rFonts w:ascii="Times New Roman" w:eastAsia="Times New Roman" w:hAnsi="Times New Roman" w:cs="Times New Roman"/>
          <w:bCs w:val="0"/>
          <w:color w:val="auto"/>
          <w:sz w:val="24"/>
          <w:szCs w:val="24"/>
          <w:lang w:val="en-GB" w:eastAsia="en-US"/>
        </w:rPr>
        <w:t>ANNEX B to TD 475 (GEN/11)</w:t>
      </w:r>
    </w:p>
    <w:p w:rsidR="00281845" w:rsidRDefault="00281845" w:rsidP="00281845">
      <w:pPr>
        <w:pStyle w:val="Heading1"/>
        <w:tabs>
          <w:tab w:val="left" w:pos="794"/>
          <w:tab w:val="left" w:pos="1191"/>
          <w:tab w:val="left" w:pos="1588"/>
          <w:tab w:val="left" w:pos="1985"/>
        </w:tabs>
        <w:overflowPunct w:val="0"/>
        <w:autoSpaceDE w:val="0"/>
        <w:autoSpaceDN w:val="0"/>
        <w:adjustRightInd w:val="0"/>
        <w:spacing w:before="0" w:line="240" w:lineRule="auto"/>
        <w:ind w:left="792" w:hanging="792"/>
        <w:jc w:val="center"/>
        <w:textAlignment w:val="baseline"/>
        <w:rPr>
          <w:rFonts w:ascii="Times New Roman" w:eastAsia="Times New Roman" w:hAnsi="Times New Roman" w:cs="Times New Roman"/>
          <w:bCs w:val="0"/>
          <w:color w:val="auto"/>
          <w:sz w:val="24"/>
          <w:szCs w:val="24"/>
          <w:lang w:val="en-GB" w:eastAsia="en-US"/>
        </w:rPr>
      </w:pPr>
      <w:bookmarkStart w:id="0" w:name="_GoBack"/>
      <w:bookmarkEnd w:id="0"/>
      <w:r>
        <w:rPr>
          <w:rFonts w:ascii="Times New Roman" w:eastAsia="Times New Roman" w:hAnsi="Times New Roman" w:cs="Times New Roman"/>
          <w:bCs w:val="0"/>
          <w:color w:val="auto"/>
          <w:sz w:val="24"/>
          <w:szCs w:val="24"/>
          <w:lang w:val="en-GB" w:eastAsia="en-US"/>
        </w:rPr>
        <w:t>SG11 CG on recognition procedure e-meeting, 11 June 2014</w:t>
      </w:r>
    </w:p>
    <w:p w:rsidR="00A402B4" w:rsidRPr="00A402B4" w:rsidRDefault="00A402B4" w:rsidP="00281845">
      <w:pPr>
        <w:pStyle w:val="Heading1"/>
        <w:tabs>
          <w:tab w:val="left" w:pos="794"/>
          <w:tab w:val="left" w:pos="1191"/>
          <w:tab w:val="left" w:pos="1588"/>
          <w:tab w:val="left" w:pos="1985"/>
        </w:tabs>
        <w:overflowPunct w:val="0"/>
        <w:autoSpaceDE w:val="0"/>
        <w:autoSpaceDN w:val="0"/>
        <w:adjustRightInd w:val="0"/>
        <w:spacing w:before="0" w:line="240" w:lineRule="auto"/>
        <w:ind w:left="792" w:hanging="792"/>
        <w:jc w:val="center"/>
        <w:textAlignment w:val="baseline"/>
        <w:rPr>
          <w:rFonts w:ascii="Times New Roman" w:eastAsia="Times New Roman" w:hAnsi="Times New Roman" w:cs="Times New Roman"/>
          <w:bCs w:val="0"/>
          <w:color w:val="auto"/>
          <w:sz w:val="24"/>
          <w:szCs w:val="24"/>
          <w:lang w:val="en-GB" w:eastAsia="en-US"/>
        </w:rPr>
      </w:pPr>
      <w:r w:rsidRPr="00A402B4">
        <w:rPr>
          <w:rFonts w:ascii="Times New Roman" w:eastAsia="Times New Roman" w:hAnsi="Times New Roman" w:cs="Times New Roman"/>
          <w:bCs w:val="0"/>
          <w:color w:val="auto"/>
          <w:sz w:val="24"/>
          <w:szCs w:val="24"/>
          <w:lang w:val="en-GB" w:eastAsia="en-US"/>
        </w:rPr>
        <w:t>WD</w:t>
      </w:r>
      <w:r w:rsidR="00281845">
        <w:rPr>
          <w:rFonts w:ascii="Times New Roman" w:eastAsia="Times New Roman" w:hAnsi="Times New Roman" w:cs="Times New Roman"/>
          <w:bCs w:val="0"/>
          <w:color w:val="auto"/>
          <w:sz w:val="24"/>
          <w:szCs w:val="24"/>
          <w:lang w:val="en-GB" w:eastAsia="en-US"/>
        </w:rPr>
        <w:t>9</w:t>
      </w:r>
    </w:p>
    <w:p w:rsidR="00A402B4" w:rsidRPr="00A402B4" w:rsidRDefault="00A402B4" w:rsidP="00A402B4">
      <w:pPr>
        <w:pStyle w:val="Heading1"/>
        <w:tabs>
          <w:tab w:val="left" w:pos="794"/>
          <w:tab w:val="left" w:pos="1191"/>
          <w:tab w:val="left" w:pos="1588"/>
          <w:tab w:val="left" w:pos="1985"/>
        </w:tabs>
        <w:overflowPunct w:val="0"/>
        <w:autoSpaceDE w:val="0"/>
        <w:autoSpaceDN w:val="0"/>
        <w:adjustRightInd w:val="0"/>
        <w:spacing w:before="0" w:line="240" w:lineRule="auto"/>
        <w:ind w:left="792" w:hanging="792"/>
        <w:jc w:val="center"/>
        <w:textAlignment w:val="baseline"/>
        <w:rPr>
          <w:rFonts w:ascii="Times New Roman" w:eastAsia="Times New Roman" w:hAnsi="Times New Roman" w:cs="Times New Roman"/>
          <w:bCs w:val="0"/>
          <w:color w:val="auto"/>
          <w:sz w:val="24"/>
          <w:szCs w:val="24"/>
          <w:lang w:val="en-GB" w:eastAsia="en-US"/>
        </w:rPr>
      </w:pPr>
      <w:r w:rsidRPr="00A402B4">
        <w:rPr>
          <w:rFonts w:ascii="Times New Roman" w:eastAsia="Times New Roman" w:hAnsi="Times New Roman" w:cs="Times New Roman"/>
          <w:bCs w:val="0"/>
          <w:color w:val="auto"/>
          <w:sz w:val="24"/>
          <w:szCs w:val="24"/>
          <w:lang w:val="en-GB" w:eastAsia="en-US"/>
        </w:rPr>
        <w:t>Source: TSB</w:t>
      </w:r>
    </w:p>
    <w:p w:rsidR="00195030" w:rsidRDefault="00281845" w:rsidP="00A402B4">
      <w:pPr>
        <w:pStyle w:val="Heading1"/>
        <w:tabs>
          <w:tab w:val="left" w:pos="794"/>
          <w:tab w:val="left" w:pos="1191"/>
          <w:tab w:val="left" w:pos="1588"/>
          <w:tab w:val="left" w:pos="1985"/>
        </w:tabs>
        <w:overflowPunct w:val="0"/>
        <w:autoSpaceDE w:val="0"/>
        <w:autoSpaceDN w:val="0"/>
        <w:adjustRightInd w:val="0"/>
        <w:spacing w:before="0" w:line="240" w:lineRule="auto"/>
        <w:ind w:left="792" w:hanging="792"/>
        <w:jc w:val="center"/>
        <w:textAlignment w:val="baseline"/>
        <w:rPr>
          <w:rFonts w:ascii="Times New Roman" w:eastAsia="Times New Roman" w:hAnsi="Times New Roman" w:cs="Times New Roman"/>
          <w:bCs w:val="0"/>
          <w:color w:val="auto"/>
          <w:sz w:val="24"/>
          <w:szCs w:val="24"/>
          <w:lang w:val="en-GB" w:eastAsia="en-US"/>
        </w:rPr>
      </w:pPr>
      <w:r>
        <w:rPr>
          <w:rFonts w:ascii="Times New Roman" w:eastAsia="Times New Roman" w:hAnsi="Times New Roman" w:cs="Times New Roman"/>
          <w:bCs w:val="0"/>
          <w:color w:val="auto"/>
          <w:sz w:val="24"/>
          <w:szCs w:val="24"/>
          <w:lang w:val="en-GB" w:eastAsia="en-US"/>
        </w:rPr>
        <w:t>B</w:t>
      </w:r>
      <w:r w:rsidR="005F61E0" w:rsidRPr="00A402B4">
        <w:rPr>
          <w:rFonts w:ascii="Times New Roman" w:eastAsia="Times New Roman" w:hAnsi="Times New Roman" w:cs="Times New Roman"/>
          <w:bCs w:val="0"/>
          <w:color w:val="auto"/>
          <w:sz w:val="24"/>
          <w:szCs w:val="24"/>
          <w:lang w:val="en-GB" w:eastAsia="en-US"/>
        </w:rPr>
        <w:t>est practice</w:t>
      </w:r>
      <w:r w:rsidR="004234FD">
        <w:rPr>
          <w:rFonts w:ascii="Times New Roman" w:eastAsia="Times New Roman" w:hAnsi="Times New Roman" w:cs="Times New Roman"/>
          <w:bCs w:val="0"/>
          <w:color w:val="auto"/>
          <w:sz w:val="24"/>
          <w:szCs w:val="24"/>
          <w:lang w:val="en-GB" w:eastAsia="en-US"/>
        </w:rPr>
        <w:t>s</w:t>
      </w:r>
      <w:r w:rsidR="005F61E0" w:rsidRPr="00A402B4">
        <w:rPr>
          <w:rFonts w:ascii="Times New Roman" w:eastAsia="Times New Roman" w:hAnsi="Times New Roman" w:cs="Times New Roman"/>
          <w:bCs w:val="0"/>
          <w:color w:val="auto"/>
          <w:sz w:val="24"/>
          <w:szCs w:val="24"/>
          <w:lang w:val="en-GB" w:eastAsia="en-US"/>
        </w:rPr>
        <w:t xml:space="preserve"> of </w:t>
      </w:r>
      <w:r w:rsidR="00C9560F" w:rsidRPr="00A402B4">
        <w:rPr>
          <w:rFonts w:ascii="Times New Roman" w:eastAsia="Times New Roman" w:hAnsi="Times New Roman" w:cs="Times New Roman"/>
          <w:bCs w:val="0"/>
          <w:color w:val="auto"/>
          <w:sz w:val="24"/>
          <w:szCs w:val="24"/>
          <w:lang w:val="en-GB" w:eastAsia="en-US"/>
        </w:rPr>
        <w:t xml:space="preserve">SDOs/Forums/Associations on the implementation of </w:t>
      </w:r>
      <w:r w:rsidR="005F61E0" w:rsidRPr="00A402B4">
        <w:rPr>
          <w:rFonts w:ascii="Times New Roman" w:eastAsia="Times New Roman" w:hAnsi="Times New Roman" w:cs="Times New Roman"/>
          <w:bCs w:val="0"/>
          <w:color w:val="auto"/>
          <w:sz w:val="24"/>
          <w:szCs w:val="24"/>
          <w:lang w:val="en-GB" w:eastAsia="en-US"/>
        </w:rPr>
        <w:t>recognition</w:t>
      </w:r>
      <w:r w:rsidR="0052493C" w:rsidRPr="00A402B4">
        <w:rPr>
          <w:rFonts w:ascii="Times New Roman" w:eastAsia="Times New Roman" w:hAnsi="Times New Roman" w:cs="Times New Roman"/>
          <w:bCs w:val="0"/>
          <w:color w:val="auto"/>
          <w:sz w:val="24"/>
          <w:szCs w:val="24"/>
          <w:lang w:val="en-GB" w:eastAsia="en-US"/>
        </w:rPr>
        <w:t>/accredi</w:t>
      </w:r>
      <w:r w:rsidR="00C9560F" w:rsidRPr="00A402B4">
        <w:rPr>
          <w:rFonts w:ascii="Times New Roman" w:eastAsia="Times New Roman" w:hAnsi="Times New Roman" w:cs="Times New Roman"/>
          <w:bCs w:val="0"/>
          <w:color w:val="auto"/>
          <w:sz w:val="24"/>
          <w:szCs w:val="24"/>
          <w:lang w:val="en-GB" w:eastAsia="en-US"/>
        </w:rPr>
        <w:t>t</w:t>
      </w:r>
      <w:r w:rsidR="0052493C" w:rsidRPr="00A402B4">
        <w:rPr>
          <w:rFonts w:ascii="Times New Roman" w:eastAsia="Times New Roman" w:hAnsi="Times New Roman" w:cs="Times New Roman"/>
          <w:bCs w:val="0"/>
          <w:color w:val="auto"/>
          <w:sz w:val="24"/>
          <w:szCs w:val="24"/>
          <w:lang w:val="en-GB" w:eastAsia="en-US"/>
        </w:rPr>
        <w:t>ation</w:t>
      </w:r>
      <w:r w:rsidR="005F61E0" w:rsidRPr="00A402B4">
        <w:rPr>
          <w:rFonts w:ascii="Times New Roman" w:eastAsia="Times New Roman" w:hAnsi="Times New Roman" w:cs="Times New Roman"/>
          <w:bCs w:val="0"/>
          <w:color w:val="auto"/>
          <w:sz w:val="24"/>
          <w:szCs w:val="24"/>
          <w:lang w:val="en-GB" w:eastAsia="en-US"/>
        </w:rPr>
        <w:t xml:space="preserve"> procedure</w:t>
      </w:r>
      <w:r w:rsidR="00C9560F" w:rsidRPr="00A402B4">
        <w:rPr>
          <w:rFonts w:ascii="Times New Roman" w:eastAsia="Times New Roman" w:hAnsi="Times New Roman" w:cs="Times New Roman"/>
          <w:bCs w:val="0"/>
          <w:color w:val="auto"/>
          <w:sz w:val="24"/>
          <w:szCs w:val="24"/>
          <w:lang w:val="en-GB" w:eastAsia="en-US"/>
        </w:rPr>
        <w:t>s</w:t>
      </w:r>
    </w:p>
    <w:p w:rsidR="00281845" w:rsidRDefault="00281845" w:rsidP="00281845">
      <w:pPr>
        <w:rPr>
          <w:lang w:val="en-GB" w:eastAsia="en-US"/>
        </w:rPr>
      </w:pPr>
    </w:p>
    <w:p w:rsidR="00281845" w:rsidRPr="00281845" w:rsidRDefault="00281845" w:rsidP="00281845">
      <w:pPr>
        <w:rPr>
          <w:lang w:val="en-GB" w:eastAsia="en-US"/>
        </w:rPr>
      </w:pPr>
      <w:r>
        <w:rPr>
          <w:lang w:val="en-GB" w:eastAsia="en-US"/>
        </w:rPr>
        <w:t>Contact: Denis Andreev (</w:t>
      </w:r>
      <w:hyperlink r:id="rId9" w:history="1">
        <w:r w:rsidRPr="00AA5480">
          <w:rPr>
            <w:rStyle w:val="Hyperlink"/>
            <w:lang w:val="en-GB" w:eastAsia="en-US"/>
          </w:rPr>
          <w:t>denis.andreev@itu.int</w:t>
        </w:r>
      </w:hyperlink>
      <w:r>
        <w:rPr>
          <w:lang w:val="en-GB" w:eastAsia="en-US"/>
        </w:rPr>
        <w:t xml:space="preserve">) </w:t>
      </w:r>
    </w:p>
    <w:sdt>
      <w:sdtPr>
        <w:rPr>
          <w:rFonts w:asciiTheme="minorHAnsi" w:eastAsiaTheme="minorEastAsia" w:hAnsiTheme="minorHAnsi" w:cstheme="minorBidi"/>
          <w:b w:val="0"/>
          <w:bCs w:val="0"/>
          <w:color w:val="auto"/>
          <w:sz w:val="22"/>
          <w:szCs w:val="22"/>
          <w:lang w:eastAsia="zh-CN"/>
        </w:rPr>
        <w:id w:val="-1454637623"/>
        <w:docPartObj>
          <w:docPartGallery w:val="Table of Contents"/>
          <w:docPartUnique/>
        </w:docPartObj>
      </w:sdtPr>
      <w:sdtEndPr>
        <w:rPr>
          <w:noProof/>
        </w:rPr>
      </w:sdtEndPr>
      <w:sdtContent>
        <w:p w:rsidR="00B86E56" w:rsidRDefault="00B86E56">
          <w:pPr>
            <w:pStyle w:val="TOCHeading"/>
          </w:pPr>
          <w:r>
            <w:t>Contents</w:t>
          </w:r>
        </w:p>
        <w:p w:rsidR="00EE2A98" w:rsidRDefault="00B86E56">
          <w:pPr>
            <w:pStyle w:val="TOC1"/>
            <w:tabs>
              <w:tab w:val="left" w:pos="440"/>
              <w:tab w:val="right" w:leader="dot" w:pos="9350"/>
            </w:tabs>
            <w:rPr>
              <w:noProof/>
            </w:rPr>
          </w:pPr>
          <w:r>
            <w:fldChar w:fldCharType="begin"/>
          </w:r>
          <w:r>
            <w:instrText xml:space="preserve"> TOC \o "1-3" \h \z \u </w:instrText>
          </w:r>
          <w:r>
            <w:fldChar w:fldCharType="separate"/>
          </w:r>
          <w:hyperlink w:anchor="_Toc389225140" w:history="1">
            <w:r w:rsidR="00EE2A98" w:rsidRPr="00AE3685">
              <w:rPr>
                <w:rStyle w:val="Hyperlink"/>
                <w:noProof/>
                <w:lang w:val="en-GB"/>
              </w:rPr>
              <w:t>1</w:t>
            </w:r>
            <w:r w:rsidR="00EE2A98">
              <w:rPr>
                <w:noProof/>
              </w:rPr>
              <w:tab/>
            </w:r>
            <w:r w:rsidR="00EE2A98" w:rsidRPr="00AE3685">
              <w:rPr>
                <w:rStyle w:val="Hyperlink"/>
                <w:noProof/>
                <w:lang w:val="en-GB"/>
              </w:rPr>
              <w:t>GSM Association (GSMA)</w:t>
            </w:r>
            <w:r w:rsidR="00EE2A98">
              <w:rPr>
                <w:noProof/>
                <w:webHidden/>
              </w:rPr>
              <w:tab/>
            </w:r>
            <w:r w:rsidR="00EE2A98">
              <w:rPr>
                <w:noProof/>
                <w:webHidden/>
              </w:rPr>
              <w:fldChar w:fldCharType="begin"/>
            </w:r>
            <w:r w:rsidR="00EE2A98">
              <w:rPr>
                <w:noProof/>
                <w:webHidden/>
              </w:rPr>
              <w:instrText xml:space="preserve"> PAGEREF _Toc389225140 \h </w:instrText>
            </w:r>
            <w:r w:rsidR="00EE2A98">
              <w:rPr>
                <w:noProof/>
                <w:webHidden/>
              </w:rPr>
            </w:r>
            <w:r w:rsidR="00EE2A98">
              <w:rPr>
                <w:noProof/>
                <w:webHidden/>
              </w:rPr>
              <w:fldChar w:fldCharType="separate"/>
            </w:r>
            <w:r w:rsidR="00EE2A98">
              <w:rPr>
                <w:noProof/>
                <w:webHidden/>
              </w:rPr>
              <w:t>2</w:t>
            </w:r>
            <w:r w:rsidR="00EE2A98">
              <w:rPr>
                <w:noProof/>
                <w:webHidden/>
              </w:rPr>
              <w:fldChar w:fldCharType="end"/>
            </w:r>
          </w:hyperlink>
        </w:p>
        <w:p w:rsidR="00EE2A98" w:rsidRDefault="00FD4659">
          <w:pPr>
            <w:pStyle w:val="TOC1"/>
            <w:tabs>
              <w:tab w:val="left" w:pos="440"/>
              <w:tab w:val="right" w:leader="dot" w:pos="9350"/>
            </w:tabs>
            <w:rPr>
              <w:noProof/>
            </w:rPr>
          </w:pPr>
          <w:hyperlink w:anchor="_Toc389225141" w:history="1">
            <w:r w:rsidR="00EE2A98" w:rsidRPr="00AE3685">
              <w:rPr>
                <w:rStyle w:val="Hyperlink"/>
                <w:noProof/>
                <w:lang w:val="en-GB"/>
              </w:rPr>
              <w:t>2</w:t>
            </w:r>
            <w:r w:rsidR="00EE2A98">
              <w:rPr>
                <w:noProof/>
              </w:rPr>
              <w:tab/>
            </w:r>
            <w:r w:rsidR="00EE2A98" w:rsidRPr="00AE3685">
              <w:rPr>
                <w:rStyle w:val="Hyperlink"/>
                <w:noProof/>
                <w:lang w:val="en-GB"/>
              </w:rPr>
              <w:t>Continua health Alliance</w:t>
            </w:r>
            <w:r w:rsidR="00EE2A98">
              <w:rPr>
                <w:noProof/>
                <w:webHidden/>
              </w:rPr>
              <w:tab/>
            </w:r>
            <w:r w:rsidR="00EE2A98">
              <w:rPr>
                <w:noProof/>
                <w:webHidden/>
              </w:rPr>
              <w:fldChar w:fldCharType="begin"/>
            </w:r>
            <w:r w:rsidR="00EE2A98">
              <w:rPr>
                <w:noProof/>
                <w:webHidden/>
              </w:rPr>
              <w:instrText xml:space="preserve"> PAGEREF _Toc389225141 \h </w:instrText>
            </w:r>
            <w:r w:rsidR="00EE2A98">
              <w:rPr>
                <w:noProof/>
                <w:webHidden/>
              </w:rPr>
            </w:r>
            <w:r w:rsidR="00EE2A98">
              <w:rPr>
                <w:noProof/>
                <w:webHidden/>
              </w:rPr>
              <w:fldChar w:fldCharType="separate"/>
            </w:r>
            <w:r w:rsidR="00EE2A98">
              <w:rPr>
                <w:noProof/>
                <w:webHidden/>
              </w:rPr>
              <w:t>4</w:t>
            </w:r>
            <w:r w:rsidR="00EE2A98">
              <w:rPr>
                <w:noProof/>
                <w:webHidden/>
              </w:rPr>
              <w:fldChar w:fldCharType="end"/>
            </w:r>
          </w:hyperlink>
        </w:p>
        <w:p w:rsidR="00EE2A98" w:rsidRDefault="00FD4659">
          <w:pPr>
            <w:pStyle w:val="TOC1"/>
            <w:tabs>
              <w:tab w:val="left" w:pos="440"/>
              <w:tab w:val="right" w:leader="dot" w:pos="9350"/>
            </w:tabs>
            <w:rPr>
              <w:noProof/>
            </w:rPr>
          </w:pPr>
          <w:hyperlink w:anchor="_Toc389225142" w:history="1">
            <w:r w:rsidR="00EE2A98" w:rsidRPr="00AE3685">
              <w:rPr>
                <w:rStyle w:val="Hyperlink"/>
                <w:noProof/>
                <w:lang w:val="en-GB"/>
              </w:rPr>
              <w:t>3</w:t>
            </w:r>
            <w:r w:rsidR="00EE2A98">
              <w:rPr>
                <w:noProof/>
              </w:rPr>
              <w:tab/>
            </w:r>
            <w:r w:rsidR="00EE2A98" w:rsidRPr="00AE3685">
              <w:rPr>
                <w:rStyle w:val="Hyperlink"/>
                <w:noProof/>
                <w:lang w:val="en-GB"/>
              </w:rPr>
              <w:t>IECEE</w:t>
            </w:r>
            <w:r w:rsidR="00EE2A98">
              <w:rPr>
                <w:noProof/>
                <w:webHidden/>
              </w:rPr>
              <w:tab/>
            </w:r>
            <w:r w:rsidR="00EE2A98">
              <w:rPr>
                <w:noProof/>
                <w:webHidden/>
              </w:rPr>
              <w:fldChar w:fldCharType="begin"/>
            </w:r>
            <w:r w:rsidR="00EE2A98">
              <w:rPr>
                <w:noProof/>
                <w:webHidden/>
              </w:rPr>
              <w:instrText xml:space="preserve"> PAGEREF _Toc389225142 \h </w:instrText>
            </w:r>
            <w:r w:rsidR="00EE2A98">
              <w:rPr>
                <w:noProof/>
                <w:webHidden/>
              </w:rPr>
            </w:r>
            <w:r w:rsidR="00EE2A98">
              <w:rPr>
                <w:noProof/>
                <w:webHidden/>
              </w:rPr>
              <w:fldChar w:fldCharType="separate"/>
            </w:r>
            <w:r w:rsidR="00EE2A98">
              <w:rPr>
                <w:noProof/>
                <w:webHidden/>
              </w:rPr>
              <w:t>8</w:t>
            </w:r>
            <w:r w:rsidR="00EE2A98">
              <w:rPr>
                <w:noProof/>
                <w:webHidden/>
              </w:rPr>
              <w:fldChar w:fldCharType="end"/>
            </w:r>
          </w:hyperlink>
        </w:p>
        <w:p w:rsidR="00B86E56" w:rsidRDefault="00B86E56">
          <w:r>
            <w:rPr>
              <w:b/>
              <w:bCs/>
              <w:noProof/>
            </w:rPr>
            <w:fldChar w:fldCharType="end"/>
          </w:r>
        </w:p>
      </w:sdtContent>
    </w:sdt>
    <w:p w:rsidR="00F147D8" w:rsidRPr="00B86E56" w:rsidRDefault="00F147D8" w:rsidP="00F147D8">
      <w:pPr>
        <w:pStyle w:val="Heading1"/>
        <w:pageBreakBefore/>
        <w:numPr>
          <w:ilvl w:val="0"/>
          <w:numId w:val="2"/>
        </w:numPr>
        <w:ind w:left="357" w:hanging="357"/>
        <w:rPr>
          <w:color w:val="auto"/>
          <w:sz w:val="24"/>
          <w:szCs w:val="24"/>
          <w:lang w:val="en-GB"/>
        </w:rPr>
      </w:pPr>
      <w:bookmarkStart w:id="1" w:name="_Toc389225140"/>
      <w:r w:rsidRPr="00B86E56">
        <w:rPr>
          <w:color w:val="auto"/>
          <w:sz w:val="24"/>
          <w:szCs w:val="24"/>
          <w:lang w:val="en-GB"/>
        </w:rPr>
        <w:lastRenderedPageBreak/>
        <w:t>GSM Association (GSMA)</w:t>
      </w:r>
    </w:p>
    <w:p w:rsidR="00F147D8" w:rsidRPr="000A1AE6" w:rsidRDefault="00F147D8" w:rsidP="00F147D8">
      <w:pPr>
        <w:pStyle w:val="ListParagraph"/>
        <w:numPr>
          <w:ilvl w:val="1"/>
          <w:numId w:val="2"/>
        </w:numPr>
        <w:snapToGrid w:val="0"/>
        <w:spacing w:before="240"/>
        <w:ind w:left="425" w:hanging="425"/>
        <w:contextualSpacing w:val="0"/>
        <w:rPr>
          <w:b/>
          <w:bCs/>
          <w:lang w:val="en-GB"/>
        </w:rPr>
      </w:pPr>
      <w:r w:rsidRPr="000A1AE6">
        <w:rPr>
          <w:b/>
          <w:bCs/>
          <w:lang w:val="en-GB"/>
        </w:rPr>
        <w:t>General information</w:t>
      </w:r>
    </w:p>
    <w:p w:rsidR="00F147D8" w:rsidRDefault="00F147D8" w:rsidP="00F147D8">
      <w:pPr>
        <w:rPr>
          <w:lang w:val="en-GB"/>
        </w:rPr>
      </w:pPr>
      <w:r>
        <w:rPr>
          <w:lang w:val="en-GB"/>
        </w:rPr>
        <w:t xml:space="preserve">The </w:t>
      </w:r>
      <w:proofErr w:type="spellStart"/>
      <w:r>
        <w:rPr>
          <w:lang w:val="en-GB"/>
        </w:rPr>
        <w:t>Groupe</w:t>
      </w:r>
      <w:proofErr w:type="spellEnd"/>
      <w:r>
        <w:rPr>
          <w:lang w:val="en-GB"/>
        </w:rPr>
        <w:t xml:space="preserve"> </w:t>
      </w:r>
      <w:proofErr w:type="spellStart"/>
      <w:r>
        <w:rPr>
          <w:lang w:val="en-GB"/>
        </w:rPr>
        <w:t>Speciale</w:t>
      </w:r>
      <w:proofErr w:type="spellEnd"/>
      <w:r>
        <w:rPr>
          <w:lang w:val="en-GB"/>
        </w:rPr>
        <w:t xml:space="preserve"> Mobile Association (GSMA) was formally registered as the GSM </w:t>
      </w:r>
      <w:proofErr w:type="spellStart"/>
      <w:r>
        <w:rPr>
          <w:lang w:val="en-GB"/>
        </w:rPr>
        <w:t>MoU</w:t>
      </w:r>
      <w:proofErr w:type="spellEnd"/>
      <w:r>
        <w:rPr>
          <w:lang w:val="en-GB"/>
        </w:rPr>
        <w:t xml:space="preserve"> Association in 1995. </w:t>
      </w:r>
      <w:r w:rsidRPr="00884C21">
        <w:rPr>
          <w:lang w:val="en-GB"/>
        </w:rPr>
        <w:t>The GSMA represents the interests of mobile operators worldwide. Spanning more than 220 countries, the GSMA unites nearly 800 of the world’s mobile operators with 250 companies in the broader mobile ecosystem, including handset and device makers, software companies, equipment providers and Internet companies, as well as organisations in industry sectors such as financial services, healthcare, media, transport and utilities</w:t>
      </w:r>
      <w:r>
        <w:rPr>
          <w:lang w:val="en-GB"/>
        </w:rPr>
        <w:t xml:space="preserve"> (</w:t>
      </w:r>
      <w:hyperlink r:id="rId10" w:history="1">
        <w:r w:rsidRPr="00756689">
          <w:rPr>
            <w:rStyle w:val="Hyperlink"/>
            <w:lang w:val="en-GB"/>
          </w:rPr>
          <w:t>http://www.gsma.com/aboutus/</w:t>
        </w:r>
      </w:hyperlink>
      <w:r>
        <w:rPr>
          <w:lang w:val="en-GB"/>
        </w:rPr>
        <w:t>)</w:t>
      </w:r>
      <w:r w:rsidRPr="00884C21">
        <w:rPr>
          <w:lang w:val="en-GB"/>
        </w:rPr>
        <w:t>.</w:t>
      </w:r>
    </w:p>
    <w:p w:rsidR="00F147D8" w:rsidRPr="00C57684" w:rsidRDefault="00F147D8" w:rsidP="00F147D8">
      <w:pPr>
        <w:pStyle w:val="ListParagraph"/>
        <w:numPr>
          <w:ilvl w:val="1"/>
          <w:numId w:val="2"/>
        </w:numPr>
        <w:snapToGrid w:val="0"/>
        <w:spacing w:before="240"/>
        <w:ind w:left="425" w:hanging="425"/>
        <w:contextualSpacing w:val="0"/>
        <w:rPr>
          <w:b/>
          <w:bCs/>
          <w:lang w:val="en-GB"/>
        </w:rPr>
      </w:pPr>
      <w:r w:rsidRPr="00C57684">
        <w:rPr>
          <w:b/>
          <w:bCs/>
          <w:lang w:val="en-GB"/>
        </w:rPr>
        <w:t>Web link</w:t>
      </w:r>
    </w:p>
    <w:p w:rsidR="00F147D8" w:rsidRDefault="00F147D8" w:rsidP="00F147D8">
      <w:pPr>
        <w:rPr>
          <w:rStyle w:val="Hyperlink"/>
          <w:lang w:val="en-GB"/>
        </w:rPr>
      </w:pPr>
      <w:r>
        <w:t xml:space="preserve">All information below is based on the information which is available on the GSMA web page </w:t>
      </w:r>
      <w:hyperlink r:id="rId11" w:history="1">
        <w:r w:rsidRPr="00CB0C0A">
          <w:rPr>
            <w:rStyle w:val="Hyperlink"/>
          </w:rPr>
          <w:t>http://www.gsma.com/network2020/rcs/</w:t>
        </w:r>
      </w:hyperlink>
      <w:r>
        <w:t>.</w:t>
      </w:r>
    </w:p>
    <w:p w:rsidR="00F147D8" w:rsidRPr="00C57684" w:rsidRDefault="00F147D8" w:rsidP="00F147D8">
      <w:pPr>
        <w:pStyle w:val="ListParagraph"/>
        <w:numPr>
          <w:ilvl w:val="1"/>
          <w:numId w:val="2"/>
        </w:numPr>
        <w:snapToGrid w:val="0"/>
        <w:spacing w:before="240"/>
        <w:ind w:left="425" w:hanging="425"/>
        <w:contextualSpacing w:val="0"/>
        <w:rPr>
          <w:b/>
          <w:bCs/>
          <w:lang w:val="en-GB"/>
        </w:rPr>
      </w:pPr>
      <w:r w:rsidRPr="00C57684">
        <w:rPr>
          <w:b/>
          <w:bCs/>
          <w:lang w:val="en-GB"/>
        </w:rPr>
        <w:t>SDO’s Scope</w:t>
      </w:r>
    </w:p>
    <w:p w:rsidR="00F147D8" w:rsidRDefault="00F147D8" w:rsidP="00F147D8">
      <w:pPr>
        <w:rPr>
          <w:lang w:val="en-GB"/>
        </w:rPr>
      </w:pPr>
      <w:r>
        <w:rPr>
          <w:lang w:val="en-GB"/>
        </w:rPr>
        <w:t xml:space="preserve">GSMA </w:t>
      </w:r>
      <w:r w:rsidRPr="00884C21">
        <w:rPr>
          <w:lang w:val="en-GB"/>
        </w:rPr>
        <w:t>is an association of</w:t>
      </w:r>
      <w:r>
        <w:rPr>
          <w:lang w:val="en-GB"/>
        </w:rPr>
        <w:t xml:space="preserve"> </w:t>
      </w:r>
      <w:hyperlink r:id="rId12" w:tooltip="Mobile operators" w:history="1">
        <w:r w:rsidRPr="00884C21">
          <w:rPr>
            <w:lang w:val="en-GB"/>
          </w:rPr>
          <w:t>mobile operators</w:t>
        </w:r>
      </w:hyperlink>
      <w:r>
        <w:rPr>
          <w:lang w:val="en-GB"/>
        </w:rPr>
        <w:t xml:space="preserve"> </w:t>
      </w:r>
      <w:r w:rsidRPr="00884C21">
        <w:rPr>
          <w:lang w:val="en-GB"/>
        </w:rPr>
        <w:t>and related companies devoted to supporting the standardising, deployment and promotion of the</w:t>
      </w:r>
      <w:r>
        <w:rPr>
          <w:lang w:val="en-GB"/>
        </w:rPr>
        <w:t xml:space="preserve"> </w:t>
      </w:r>
      <w:hyperlink r:id="rId13" w:tooltip="GSM" w:history="1">
        <w:r w:rsidRPr="00884C21">
          <w:rPr>
            <w:lang w:val="en-GB"/>
          </w:rPr>
          <w:t>GSM</w:t>
        </w:r>
      </w:hyperlink>
      <w:r>
        <w:rPr>
          <w:lang w:val="en-GB"/>
        </w:rPr>
        <w:t xml:space="preserve"> </w:t>
      </w:r>
      <w:hyperlink r:id="rId14" w:tooltip="Mobile telephone" w:history="1">
        <w:r w:rsidRPr="00884C21">
          <w:rPr>
            <w:lang w:val="en-GB"/>
          </w:rPr>
          <w:t>mobile telephone</w:t>
        </w:r>
      </w:hyperlink>
      <w:r>
        <w:rPr>
          <w:lang w:val="en-GB"/>
        </w:rPr>
        <w:t xml:space="preserve"> </w:t>
      </w:r>
      <w:r w:rsidRPr="00884C21">
        <w:rPr>
          <w:lang w:val="en-GB"/>
        </w:rPr>
        <w:t>system</w:t>
      </w:r>
      <w:r>
        <w:rPr>
          <w:lang w:val="en-GB"/>
        </w:rPr>
        <w:t xml:space="preserve">. The </w:t>
      </w:r>
      <w:r w:rsidRPr="003D2DAC">
        <w:rPr>
          <w:lang w:val="en-GB"/>
        </w:rPr>
        <w:t>GSMA covers the following ICT trends</w:t>
      </w:r>
      <w:r>
        <w:rPr>
          <w:lang w:val="en-GB"/>
        </w:rPr>
        <w:t xml:space="preserve">: </w:t>
      </w:r>
      <w:r w:rsidRPr="00064317">
        <w:rPr>
          <w:lang w:val="en-GB"/>
        </w:rPr>
        <w:t>Spectrum, Personal Data, Digital Commerce, Connecting Living (</w:t>
      </w:r>
      <w:proofErr w:type="spellStart"/>
      <w:r w:rsidRPr="00064317">
        <w:rPr>
          <w:lang w:val="en-GB"/>
        </w:rPr>
        <w:t>IoT</w:t>
      </w:r>
      <w:proofErr w:type="spellEnd"/>
      <w:r w:rsidRPr="00064317">
        <w:rPr>
          <w:lang w:val="en-GB"/>
        </w:rPr>
        <w:t xml:space="preserve">), Network2020 (RCS, </w:t>
      </w:r>
      <w:proofErr w:type="spellStart"/>
      <w:r w:rsidRPr="00064317">
        <w:rPr>
          <w:lang w:val="en-GB"/>
        </w:rPr>
        <w:t>VoLTE</w:t>
      </w:r>
      <w:proofErr w:type="spellEnd"/>
      <w:r w:rsidRPr="00064317">
        <w:rPr>
          <w:lang w:val="en-GB"/>
        </w:rPr>
        <w:t>, QoS interconnect)</w:t>
      </w:r>
      <w:r>
        <w:rPr>
          <w:lang w:val="en-GB"/>
        </w:rPr>
        <w:t>.</w:t>
      </w:r>
    </w:p>
    <w:p w:rsidR="00F147D8" w:rsidRDefault="00F147D8" w:rsidP="00F147D8">
      <w:pPr>
        <w:rPr>
          <w:lang w:val="en-GB"/>
        </w:rPr>
      </w:pPr>
      <w:r>
        <w:rPr>
          <w:lang w:val="en-GB"/>
        </w:rPr>
        <w:t>One of good examples which might be used for describing the GSMA’s accreditation procedure is the Rich Communications Services (RCS).</w:t>
      </w:r>
    </w:p>
    <w:p w:rsidR="00F147D8" w:rsidRDefault="00F147D8" w:rsidP="00F147D8">
      <w:pPr>
        <w:rPr>
          <w:lang w:val="en-GB"/>
        </w:rPr>
      </w:pPr>
      <w:r>
        <w:rPr>
          <w:lang w:val="en-GB"/>
        </w:rPr>
        <w:t xml:space="preserve">In general, RCS is a platform which allows mobile operator to provide their customers the over-the-top (OTT) services without getting access to the Internet (e.g. </w:t>
      </w:r>
      <w:r w:rsidRPr="002B6B06">
        <w:rPr>
          <w:lang w:val="en-GB"/>
        </w:rPr>
        <w:t>instant messaging or chat, live video and file sharing</w:t>
      </w:r>
      <w:r>
        <w:rPr>
          <w:lang w:val="en-GB"/>
        </w:rPr>
        <w:t>). T</w:t>
      </w:r>
      <w:r w:rsidRPr="00064317">
        <w:rPr>
          <w:lang w:val="en-GB"/>
        </w:rPr>
        <w:t>he key slogan of RCS is "it's just there, it's just work" meaning the services is embedded on handsets provided by OEMs and it is interoperable</w:t>
      </w:r>
      <w:r>
        <w:rPr>
          <w:lang w:val="en-GB"/>
        </w:rPr>
        <w:t xml:space="preserve">. In principal, RCS is based on an IP Multimedia </w:t>
      </w:r>
      <w:proofErr w:type="spellStart"/>
      <w:r>
        <w:rPr>
          <w:lang w:val="en-GB"/>
        </w:rPr>
        <w:t>Subsytem</w:t>
      </w:r>
      <w:proofErr w:type="spellEnd"/>
      <w:r>
        <w:rPr>
          <w:lang w:val="en-GB"/>
        </w:rPr>
        <w:t>.</w:t>
      </w:r>
    </w:p>
    <w:p w:rsidR="00F147D8" w:rsidRDefault="00F147D8" w:rsidP="00F147D8">
      <w:pPr>
        <w:rPr>
          <w:lang w:val="en-GB"/>
        </w:rPr>
      </w:pPr>
      <w:r>
        <w:rPr>
          <w:lang w:val="en-GB"/>
        </w:rPr>
        <w:t>The mobile operators, which implemented the IP Multimedia Subsystem (IMS) recently, are seeking an additional way for getting a refund on the IMS investment from the very beginning. For the time being, some European operators expressed an interest to RCS, recognizing it as a good platform for providing the over-the-top (OTT) applications among their customers.</w:t>
      </w:r>
    </w:p>
    <w:p w:rsidR="00F147D8" w:rsidRDefault="00F147D8" w:rsidP="00F147D8">
      <w:pPr>
        <w:rPr>
          <w:lang w:val="en-GB"/>
        </w:rPr>
      </w:pPr>
      <w:r>
        <w:rPr>
          <w:lang w:val="en-GB"/>
        </w:rPr>
        <w:t xml:space="preserve">Recognizing RCS as one of key topics, GSMA launched the </w:t>
      </w:r>
      <w:hyperlink r:id="rId15" w:history="1">
        <w:r w:rsidRPr="002B6B06">
          <w:rPr>
            <w:rStyle w:val="Hyperlink"/>
            <w:lang w:val="en-GB"/>
          </w:rPr>
          <w:t xml:space="preserve">Interoperability </w:t>
        </w:r>
        <w:r>
          <w:rPr>
            <w:rStyle w:val="Hyperlink"/>
            <w:lang w:val="en-GB"/>
          </w:rPr>
          <w:t xml:space="preserve">&amp; </w:t>
        </w:r>
        <w:r w:rsidRPr="002B6B06">
          <w:rPr>
            <w:rStyle w:val="Hyperlink"/>
            <w:lang w:val="en-GB"/>
          </w:rPr>
          <w:t>testing</w:t>
        </w:r>
      </w:hyperlink>
      <w:r w:rsidRPr="002B6B06">
        <w:rPr>
          <w:lang w:val="en-GB"/>
        </w:rPr>
        <w:t xml:space="preserve"> </w:t>
      </w:r>
      <w:r>
        <w:rPr>
          <w:lang w:val="en-GB"/>
        </w:rPr>
        <w:t>(IOT) project in 2012. GSMA established the accreditation procedure, which allows interested companies to join this project.</w:t>
      </w:r>
      <w:r w:rsidRPr="009F6C1F">
        <w:rPr>
          <w:lang w:val="en-GB"/>
        </w:rPr>
        <w:t xml:space="preserve"> </w:t>
      </w:r>
      <w:r>
        <w:rPr>
          <w:lang w:val="en-GB"/>
        </w:rPr>
        <w:t xml:space="preserve">In principal, the aim of </w:t>
      </w:r>
      <w:r w:rsidRPr="0052493C">
        <w:rPr>
          <w:lang w:val="en-GB"/>
        </w:rPr>
        <w:t xml:space="preserve">IOT </w:t>
      </w:r>
      <w:r>
        <w:rPr>
          <w:lang w:val="en-GB"/>
        </w:rPr>
        <w:t xml:space="preserve">is to </w:t>
      </w:r>
      <w:r w:rsidRPr="0052493C">
        <w:rPr>
          <w:lang w:val="en-GB"/>
        </w:rPr>
        <w:t xml:space="preserve">allow any company successfully completing the IOT </w:t>
      </w:r>
      <w:r>
        <w:rPr>
          <w:lang w:val="en-GB"/>
        </w:rPr>
        <w:t xml:space="preserve">accreditation </w:t>
      </w:r>
      <w:r w:rsidRPr="0052493C">
        <w:rPr>
          <w:lang w:val="en-GB"/>
        </w:rPr>
        <w:t xml:space="preserve">process to apply for a license to use the service mark </w:t>
      </w:r>
      <w:r>
        <w:rPr>
          <w:lang w:val="en-GB"/>
        </w:rPr>
        <w:t>“</w:t>
      </w:r>
      <w:proofErr w:type="spellStart"/>
      <w:r>
        <w:rPr>
          <w:lang w:val="en-GB"/>
        </w:rPr>
        <w:t>j</w:t>
      </w:r>
      <w:r w:rsidRPr="0052493C">
        <w:rPr>
          <w:lang w:val="en-GB"/>
        </w:rPr>
        <w:t>oyn</w:t>
      </w:r>
      <w:proofErr w:type="spellEnd"/>
      <w:r w:rsidRPr="0052493C">
        <w:rPr>
          <w:lang w:val="en-GB"/>
        </w:rPr>
        <w:t>™</w:t>
      </w:r>
      <w:r>
        <w:rPr>
          <w:lang w:val="en-GB"/>
        </w:rPr>
        <w:t>”</w:t>
      </w:r>
      <w:r w:rsidRPr="0052493C">
        <w:rPr>
          <w:lang w:val="en-GB"/>
        </w:rPr>
        <w:t xml:space="preserve">. The </w:t>
      </w:r>
      <w:r>
        <w:rPr>
          <w:lang w:val="en-GB"/>
        </w:rPr>
        <w:t>mark “</w:t>
      </w:r>
      <w:proofErr w:type="spellStart"/>
      <w:r>
        <w:rPr>
          <w:lang w:val="en-GB"/>
        </w:rPr>
        <w:t>j</w:t>
      </w:r>
      <w:r w:rsidRPr="0052493C">
        <w:rPr>
          <w:lang w:val="en-GB"/>
        </w:rPr>
        <w:t>oyn</w:t>
      </w:r>
      <w:proofErr w:type="spellEnd"/>
      <w:r w:rsidRPr="0052493C">
        <w:rPr>
          <w:lang w:val="en-GB"/>
        </w:rPr>
        <w:t>™</w:t>
      </w:r>
      <w:r>
        <w:rPr>
          <w:lang w:val="en-GB"/>
        </w:rPr>
        <w:t>”</w:t>
      </w:r>
      <w:r w:rsidRPr="0052493C">
        <w:rPr>
          <w:lang w:val="en-GB"/>
        </w:rPr>
        <w:t xml:space="preserve"> indicates that device</w:t>
      </w:r>
      <w:r>
        <w:rPr>
          <w:lang w:val="en-GB"/>
        </w:rPr>
        <w:t>s</w:t>
      </w:r>
      <w:r w:rsidRPr="0052493C">
        <w:rPr>
          <w:lang w:val="en-GB"/>
        </w:rPr>
        <w:t>, stand-alone app</w:t>
      </w:r>
      <w:r>
        <w:rPr>
          <w:lang w:val="en-GB"/>
        </w:rPr>
        <w:t>lications</w:t>
      </w:r>
      <w:r w:rsidRPr="0052493C">
        <w:rPr>
          <w:lang w:val="en-GB"/>
        </w:rPr>
        <w:t xml:space="preserve"> or operator service</w:t>
      </w:r>
      <w:r>
        <w:rPr>
          <w:lang w:val="en-GB"/>
        </w:rPr>
        <w:t>s</w:t>
      </w:r>
      <w:r w:rsidRPr="0052493C">
        <w:rPr>
          <w:lang w:val="en-GB"/>
        </w:rPr>
        <w:t xml:space="preserve"> </w:t>
      </w:r>
      <w:r>
        <w:rPr>
          <w:lang w:val="en-GB"/>
        </w:rPr>
        <w:t>are</w:t>
      </w:r>
      <w:r w:rsidRPr="0052493C">
        <w:rPr>
          <w:lang w:val="en-GB"/>
        </w:rPr>
        <w:t xml:space="preserve"> compliant with the RCS specification</w:t>
      </w:r>
      <w:r>
        <w:rPr>
          <w:lang w:val="en-GB"/>
        </w:rPr>
        <w:t xml:space="preserve"> (</w:t>
      </w:r>
      <w:hyperlink r:id="rId16" w:history="1">
        <w:r w:rsidRPr="009F6C1F">
          <w:rPr>
            <w:rStyle w:val="Hyperlink"/>
            <w:lang w:val="en-GB"/>
          </w:rPr>
          <w:t>source</w:t>
        </w:r>
      </w:hyperlink>
      <w:r>
        <w:rPr>
          <w:lang w:val="en-GB"/>
        </w:rPr>
        <w:t>)</w:t>
      </w:r>
      <w:r w:rsidRPr="0052493C">
        <w:rPr>
          <w:lang w:val="en-GB"/>
        </w:rPr>
        <w:t>.</w:t>
      </w:r>
    </w:p>
    <w:p w:rsidR="00F147D8" w:rsidRDefault="00F147D8" w:rsidP="00F147D8">
      <w:pPr>
        <w:rPr>
          <w:lang w:val="en-GB"/>
        </w:rPr>
      </w:pPr>
      <w:r>
        <w:rPr>
          <w:lang w:val="en-GB"/>
        </w:rPr>
        <w:lastRenderedPageBreak/>
        <w:t xml:space="preserve">For implementing this procedure, </w:t>
      </w:r>
      <w:r w:rsidRPr="0089606D">
        <w:rPr>
          <w:lang w:val="en-GB"/>
        </w:rPr>
        <w:t>GSMA established the group of technical experts which follow up this project (RCS IOT team)</w:t>
      </w:r>
      <w:r>
        <w:rPr>
          <w:lang w:val="en-GB"/>
        </w:rPr>
        <w:t xml:space="preserve">, which </w:t>
      </w:r>
      <w:r w:rsidRPr="00A63683">
        <w:rPr>
          <w:lang w:val="en-GB"/>
        </w:rPr>
        <w:t>takes a decision of accreditation</w:t>
      </w:r>
      <w:r w:rsidRPr="0089606D">
        <w:rPr>
          <w:lang w:val="en-GB"/>
        </w:rPr>
        <w:t>.</w:t>
      </w:r>
    </w:p>
    <w:p w:rsidR="00F147D8" w:rsidRDefault="00F147D8" w:rsidP="00F147D8">
      <w:pPr>
        <w:rPr>
          <w:lang w:val="en-GB"/>
        </w:rPr>
      </w:pPr>
      <w:r>
        <w:rPr>
          <w:lang w:val="en-GB"/>
        </w:rPr>
        <w:t>As of May 2014, GSMA accredited 59 companies/products, including:</w:t>
      </w:r>
    </w:p>
    <w:p w:rsidR="00F147D8" w:rsidRDefault="00FD4659" w:rsidP="00F147D8">
      <w:pPr>
        <w:pStyle w:val="ListParagraph"/>
        <w:numPr>
          <w:ilvl w:val="0"/>
          <w:numId w:val="6"/>
        </w:numPr>
        <w:rPr>
          <w:lang w:val="en-GB"/>
        </w:rPr>
      </w:pPr>
      <w:hyperlink r:id="rId17" w:history="1">
        <w:r w:rsidR="00F147D8" w:rsidRPr="005A5E19">
          <w:rPr>
            <w:rStyle w:val="Hyperlink"/>
            <w:lang w:val="en-GB"/>
          </w:rPr>
          <w:t>Operators (networks)</w:t>
        </w:r>
      </w:hyperlink>
      <w:r w:rsidR="00F147D8">
        <w:rPr>
          <w:lang w:val="en-GB"/>
        </w:rPr>
        <w:t>;</w:t>
      </w:r>
    </w:p>
    <w:p w:rsidR="00F147D8" w:rsidRDefault="00FD4659" w:rsidP="00F147D8">
      <w:pPr>
        <w:pStyle w:val="ListParagraph"/>
        <w:numPr>
          <w:ilvl w:val="0"/>
          <w:numId w:val="6"/>
        </w:numPr>
        <w:rPr>
          <w:lang w:val="en-GB"/>
        </w:rPr>
      </w:pPr>
      <w:hyperlink r:id="rId18" w:history="1">
        <w:r w:rsidR="00F147D8" w:rsidRPr="005A5E19">
          <w:rPr>
            <w:rStyle w:val="Hyperlink"/>
            <w:lang w:val="en-GB"/>
          </w:rPr>
          <w:t>Hosted Solutions Providers (hosted solutions)</w:t>
        </w:r>
      </w:hyperlink>
      <w:r w:rsidR="00F147D8">
        <w:rPr>
          <w:lang w:val="en-GB"/>
        </w:rPr>
        <w:t>;</w:t>
      </w:r>
    </w:p>
    <w:p w:rsidR="00F147D8" w:rsidRDefault="00FD4659" w:rsidP="00F147D8">
      <w:pPr>
        <w:pStyle w:val="ListParagraph"/>
        <w:numPr>
          <w:ilvl w:val="0"/>
          <w:numId w:val="6"/>
        </w:numPr>
        <w:rPr>
          <w:lang w:val="en-GB"/>
        </w:rPr>
      </w:pPr>
      <w:hyperlink r:id="rId19" w:history="1">
        <w:r w:rsidR="00F147D8" w:rsidRPr="005A5E19">
          <w:rPr>
            <w:rStyle w:val="Hyperlink"/>
            <w:lang w:val="en-GB"/>
          </w:rPr>
          <w:t>RCS client manufacturers (clients)</w:t>
        </w:r>
      </w:hyperlink>
      <w:r w:rsidR="00F147D8">
        <w:rPr>
          <w:lang w:val="en-GB"/>
        </w:rPr>
        <w:t>;</w:t>
      </w:r>
    </w:p>
    <w:p w:rsidR="00F147D8" w:rsidRDefault="00FD4659" w:rsidP="00F147D8">
      <w:pPr>
        <w:pStyle w:val="ListParagraph"/>
        <w:numPr>
          <w:ilvl w:val="0"/>
          <w:numId w:val="6"/>
        </w:numPr>
        <w:rPr>
          <w:lang w:val="en-GB"/>
        </w:rPr>
      </w:pPr>
      <w:hyperlink r:id="rId20" w:history="1">
        <w:r w:rsidR="00F147D8" w:rsidRPr="005A5E19">
          <w:rPr>
            <w:rStyle w:val="Hyperlink"/>
            <w:lang w:val="en-GB"/>
          </w:rPr>
          <w:t>RCS secondary client manufacturers</w:t>
        </w:r>
      </w:hyperlink>
      <w:r w:rsidR="00F147D8">
        <w:rPr>
          <w:lang w:val="en-GB"/>
        </w:rPr>
        <w:t>;</w:t>
      </w:r>
    </w:p>
    <w:p w:rsidR="00F147D8" w:rsidRPr="002943BF" w:rsidRDefault="00FD4659" w:rsidP="00F147D8">
      <w:pPr>
        <w:pStyle w:val="ListParagraph"/>
        <w:numPr>
          <w:ilvl w:val="0"/>
          <w:numId w:val="6"/>
        </w:numPr>
        <w:rPr>
          <w:lang w:val="en-GB"/>
        </w:rPr>
      </w:pPr>
      <w:hyperlink r:id="rId21" w:history="1">
        <w:r w:rsidR="00F147D8" w:rsidRPr="005A5E19">
          <w:rPr>
            <w:rStyle w:val="Hyperlink"/>
            <w:lang w:val="en-GB"/>
          </w:rPr>
          <w:t>API-based RCS products</w:t>
        </w:r>
      </w:hyperlink>
      <w:r w:rsidR="00F147D8">
        <w:rPr>
          <w:lang w:val="en-GB"/>
        </w:rPr>
        <w:t>.</w:t>
      </w:r>
    </w:p>
    <w:p w:rsidR="00F147D8" w:rsidRPr="00863A86" w:rsidRDefault="00F147D8" w:rsidP="00F147D8">
      <w:pPr>
        <w:pStyle w:val="ListParagraph"/>
        <w:numPr>
          <w:ilvl w:val="1"/>
          <w:numId w:val="2"/>
        </w:numPr>
        <w:snapToGrid w:val="0"/>
        <w:spacing w:before="360"/>
        <w:ind w:left="425" w:hanging="425"/>
        <w:contextualSpacing w:val="0"/>
        <w:rPr>
          <w:b/>
          <w:bCs/>
          <w:lang w:val="en-GB"/>
        </w:rPr>
      </w:pPr>
      <w:r w:rsidRPr="00863A86">
        <w:rPr>
          <w:b/>
          <w:bCs/>
          <w:lang w:val="en-GB"/>
        </w:rPr>
        <w:t xml:space="preserve">Description of accreditation </w:t>
      </w:r>
      <w:r>
        <w:rPr>
          <w:b/>
          <w:bCs/>
          <w:lang w:val="en-GB"/>
        </w:rPr>
        <w:t>process</w:t>
      </w:r>
    </w:p>
    <w:p w:rsidR="00F147D8" w:rsidRDefault="00F147D8" w:rsidP="00F147D8">
      <w:pPr>
        <w:rPr>
          <w:lang w:val="en-GB"/>
        </w:rPr>
      </w:pPr>
      <w:r>
        <w:rPr>
          <w:lang w:val="en-GB"/>
        </w:rPr>
        <w:t>The IOT self-accreditation process includes the following steps:</w:t>
      </w:r>
    </w:p>
    <w:p w:rsidR="00F147D8" w:rsidRPr="005B518E" w:rsidRDefault="00F147D8" w:rsidP="00F147D8">
      <w:pPr>
        <w:pStyle w:val="ListParagraph"/>
        <w:numPr>
          <w:ilvl w:val="0"/>
          <w:numId w:val="7"/>
        </w:numPr>
        <w:rPr>
          <w:lang w:val="en-GB"/>
        </w:rPr>
      </w:pPr>
      <w:r>
        <w:rPr>
          <w:lang w:val="en-GB"/>
        </w:rPr>
        <w:t xml:space="preserve">Applicant has to fill in a self-declaration form and submit it to the GSMA </w:t>
      </w:r>
      <w:r w:rsidRPr="00FE39D9">
        <w:rPr>
          <w:i/>
          <w:iCs/>
          <w:lang w:val="en-GB"/>
        </w:rPr>
        <w:t>(there are four types of application form</w:t>
      </w:r>
      <w:r>
        <w:rPr>
          <w:i/>
          <w:iCs/>
          <w:lang w:val="en-GB"/>
        </w:rPr>
        <w:t xml:space="preserve"> </w:t>
      </w:r>
      <w:r w:rsidRPr="00FE39D9">
        <w:rPr>
          <w:i/>
          <w:iCs/>
          <w:lang w:val="en-GB"/>
        </w:rPr>
        <w:t>– operators, RCS client manufacturers, Hosting Solution Providers, API-based products);</w:t>
      </w:r>
    </w:p>
    <w:p w:rsidR="00F147D8" w:rsidRPr="005A4743" w:rsidRDefault="00F147D8" w:rsidP="00F147D8">
      <w:pPr>
        <w:pStyle w:val="ListParagraph"/>
        <w:numPr>
          <w:ilvl w:val="0"/>
          <w:numId w:val="7"/>
        </w:numPr>
        <w:rPr>
          <w:lang w:val="en-GB"/>
        </w:rPr>
      </w:pPr>
      <w:r w:rsidRPr="005A4743">
        <w:rPr>
          <w:lang w:val="en-GB"/>
        </w:rPr>
        <w:t xml:space="preserve">Applicant has to perform the tests based on the relevant test suites </w:t>
      </w:r>
      <w:r w:rsidRPr="005A4743">
        <w:rPr>
          <w:i/>
          <w:iCs/>
          <w:lang w:val="en-GB"/>
        </w:rPr>
        <w:t>(Technical test cases matrix, UX test cases Matrix, Quality check list)</w:t>
      </w:r>
      <w:r>
        <w:rPr>
          <w:i/>
          <w:iCs/>
          <w:lang w:val="en-GB"/>
        </w:rPr>
        <w:t>,</w:t>
      </w:r>
      <w:r w:rsidRPr="005A4743">
        <w:rPr>
          <w:i/>
          <w:iCs/>
          <w:lang w:val="en-GB"/>
        </w:rPr>
        <w:t xml:space="preserve"> </w:t>
      </w:r>
      <w:r w:rsidRPr="005A4743">
        <w:rPr>
          <w:lang w:val="en-GB"/>
        </w:rPr>
        <w:t xml:space="preserve">collect all testing results (traces) and forward it to the GSMA </w:t>
      </w:r>
      <w:r>
        <w:rPr>
          <w:lang w:val="en-GB"/>
        </w:rPr>
        <w:t xml:space="preserve">RCS IOT team </w:t>
      </w:r>
      <w:r w:rsidRPr="005A4743">
        <w:rPr>
          <w:lang w:val="en-GB"/>
        </w:rPr>
        <w:t xml:space="preserve">for further checking </w:t>
      </w:r>
      <w:r w:rsidRPr="005A4743">
        <w:rPr>
          <w:i/>
          <w:iCs/>
          <w:lang w:val="en-GB"/>
        </w:rPr>
        <w:t>(</w:t>
      </w:r>
      <w:r w:rsidRPr="00367F6B">
        <w:rPr>
          <w:i/>
          <w:iCs/>
          <w:lang w:val="en-GB"/>
        </w:rPr>
        <w:t>All accreditation decisions are based on the decisions of the RCS IOT team.</w:t>
      </w:r>
      <w:r>
        <w:rPr>
          <w:i/>
          <w:iCs/>
          <w:lang w:val="en-GB"/>
        </w:rPr>
        <w:t xml:space="preserve"> T</w:t>
      </w:r>
      <w:r w:rsidRPr="005A4743">
        <w:rPr>
          <w:i/>
          <w:iCs/>
          <w:lang w:val="en-GB"/>
        </w:rPr>
        <w:t>he GSMA may take up to one week to validate the test</w:t>
      </w:r>
      <w:r>
        <w:rPr>
          <w:i/>
          <w:iCs/>
          <w:lang w:val="en-GB"/>
        </w:rPr>
        <w:t>ing</w:t>
      </w:r>
      <w:r w:rsidRPr="005A4743">
        <w:rPr>
          <w:i/>
          <w:iCs/>
          <w:lang w:val="en-GB"/>
        </w:rPr>
        <w:t xml:space="preserve"> results)</w:t>
      </w:r>
      <w:r w:rsidRPr="005A4743">
        <w:rPr>
          <w:lang w:val="en-GB"/>
        </w:rPr>
        <w:t>;</w:t>
      </w:r>
    </w:p>
    <w:p w:rsidR="00F147D8" w:rsidRDefault="00F147D8" w:rsidP="00F147D8">
      <w:pPr>
        <w:pStyle w:val="ListParagraph"/>
        <w:numPr>
          <w:ilvl w:val="0"/>
          <w:numId w:val="7"/>
        </w:numPr>
        <w:rPr>
          <w:lang w:val="en-GB"/>
        </w:rPr>
      </w:pPr>
      <w:r>
        <w:rPr>
          <w:lang w:val="en-GB"/>
        </w:rPr>
        <w:t xml:space="preserve">In case of positive results, GSMA registered applicant, </w:t>
      </w:r>
      <w:r w:rsidRPr="005B518E">
        <w:rPr>
          <w:lang w:val="en-GB"/>
        </w:rPr>
        <w:t>updat</w:t>
      </w:r>
      <w:r>
        <w:rPr>
          <w:lang w:val="en-GB"/>
        </w:rPr>
        <w:t>ing</w:t>
      </w:r>
      <w:r w:rsidRPr="005B518E">
        <w:rPr>
          <w:lang w:val="en-GB"/>
        </w:rPr>
        <w:t xml:space="preserve"> the list </w:t>
      </w:r>
      <w:r>
        <w:rPr>
          <w:lang w:val="en-GB"/>
        </w:rPr>
        <w:t xml:space="preserve">of the accredited companies </w:t>
      </w:r>
      <w:r w:rsidRPr="005462AF">
        <w:rPr>
          <w:i/>
          <w:iCs/>
          <w:lang w:val="en-GB"/>
        </w:rPr>
        <w:t xml:space="preserve">(this </w:t>
      </w:r>
      <w:hyperlink r:id="rId22" w:history="1">
        <w:r w:rsidRPr="00BD7E7E">
          <w:rPr>
            <w:rStyle w:val="Hyperlink"/>
            <w:i/>
            <w:iCs/>
            <w:lang w:val="en-GB"/>
          </w:rPr>
          <w:t>list</w:t>
        </w:r>
      </w:hyperlink>
      <w:r w:rsidRPr="005462AF">
        <w:rPr>
          <w:i/>
          <w:iCs/>
          <w:lang w:val="en-GB"/>
        </w:rPr>
        <w:t xml:space="preserve"> is available on the GSMA web page)</w:t>
      </w:r>
      <w:r>
        <w:rPr>
          <w:lang w:val="en-GB"/>
        </w:rPr>
        <w:t>;</w:t>
      </w:r>
    </w:p>
    <w:p w:rsidR="00F147D8" w:rsidRDefault="00F147D8" w:rsidP="00F147D8">
      <w:pPr>
        <w:pStyle w:val="ListParagraph"/>
        <w:numPr>
          <w:ilvl w:val="0"/>
          <w:numId w:val="7"/>
        </w:numPr>
        <w:rPr>
          <w:lang w:val="en-GB"/>
        </w:rPr>
      </w:pPr>
      <w:r>
        <w:rPr>
          <w:lang w:val="en-GB"/>
        </w:rPr>
        <w:t>GSMA allows applicant to use the service mark “</w:t>
      </w:r>
      <w:proofErr w:type="spellStart"/>
      <w:r>
        <w:rPr>
          <w:lang w:val="en-GB"/>
        </w:rPr>
        <w:t>j</w:t>
      </w:r>
      <w:r w:rsidRPr="0052493C">
        <w:rPr>
          <w:lang w:val="en-GB"/>
        </w:rPr>
        <w:t>oyn</w:t>
      </w:r>
      <w:proofErr w:type="spellEnd"/>
      <w:r w:rsidRPr="0052493C">
        <w:rPr>
          <w:lang w:val="en-GB"/>
        </w:rPr>
        <w:t>™</w:t>
      </w:r>
      <w:r>
        <w:rPr>
          <w:lang w:val="en-GB"/>
        </w:rPr>
        <w:t>” on the tested products/networks.</w:t>
      </w:r>
    </w:p>
    <w:p w:rsidR="00F147D8" w:rsidRDefault="00F147D8" w:rsidP="00F147D8">
      <w:pPr>
        <w:rPr>
          <w:lang w:val="en-GB"/>
        </w:rPr>
      </w:pPr>
      <w:r>
        <w:rPr>
          <w:lang w:val="en-GB"/>
        </w:rPr>
        <w:t>Note: Bearing in mind that RCS specifications are updating regularly by GSMA, each accredited company is</w:t>
      </w:r>
      <w:r w:rsidRPr="005A4743">
        <w:rPr>
          <w:lang w:val="en-GB"/>
        </w:rPr>
        <w:t xml:space="preserve"> informed about any changes in RCS specification</w:t>
      </w:r>
      <w:r>
        <w:rPr>
          <w:lang w:val="en-GB"/>
        </w:rPr>
        <w:t>s</w:t>
      </w:r>
      <w:r w:rsidRPr="005A4743">
        <w:rPr>
          <w:lang w:val="en-GB"/>
        </w:rPr>
        <w:t xml:space="preserve"> and accreditation </w:t>
      </w:r>
      <w:r>
        <w:rPr>
          <w:lang w:val="en-GB"/>
        </w:rPr>
        <w:t>procedure</w:t>
      </w:r>
      <w:r w:rsidRPr="005A4743">
        <w:rPr>
          <w:lang w:val="en-GB"/>
        </w:rPr>
        <w:t xml:space="preserve"> </w:t>
      </w:r>
      <w:r>
        <w:rPr>
          <w:lang w:val="en-GB"/>
        </w:rPr>
        <w:t xml:space="preserve">personally by email. This information is also made available on </w:t>
      </w:r>
      <w:r w:rsidRPr="005A4743">
        <w:rPr>
          <w:lang w:val="en-GB"/>
        </w:rPr>
        <w:t>the GSMA web</w:t>
      </w:r>
      <w:r>
        <w:rPr>
          <w:lang w:val="en-GB"/>
        </w:rPr>
        <w:t xml:space="preserve"> page.</w:t>
      </w:r>
    </w:p>
    <w:p w:rsidR="00F147D8" w:rsidRDefault="00F147D8" w:rsidP="00F147D8">
      <w:pPr>
        <w:rPr>
          <w:lang w:val="en-GB"/>
        </w:rPr>
      </w:pPr>
      <w:r>
        <w:rPr>
          <w:lang w:val="en-GB"/>
        </w:rPr>
        <w:t xml:space="preserve">The detailed description of the GSMA’s self-accreditation process is available in the </w:t>
      </w:r>
      <w:hyperlink r:id="rId23" w:history="1">
        <w:r w:rsidRPr="00000016">
          <w:rPr>
            <w:rStyle w:val="Hyperlink"/>
            <w:lang w:val="en-GB"/>
          </w:rPr>
          <w:t>Self-accreditation Handbook</w:t>
        </w:r>
      </w:hyperlink>
      <w:r>
        <w:rPr>
          <w:lang w:val="en-GB"/>
        </w:rPr>
        <w:t>.</w:t>
      </w:r>
    </w:p>
    <w:p w:rsidR="00F147D8" w:rsidRPr="00863A86" w:rsidRDefault="00F147D8" w:rsidP="00F147D8">
      <w:pPr>
        <w:pStyle w:val="ListParagraph"/>
        <w:numPr>
          <w:ilvl w:val="1"/>
          <w:numId w:val="2"/>
        </w:numPr>
        <w:snapToGrid w:val="0"/>
        <w:spacing w:before="240"/>
        <w:ind w:left="425" w:hanging="425"/>
        <w:contextualSpacing w:val="0"/>
        <w:rPr>
          <w:b/>
          <w:bCs/>
          <w:lang w:val="en-GB"/>
        </w:rPr>
      </w:pPr>
      <w:r w:rsidRPr="00863A86">
        <w:rPr>
          <w:b/>
          <w:bCs/>
          <w:lang w:val="en-GB"/>
        </w:rPr>
        <w:t>Criteria for accreditation</w:t>
      </w:r>
      <w:r>
        <w:rPr>
          <w:b/>
          <w:bCs/>
          <w:lang w:val="en-GB"/>
        </w:rPr>
        <w:t xml:space="preserve"> process</w:t>
      </w:r>
    </w:p>
    <w:p w:rsidR="00F147D8" w:rsidRDefault="00F147D8" w:rsidP="00F147D8">
      <w:pPr>
        <w:rPr>
          <w:lang w:val="en-GB"/>
        </w:rPr>
      </w:pPr>
      <w:r w:rsidRPr="009F6C1F">
        <w:rPr>
          <w:lang w:val="en-GB"/>
        </w:rPr>
        <w:t>The IOT is a self-accreditation process; the legal basis for this is covered by the License Agreement signed b</w:t>
      </w:r>
      <w:r>
        <w:rPr>
          <w:lang w:val="en-GB"/>
        </w:rPr>
        <w:t xml:space="preserve">etween </w:t>
      </w:r>
      <w:r w:rsidRPr="009F6C1F">
        <w:rPr>
          <w:lang w:val="en-GB"/>
        </w:rPr>
        <w:t xml:space="preserve">the GSMA and </w:t>
      </w:r>
      <w:r>
        <w:rPr>
          <w:lang w:val="en-GB"/>
        </w:rPr>
        <w:t>an</w:t>
      </w:r>
      <w:r w:rsidRPr="009F6C1F">
        <w:rPr>
          <w:lang w:val="en-GB"/>
        </w:rPr>
        <w:t xml:space="preserve"> </w:t>
      </w:r>
      <w:r>
        <w:rPr>
          <w:lang w:val="en-GB"/>
        </w:rPr>
        <w:t>applicant (</w:t>
      </w:r>
      <w:r w:rsidRPr="009F6C1F">
        <w:rPr>
          <w:lang w:val="en-GB"/>
        </w:rPr>
        <w:t>licensee</w:t>
      </w:r>
      <w:r>
        <w:rPr>
          <w:lang w:val="en-GB"/>
        </w:rPr>
        <w:t>)</w:t>
      </w:r>
      <w:r w:rsidRPr="009F6C1F">
        <w:rPr>
          <w:lang w:val="en-GB"/>
        </w:rPr>
        <w:t>.</w:t>
      </w:r>
      <w:r>
        <w:rPr>
          <w:lang w:val="en-GB"/>
        </w:rPr>
        <w:t xml:space="preserve"> </w:t>
      </w:r>
      <w:proofErr w:type="gramStart"/>
      <w:r>
        <w:rPr>
          <w:rFonts w:eastAsia="Times New Roman"/>
        </w:rPr>
        <w:t xml:space="preserve">Applicant signs </w:t>
      </w:r>
      <w:r>
        <w:rPr>
          <w:lang w:val="en-GB"/>
        </w:rPr>
        <w:t>“</w:t>
      </w:r>
      <w:proofErr w:type="spellStart"/>
      <w:r>
        <w:rPr>
          <w:lang w:val="en-GB"/>
        </w:rPr>
        <w:t>j</w:t>
      </w:r>
      <w:r w:rsidRPr="0052493C">
        <w:rPr>
          <w:lang w:val="en-GB"/>
        </w:rPr>
        <w:t>oyn</w:t>
      </w:r>
      <w:proofErr w:type="spellEnd"/>
      <w:r w:rsidRPr="0052493C">
        <w:rPr>
          <w:lang w:val="en-GB"/>
        </w:rPr>
        <w:t>™</w:t>
      </w:r>
      <w:r>
        <w:rPr>
          <w:lang w:val="en-GB"/>
        </w:rPr>
        <w:t>”</w:t>
      </w:r>
      <w:r>
        <w:rPr>
          <w:rFonts w:eastAsia="Times New Roman"/>
        </w:rPr>
        <w:t xml:space="preserve"> Logo License Agreement and need to pass accreditation testing within 60 days.</w:t>
      </w:r>
      <w:proofErr w:type="gramEnd"/>
    </w:p>
    <w:p w:rsidR="00F147D8" w:rsidRPr="005B0E84" w:rsidRDefault="00F147D8" w:rsidP="00F147D8">
      <w:r w:rsidRPr="005B0E84">
        <w:t>According to the ‘</w:t>
      </w:r>
      <w:proofErr w:type="spellStart"/>
      <w:r w:rsidRPr="005B0E84">
        <w:t>joyn</w:t>
      </w:r>
      <w:proofErr w:type="spellEnd"/>
      <w:r w:rsidRPr="005B0E84">
        <w:t>’ Logo License Agreement there are two types of licensees available: ‘Operators’ and ‘RCS client manufactures’ with the following definition (</w:t>
      </w:r>
      <w:hyperlink r:id="rId24" w:history="1">
        <w:r w:rsidRPr="00000016">
          <w:rPr>
            <w:rStyle w:val="Hyperlink"/>
            <w:lang w:val="en-GB"/>
          </w:rPr>
          <w:t>Self-accreditation Handbook</w:t>
        </w:r>
      </w:hyperlink>
      <w:r w:rsidRPr="005B0E84">
        <w:t>):</w:t>
      </w:r>
    </w:p>
    <w:p w:rsidR="00F147D8" w:rsidRPr="005B0E84" w:rsidRDefault="00F147D8" w:rsidP="00F147D8">
      <w:pPr>
        <w:pStyle w:val="ListParagraph"/>
        <w:numPr>
          <w:ilvl w:val="0"/>
          <w:numId w:val="6"/>
        </w:numPr>
        <w:rPr>
          <w:lang w:val="en-GB"/>
        </w:rPr>
      </w:pPr>
      <w:r w:rsidRPr="005B0E84">
        <w:rPr>
          <w:b/>
          <w:bCs/>
          <w:lang w:val="en-GB"/>
        </w:rPr>
        <w:t>Operators (networks)</w:t>
      </w:r>
      <w:r w:rsidRPr="005B0E84">
        <w:rPr>
          <w:lang w:val="en-GB"/>
        </w:rPr>
        <w:t>, companies providing RCS services to users.</w:t>
      </w:r>
    </w:p>
    <w:p w:rsidR="00F147D8" w:rsidRPr="005B0E84" w:rsidRDefault="00F147D8" w:rsidP="00F147D8">
      <w:pPr>
        <w:pStyle w:val="ListParagraph"/>
        <w:numPr>
          <w:ilvl w:val="0"/>
          <w:numId w:val="6"/>
        </w:numPr>
        <w:rPr>
          <w:lang w:val="en-GB"/>
        </w:rPr>
      </w:pPr>
      <w:r w:rsidRPr="005B0E84">
        <w:rPr>
          <w:b/>
          <w:bCs/>
          <w:lang w:val="en-GB"/>
        </w:rPr>
        <w:lastRenderedPageBreak/>
        <w:t>RCS client manufacturers (clients)</w:t>
      </w:r>
      <w:r w:rsidRPr="005B0E84">
        <w:rPr>
          <w:lang w:val="en-GB"/>
        </w:rPr>
        <w:t>, companies producing independent software for the end-user devices or embedded solutions from Original Equipment Manufacturer (OEM) supporting provisioning of the RCS services in the operator’s network.</w:t>
      </w:r>
    </w:p>
    <w:p w:rsidR="00F147D8" w:rsidRPr="005B0E84" w:rsidRDefault="00F147D8" w:rsidP="00F147D8">
      <w:r w:rsidRPr="005B0E84">
        <w:t>The additional ‘</w:t>
      </w:r>
      <w:proofErr w:type="spellStart"/>
      <w:r w:rsidRPr="005B0E84">
        <w:t>joyn</w:t>
      </w:r>
      <w:proofErr w:type="spellEnd"/>
      <w:r w:rsidRPr="005B0E84">
        <w:t>’ Logo License Agreements define two more types of Licensees:</w:t>
      </w:r>
    </w:p>
    <w:p w:rsidR="00F147D8" w:rsidRPr="005B0E84" w:rsidRDefault="00F147D8" w:rsidP="00F147D8">
      <w:pPr>
        <w:pStyle w:val="ListParagraph"/>
        <w:numPr>
          <w:ilvl w:val="0"/>
          <w:numId w:val="6"/>
        </w:numPr>
        <w:rPr>
          <w:lang w:val="en-GB"/>
        </w:rPr>
      </w:pPr>
      <w:r w:rsidRPr="005B0E84">
        <w:rPr>
          <w:b/>
          <w:bCs/>
          <w:lang w:val="en-GB"/>
        </w:rPr>
        <w:t>Hosted Solution Providers (hosted solutions)</w:t>
      </w:r>
      <w:r w:rsidRPr="005B0E84">
        <w:rPr>
          <w:lang w:val="en-GB"/>
        </w:rPr>
        <w:t>, companies supplying complete RCS solutions to Operators;</w:t>
      </w:r>
    </w:p>
    <w:p w:rsidR="00F147D8" w:rsidRPr="005B0E84" w:rsidRDefault="00F147D8" w:rsidP="00F147D8">
      <w:pPr>
        <w:pStyle w:val="ListParagraph"/>
        <w:numPr>
          <w:ilvl w:val="0"/>
          <w:numId w:val="6"/>
        </w:numPr>
        <w:rPr>
          <w:lang w:val="en-GB"/>
        </w:rPr>
      </w:pPr>
      <w:r w:rsidRPr="005B0E84">
        <w:rPr>
          <w:b/>
          <w:bCs/>
          <w:lang w:val="en-GB"/>
        </w:rPr>
        <w:t>API-based Products Providers (APIs)</w:t>
      </w:r>
      <w:r w:rsidRPr="005B0E84">
        <w:rPr>
          <w:lang w:val="en-GB"/>
        </w:rPr>
        <w:t>, companies delivering the following types of Products:</w:t>
      </w:r>
    </w:p>
    <w:p w:rsidR="00F147D8" w:rsidRPr="005B0E84" w:rsidRDefault="00F147D8" w:rsidP="00F147D8">
      <w:pPr>
        <w:pStyle w:val="ListParagraph"/>
        <w:numPr>
          <w:ilvl w:val="0"/>
          <w:numId w:val="6"/>
        </w:numPr>
        <w:ind w:left="1134"/>
        <w:rPr>
          <w:lang w:val="en-GB"/>
        </w:rPr>
      </w:pPr>
      <w:r w:rsidRPr="005B0E84">
        <w:rPr>
          <w:b/>
          <w:bCs/>
          <w:lang w:val="en-GB"/>
        </w:rPr>
        <w:t>RCS Web thin client</w:t>
      </w:r>
      <w:r w:rsidRPr="005B0E84">
        <w:rPr>
          <w:lang w:val="en-GB"/>
        </w:rPr>
        <w:t xml:space="preserve">, a Web-based application emulating RCS client and uses OMA </w:t>
      </w:r>
      <w:proofErr w:type="spellStart"/>
      <w:r w:rsidRPr="005B0E84">
        <w:rPr>
          <w:lang w:val="en-GB"/>
        </w:rPr>
        <w:t>RESTful</w:t>
      </w:r>
      <w:proofErr w:type="spellEnd"/>
      <w:r w:rsidRPr="005B0E84">
        <w:rPr>
          <w:lang w:val="en-GB"/>
        </w:rPr>
        <w:t xml:space="preserve"> Network APIs to connect to the RCS Service Network and provide users with the RCS service;</w:t>
      </w:r>
    </w:p>
    <w:p w:rsidR="00F147D8" w:rsidRPr="005B0E84" w:rsidRDefault="00F147D8" w:rsidP="00F147D8">
      <w:pPr>
        <w:pStyle w:val="ListParagraph"/>
        <w:numPr>
          <w:ilvl w:val="0"/>
          <w:numId w:val="6"/>
        </w:numPr>
        <w:ind w:left="1134"/>
        <w:rPr>
          <w:lang w:val="en-GB"/>
        </w:rPr>
      </w:pPr>
      <w:r w:rsidRPr="005B0E84">
        <w:rPr>
          <w:b/>
          <w:bCs/>
          <w:lang w:val="en-GB"/>
        </w:rPr>
        <w:t>RCS API Gateway (API GW)</w:t>
      </w:r>
      <w:r w:rsidRPr="005B0E84">
        <w:rPr>
          <w:lang w:val="en-GB"/>
        </w:rPr>
        <w:t xml:space="preserve">, an interworking functional entity which is simulating RCS client on the UNI interface side towards RCS Service Network and supporting OMA </w:t>
      </w:r>
      <w:proofErr w:type="spellStart"/>
      <w:r w:rsidRPr="005B0E84">
        <w:rPr>
          <w:lang w:val="en-GB"/>
        </w:rPr>
        <w:t>RESTful</w:t>
      </w:r>
      <w:proofErr w:type="spellEnd"/>
      <w:r w:rsidRPr="005B0E84">
        <w:rPr>
          <w:lang w:val="en-GB"/>
        </w:rPr>
        <w:t xml:space="preserve"> APIs on interface towards web-clients;</w:t>
      </w:r>
    </w:p>
    <w:p w:rsidR="00F147D8" w:rsidRPr="005B0E84" w:rsidRDefault="00F147D8" w:rsidP="00F147D8">
      <w:pPr>
        <w:pStyle w:val="ListParagraph"/>
        <w:numPr>
          <w:ilvl w:val="0"/>
          <w:numId w:val="6"/>
        </w:numPr>
        <w:ind w:left="1134"/>
        <w:rPr>
          <w:lang w:val="en-GB"/>
        </w:rPr>
      </w:pPr>
      <w:r w:rsidRPr="005B0E84">
        <w:rPr>
          <w:b/>
          <w:bCs/>
          <w:lang w:val="en-GB"/>
        </w:rPr>
        <w:t>RCS Network APIs sets</w:t>
      </w:r>
      <w:r w:rsidRPr="005B0E84">
        <w:rPr>
          <w:lang w:val="en-GB"/>
        </w:rPr>
        <w:t xml:space="preserve">, API Application server or API Gateway solutions which provide network interface towards Web thin clients and supporting OMA </w:t>
      </w:r>
      <w:proofErr w:type="spellStart"/>
      <w:r w:rsidRPr="005B0E84">
        <w:rPr>
          <w:lang w:val="en-GB"/>
        </w:rPr>
        <w:t>RESTful</w:t>
      </w:r>
      <w:proofErr w:type="spellEnd"/>
      <w:r w:rsidRPr="005B0E84">
        <w:rPr>
          <w:lang w:val="en-GB"/>
        </w:rPr>
        <w:t xml:space="preserve"> APIs. Such products shall</w:t>
      </w:r>
    </w:p>
    <w:p w:rsidR="00F147D8" w:rsidRDefault="00F147D8" w:rsidP="00F147D8">
      <w:pPr>
        <w:rPr>
          <w:lang w:val="en-GB"/>
        </w:rPr>
      </w:pPr>
      <w:r>
        <w:rPr>
          <w:lang w:val="en-GB"/>
        </w:rPr>
        <w:t xml:space="preserve">Note 1: </w:t>
      </w:r>
      <w:r>
        <w:rPr>
          <w:rFonts w:eastAsia="Times New Roman"/>
        </w:rPr>
        <w:t>ANY company can sign license agreement and get accreditation. It is free of charge. Non-members will have to sign special NDA though or non-member agreement valid for 3 months.</w:t>
      </w:r>
    </w:p>
    <w:p w:rsidR="00F147D8" w:rsidRPr="009F6C1F" w:rsidRDefault="00F147D8" w:rsidP="00F147D8">
      <w:r>
        <w:rPr>
          <w:lang w:val="en-GB"/>
        </w:rPr>
        <w:t xml:space="preserve">Note 2: </w:t>
      </w:r>
      <w:r>
        <w:t>Since</w:t>
      </w:r>
      <w:r w:rsidRPr="009F6C1F">
        <w:t xml:space="preserve"> </w:t>
      </w:r>
      <w:r>
        <w:t xml:space="preserve">1 </w:t>
      </w:r>
      <w:r w:rsidRPr="009F6C1F">
        <w:t xml:space="preserve">November 2013, </w:t>
      </w:r>
      <w:r w:rsidRPr="00D05816">
        <w:t>manufacturers of RCS v1.2.2/</w:t>
      </w:r>
      <w:proofErr w:type="spellStart"/>
      <w:r w:rsidRPr="00D05816">
        <w:t>HotFix</w:t>
      </w:r>
      <w:proofErr w:type="spellEnd"/>
      <w:r w:rsidRPr="00D05816">
        <w:t xml:space="preserve">-clients should apply for a license to use the service mark </w:t>
      </w:r>
      <w:proofErr w:type="spellStart"/>
      <w:r w:rsidRPr="00D05816">
        <w:t>joyn</w:t>
      </w:r>
      <w:proofErr w:type="spellEnd"/>
      <w:r w:rsidRPr="00D05816">
        <w:t>™, based on the certificat</w:t>
      </w:r>
      <w:r>
        <w:t>e issued</w:t>
      </w:r>
      <w:r w:rsidRPr="00D05816">
        <w:t xml:space="preserve"> by GCF.</w:t>
      </w:r>
    </w:p>
    <w:p w:rsidR="00B86E56" w:rsidRPr="00B86E56" w:rsidRDefault="00B86E56" w:rsidP="00B86E56">
      <w:pPr>
        <w:pStyle w:val="Heading1"/>
        <w:pageBreakBefore/>
        <w:numPr>
          <w:ilvl w:val="0"/>
          <w:numId w:val="2"/>
        </w:numPr>
        <w:ind w:left="357" w:hanging="357"/>
        <w:rPr>
          <w:color w:val="auto"/>
          <w:sz w:val="24"/>
          <w:szCs w:val="24"/>
          <w:lang w:val="en-GB"/>
        </w:rPr>
      </w:pPr>
      <w:bookmarkStart w:id="2" w:name="_Toc389225141"/>
      <w:bookmarkEnd w:id="1"/>
      <w:r w:rsidRPr="00B86E56">
        <w:rPr>
          <w:color w:val="auto"/>
          <w:sz w:val="24"/>
          <w:szCs w:val="24"/>
          <w:lang w:val="en-GB"/>
        </w:rPr>
        <w:lastRenderedPageBreak/>
        <w:t>Continua health Alliance</w:t>
      </w:r>
      <w:bookmarkEnd w:id="2"/>
    </w:p>
    <w:p w:rsidR="00B86E56" w:rsidRPr="000A1AE6" w:rsidRDefault="00B86E56" w:rsidP="00B86E56">
      <w:pPr>
        <w:pStyle w:val="ListParagraph"/>
        <w:numPr>
          <w:ilvl w:val="1"/>
          <w:numId w:val="2"/>
        </w:numPr>
        <w:snapToGrid w:val="0"/>
        <w:spacing w:before="240"/>
        <w:ind w:left="425" w:hanging="425"/>
        <w:contextualSpacing w:val="0"/>
        <w:rPr>
          <w:b/>
          <w:bCs/>
          <w:lang w:val="en-GB"/>
        </w:rPr>
      </w:pPr>
      <w:r w:rsidRPr="000A1AE6">
        <w:rPr>
          <w:b/>
          <w:bCs/>
          <w:lang w:val="en-GB"/>
        </w:rPr>
        <w:t>General information</w:t>
      </w:r>
    </w:p>
    <w:p w:rsidR="002B58CF" w:rsidRPr="004F09D7" w:rsidRDefault="004F09D7" w:rsidP="002C3B86">
      <w:pPr>
        <w:rPr>
          <w:lang w:val="en-GB"/>
        </w:rPr>
      </w:pPr>
      <w:r w:rsidRPr="004F09D7">
        <w:rPr>
          <w:lang w:val="en-GB"/>
        </w:rPr>
        <w:t xml:space="preserve">The Continua Health Alliance is a collaborative industry organization dedicated to bringing together standards and diverse technology. </w:t>
      </w:r>
      <w:r w:rsidR="002B58CF" w:rsidRPr="002B58CF">
        <w:rPr>
          <w:lang w:val="en-GB"/>
        </w:rPr>
        <w:t>With more than 200 member companies around the world</w:t>
      </w:r>
      <w:r w:rsidR="002B58CF">
        <w:rPr>
          <w:lang w:val="en-GB"/>
        </w:rPr>
        <w:t xml:space="preserve">, Continua </w:t>
      </w:r>
      <w:proofErr w:type="gramStart"/>
      <w:r w:rsidR="002B58CF">
        <w:rPr>
          <w:lang w:val="en-GB"/>
        </w:rPr>
        <w:t>is</w:t>
      </w:r>
      <w:proofErr w:type="gramEnd"/>
      <w:r w:rsidR="002B58CF">
        <w:rPr>
          <w:lang w:val="en-GB"/>
        </w:rPr>
        <w:t xml:space="preserve"> </w:t>
      </w:r>
      <w:r w:rsidRPr="004F09D7">
        <w:rPr>
          <w:lang w:val="en-GB"/>
        </w:rPr>
        <w:t>establish</w:t>
      </w:r>
      <w:r w:rsidR="002B58CF">
        <w:rPr>
          <w:lang w:val="en-GB"/>
        </w:rPr>
        <w:t>ing</w:t>
      </w:r>
      <w:r w:rsidRPr="004F09D7">
        <w:rPr>
          <w:lang w:val="en-GB"/>
        </w:rPr>
        <w:t xml:space="preserve"> an ecosystem of interoperable personal health systems that empower people and organizations to better manage their health and wellness. This vision relies on the interoperability between components, systems, and subsystems incorporated within these health systems.</w:t>
      </w:r>
    </w:p>
    <w:p w:rsidR="00B86E56" w:rsidRPr="00C57684" w:rsidRDefault="00614551" w:rsidP="00B86E56">
      <w:pPr>
        <w:pStyle w:val="ListParagraph"/>
        <w:numPr>
          <w:ilvl w:val="1"/>
          <w:numId w:val="2"/>
        </w:numPr>
        <w:snapToGrid w:val="0"/>
        <w:spacing w:before="240"/>
        <w:ind w:left="425" w:hanging="425"/>
        <w:contextualSpacing w:val="0"/>
        <w:rPr>
          <w:b/>
          <w:bCs/>
          <w:lang w:val="en-GB"/>
        </w:rPr>
      </w:pPr>
      <w:r>
        <w:rPr>
          <w:b/>
          <w:bCs/>
          <w:lang w:val="en-GB"/>
        </w:rPr>
        <w:t>References</w:t>
      </w:r>
    </w:p>
    <w:p w:rsidR="00B86E56" w:rsidRDefault="00CB5B72" w:rsidP="00A02E4B">
      <w:pPr>
        <w:rPr>
          <w:lang w:val="en-GB"/>
        </w:rPr>
      </w:pPr>
      <w:r>
        <w:rPr>
          <w:lang w:val="en-GB"/>
        </w:rPr>
        <w:t xml:space="preserve">All information below has been taken from </w:t>
      </w:r>
      <w:r w:rsidR="006426A2">
        <w:rPr>
          <w:lang w:val="en-GB"/>
        </w:rPr>
        <w:t xml:space="preserve">Continua </w:t>
      </w:r>
      <w:hyperlink r:id="rId25" w:history="1">
        <w:r w:rsidR="006426A2" w:rsidRPr="006426A2">
          <w:rPr>
            <w:rStyle w:val="Hyperlink"/>
            <w:lang w:val="en-GB"/>
          </w:rPr>
          <w:t>web page</w:t>
        </w:r>
      </w:hyperlink>
      <w:r w:rsidR="006426A2">
        <w:rPr>
          <w:lang w:val="en-GB"/>
        </w:rPr>
        <w:t xml:space="preserve"> and </w:t>
      </w:r>
      <w:r w:rsidRPr="00CB5B72">
        <w:rPr>
          <w:lang w:val="en-GB"/>
        </w:rPr>
        <w:t>Continua Certification Expert Project Plan</w:t>
      </w:r>
      <w:r>
        <w:rPr>
          <w:lang w:val="en-GB"/>
        </w:rPr>
        <w:t xml:space="preserve"> (</w:t>
      </w:r>
      <w:r w:rsidRPr="00CB5B72">
        <w:rPr>
          <w:lang w:val="en-GB"/>
        </w:rPr>
        <w:t>Version 1.0</w:t>
      </w:r>
      <w:r>
        <w:rPr>
          <w:lang w:val="en-GB"/>
        </w:rPr>
        <w:t>, 23 Nov 2010)</w:t>
      </w:r>
      <w:r w:rsidR="00A02E4B">
        <w:rPr>
          <w:lang w:val="en-GB"/>
        </w:rPr>
        <w:t xml:space="preserve">, which is also available at </w:t>
      </w:r>
      <w:hyperlink r:id="rId26" w:history="1">
        <w:r w:rsidR="00A02E4B" w:rsidRPr="00756689">
          <w:rPr>
            <w:rStyle w:val="Hyperlink"/>
            <w:lang w:val="en-GB"/>
          </w:rPr>
          <w:t>http://www.continuaalliance.org/node/213</w:t>
        </w:r>
      </w:hyperlink>
      <w:r w:rsidR="00A02E4B">
        <w:rPr>
          <w:lang w:val="en-GB"/>
        </w:rPr>
        <w:t>.</w:t>
      </w:r>
    </w:p>
    <w:p w:rsidR="00614551" w:rsidRDefault="00614551" w:rsidP="00614551">
      <w:pPr>
        <w:rPr>
          <w:lang w:val="en-GB"/>
        </w:rPr>
      </w:pPr>
      <w:r>
        <w:rPr>
          <w:lang w:val="en-GB"/>
        </w:rPr>
        <w:t xml:space="preserve">The list of recognized TL is available at the following link </w:t>
      </w:r>
      <w:hyperlink r:id="rId27" w:history="1">
        <w:r w:rsidRPr="00756689">
          <w:rPr>
            <w:rStyle w:val="Hyperlink"/>
            <w:lang w:val="en-GB"/>
          </w:rPr>
          <w:t>http://www.continuaalliance.org/products-certification-process/continua-test-labs</w:t>
        </w:r>
      </w:hyperlink>
      <w:r>
        <w:rPr>
          <w:lang w:val="en-GB"/>
        </w:rPr>
        <w:t>.</w:t>
      </w:r>
    </w:p>
    <w:p w:rsidR="00614551" w:rsidRDefault="00614551" w:rsidP="00614551">
      <w:pPr>
        <w:rPr>
          <w:lang w:val="en-GB"/>
        </w:rPr>
      </w:pPr>
      <w:r>
        <w:rPr>
          <w:lang w:val="en-GB"/>
        </w:rPr>
        <w:t xml:space="preserve">The detailed information about Continua’s certification process is available at the following link </w:t>
      </w:r>
      <w:hyperlink r:id="rId28" w:history="1">
        <w:r w:rsidRPr="00756689">
          <w:rPr>
            <w:rStyle w:val="Hyperlink"/>
            <w:lang w:val="en-GB"/>
          </w:rPr>
          <w:t>http://www.continuaalliance.org/products/certification-process</w:t>
        </w:r>
      </w:hyperlink>
      <w:r>
        <w:rPr>
          <w:lang w:val="en-GB"/>
        </w:rPr>
        <w:t>.</w:t>
      </w:r>
    </w:p>
    <w:p w:rsidR="00B86E56" w:rsidRPr="00C57684" w:rsidRDefault="00B86E56" w:rsidP="00B86E56">
      <w:pPr>
        <w:pStyle w:val="ListParagraph"/>
        <w:numPr>
          <w:ilvl w:val="1"/>
          <w:numId w:val="2"/>
        </w:numPr>
        <w:snapToGrid w:val="0"/>
        <w:spacing w:before="240"/>
        <w:ind w:left="425" w:hanging="425"/>
        <w:contextualSpacing w:val="0"/>
        <w:rPr>
          <w:b/>
          <w:bCs/>
          <w:lang w:val="en-GB"/>
        </w:rPr>
      </w:pPr>
      <w:r w:rsidRPr="00C57684">
        <w:rPr>
          <w:b/>
          <w:bCs/>
          <w:lang w:val="en-GB"/>
        </w:rPr>
        <w:t>SDO’s Scope</w:t>
      </w:r>
    </w:p>
    <w:p w:rsidR="00B86E56" w:rsidRDefault="004F09D7" w:rsidP="00AD1F53">
      <w:pPr>
        <w:rPr>
          <w:lang w:val="en-GB"/>
        </w:rPr>
      </w:pPr>
      <w:r>
        <w:rPr>
          <w:lang w:val="en-GB"/>
        </w:rPr>
        <w:t>Continua launched the Test and Certification Program and Certification Expert (CCE) Program.</w:t>
      </w:r>
    </w:p>
    <w:p w:rsidR="004F09D7" w:rsidRDefault="004F09D7" w:rsidP="001406A8">
      <w:pPr>
        <w:rPr>
          <w:lang w:val="en-GB"/>
        </w:rPr>
      </w:pPr>
      <w:r w:rsidRPr="004F09D7">
        <w:rPr>
          <w:lang w:val="en-GB"/>
        </w:rPr>
        <w:t>Continua’s Test and Certification program is designed to ensure that Continua certified products will interoperate when connected in a personal health system</w:t>
      </w:r>
      <w:r>
        <w:rPr>
          <w:lang w:val="en-GB"/>
        </w:rPr>
        <w:t xml:space="preserve"> and </w:t>
      </w:r>
      <w:r w:rsidRPr="004F09D7">
        <w:rPr>
          <w:lang w:val="en-GB"/>
        </w:rPr>
        <w:t>conform to the standards and specifications defined by Continua. The culmination of this program is the granting of a Continua Certification Logo to compliant devices.</w:t>
      </w:r>
    </w:p>
    <w:p w:rsidR="004F09D7" w:rsidRDefault="004F09D7" w:rsidP="004F09D7">
      <w:pPr>
        <w:rPr>
          <w:lang w:val="en-GB"/>
        </w:rPr>
      </w:pPr>
      <w:r w:rsidRPr="004F09D7">
        <w:rPr>
          <w:lang w:val="en-GB"/>
        </w:rPr>
        <w:t>Continua Certification Expert (CCE) program is designed primarily to support this program, ensuring the quality of Continua Certification.</w:t>
      </w:r>
    </w:p>
    <w:p w:rsidR="00B86E56" w:rsidRPr="00863A86" w:rsidRDefault="00B86E56" w:rsidP="006426A2">
      <w:pPr>
        <w:pStyle w:val="ListParagraph"/>
        <w:numPr>
          <w:ilvl w:val="1"/>
          <w:numId w:val="2"/>
        </w:numPr>
        <w:snapToGrid w:val="0"/>
        <w:spacing w:before="240"/>
        <w:ind w:left="425" w:hanging="425"/>
        <w:contextualSpacing w:val="0"/>
        <w:rPr>
          <w:b/>
          <w:bCs/>
          <w:lang w:val="en-GB"/>
        </w:rPr>
      </w:pPr>
      <w:r w:rsidRPr="00863A86">
        <w:rPr>
          <w:b/>
          <w:bCs/>
          <w:lang w:val="en-GB"/>
        </w:rPr>
        <w:t>Description of TL</w:t>
      </w:r>
      <w:r w:rsidR="006426A2">
        <w:rPr>
          <w:b/>
          <w:bCs/>
          <w:lang w:val="en-GB"/>
        </w:rPr>
        <w:t>’s</w:t>
      </w:r>
      <w:r w:rsidRPr="00863A86">
        <w:rPr>
          <w:b/>
          <w:bCs/>
          <w:lang w:val="en-GB"/>
        </w:rPr>
        <w:t xml:space="preserve"> </w:t>
      </w:r>
      <w:r w:rsidR="006426A2">
        <w:rPr>
          <w:b/>
          <w:bCs/>
          <w:lang w:val="en-GB"/>
        </w:rPr>
        <w:t>qualification</w:t>
      </w:r>
      <w:r w:rsidRPr="00863A86">
        <w:rPr>
          <w:b/>
          <w:bCs/>
          <w:lang w:val="en-GB"/>
        </w:rPr>
        <w:t xml:space="preserve"> procedure</w:t>
      </w:r>
    </w:p>
    <w:p w:rsidR="0010523B" w:rsidRDefault="0010523B" w:rsidP="00EA768B">
      <w:pPr>
        <w:rPr>
          <w:lang w:val="en-GB"/>
        </w:rPr>
      </w:pPr>
      <w:r>
        <w:rPr>
          <w:lang w:val="en-GB"/>
        </w:rPr>
        <w:t xml:space="preserve">The TL’s qualification procedure is based on the results of the check list which are to be discussed </w:t>
      </w:r>
      <w:r w:rsidRPr="0010523B">
        <w:rPr>
          <w:lang w:val="en-GB"/>
        </w:rPr>
        <w:t xml:space="preserve">between </w:t>
      </w:r>
      <w:r>
        <w:rPr>
          <w:lang w:val="en-GB"/>
        </w:rPr>
        <w:t>TL</w:t>
      </w:r>
      <w:r w:rsidRPr="0010523B">
        <w:rPr>
          <w:lang w:val="en-GB"/>
        </w:rPr>
        <w:t xml:space="preserve"> and Continua personnel (Inspector), prior to a lab conducting its first certification.</w:t>
      </w:r>
    </w:p>
    <w:p w:rsidR="0010523B" w:rsidRPr="0010523B" w:rsidRDefault="0010523B" w:rsidP="0010523B">
      <w:pPr>
        <w:rPr>
          <w:lang w:val="en-GB"/>
        </w:rPr>
      </w:pPr>
      <w:r w:rsidRPr="0010523B">
        <w:rPr>
          <w:lang w:val="en-GB"/>
        </w:rPr>
        <w:t>The Inspector will travel to the test site for the Test Lab’s first certification and will witness the certification testing. The Inspector may request that the Test Lab show or demonstrate the systems and facilities.</w:t>
      </w:r>
    </w:p>
    <w:p w:rsidR="0010523B" w:rsidRDefault="0010523B" w:rsidP="0010523B">
      <w:pPr>
        <w:rPr>
          <w:lang w:val="en-GB"/>
        </w:rPr>
      </w:pPr>
      <w:r w:rsidRPr="0010523B">
        <w:rPr>
          <w:lang w:val="en-GB"/>
        </w:rPr>
        <w:t xml:space="preserve">The Inspector assigned to review the Test Lab will report observation findings which, when complete, will become the final report. The Inspector will publish then review the final report with the Test Lab’s </w:t>
      </w:r>
      <w:r w:rsidRPr="0010523B">
        <w:rPr>
          <w:lang w:val="en-GB"/>
        </w:rPr>
        <w:lastRenderedPageBreak/>
        <w:t>management and Test Tool CCB. If a Services Agreement is already in place with the Test Lab, the Inspector will activate the Test Lab if the Lab has met the minimum standards.</w:t>
      </w:r>
    </w:p>
    <w:p w:rsidR="00614551" w:rsidRDefault="0010523B" w:rsidP="0010523B">
      <w:pPr>
        <w:rPr>
          <w:lang w:val="en-GB"/>
        </w:rPr>
      </w:pPr>
      <w:r w:rsidRPr="0010523B">
        <w:rPr>
          <w:lang w:val="en-GB"/>
        </w:rPr>
        <w:t>If a Services Agreement is not yet in place with the Test Lab, the Inspector will send this report on to Test Tool CCB in order to create a Services Agreement with the Test Lab. The Inspector's report will be available to both Test Tool CCB members and to the Test Lab.</w:t>
      </w:r>
    </w:p>
    <w:p w:rsidR="00B86E56" w:rsidRPr="00863A86" w:rsidRDefault="00B86E56" w:rsidP="00A04ED8">
      <w:pPr>
        <w:pStyle w:val="ListParagraph"/>
        <w:numPr>
          <w:ilvl w:val="1"/>
          <w:numId w:val="2"/>
        </w:numPr>
        <w:snapToGrid w:val="0"/>
        <w:spacing w:before="240"/>
        <w:ind w:left="425" w:hanging="425"/>
        <w:contextualSpacing w:val="0"/>
        <w:rPr>
          <w:b/>
          <w:bCs/>
          <w:lang w:val="en-GB"/>
        </w:rPr>
      </w:pPr>
      <w:r w:rsidRPr="00863A86">
        <w:rPr>
          <w:b/>
          <w:bCs/>
          <w:lang w:val="en-GB"/>
        </w:rPr>
        <w:t>Criteria for recognition of the TLs</w:t>
      </w:r>
    </w:p>
    <w:p w:rsidR="00A04ED8" w:rsidRPr="00774F5C" w:rsidRDefault="00AD1F53" w:rsidP="00AD1F53">
      <w:pPr>
        <w:jc w:val="both"/>
      </w:pPr>
      <w:r>
        <w:t xml:space="preserve">To be recognized as a </w:t>
      </w:r>
      <w:r w:rsidRPr="00774F5C">
        <w:t>Continua Qualified Test Lab</w:t>
      </w:r>
      <w:r>
        <w:t xml:space="preserve">, Testing Laboratory </w:t>
      </w:r>
      <w:r w:rsidR="00774F5C">
        <w:t>(</w:t>
      </w:r>
      <w:r w:rsidR="00A04ED8" w:rsidRPr="00774F5C">
        <w:t>TL</w:t>
      </w:r>
      <w:r w:rsidR="00774F5C">
        <w:t>)</w:t>
      </w:r>
      <w:r w:rsidR="00A04ED8" w:rsidRPr="00774F5C">
        <w:t xml:space="preserve"> </w:t>
      </w:r>
      <w:r w:rsidR="006426A2">
        <w:t>has</w:t>
      </w:r>
      <w:r w:rsidR="001A2716">
        <w:t xml:space="preserve"> </w:t>
      </w:r>
      <w:r w:rsidR="00A04ED8" w:rsidRPr="00774F5C">
        <w:t xml:space="preserve">to meet </w:t>
      </w:r>
      <w:r>
        <w:t>t</w:t>
      </w:r>
      <w:r w:rsidRPr="00774F5C">
        <w:t xml:space="preserve">he following lists </w:t>
      </w:r>
      <w:r>
        <w:t xml:space="preserve">of </w:t>
      </w:r>
      <w:r w:rsidRPr="00774F5C">
        <w:t>the requirements</w:t>
      </w:r>
      <w:r w:rsidR="005D13CA">
        <w:t xml:space="preserve"> </w:t>
      </w:r>
      <w:r w:rsidR="005D13CA" w:rsidRPr="005E3FA9">
        <w:rPr>
          <w:i/>
          <w:iCs/>
        </w:rPr>
        <w:t xml:space="preserve">(source: </w:t>
      </w:r>
      <w:r w:rsidR="005E3FA9" w:rsidRPr="005E3FA9">
        <w:rPr>
          <w:i/>
          <w:iCs/>
        </w:rPr>
        <w:t>Continua document “</w:t>
      </w:r>
      <w:r w:rsidR="005D13CA" w:rsidRPr="005E3FA9">
        <w:rPr>
          <w:i/>
          <w:iCs/>
        </w:rPr>
        <w:t>Test Lab SOW</w:t>
      </w:r>
      <w:r w:rsidR="005E3FA9" w:rsidRPr="005E3FA9">
        <w:rPr>
          <w:i/>
          <w:iCs/>
        </w:rPr>
        <w:t>”</w:t>
      </w:r>
      <w:r w:rsidR="005D13CA" w:rsidRPr="005E3FA9">
        <w:rPr>
          <w:i/>
          <w:iCs/>
        </w:rPr>
        <w:t>)</w:t>
      </w:r>
      <w:r>
        <w:t>:</w:t>
      </w:r>
    </w:p>
    <w:p w:rsidR="00A04ED8" w:rsidRDefault="00A04ED8" w:rsidP="00D62BD5">
      <w:pPr>
        <w:numPr>
          <w:ilvl w:val="0"/>
          <w:numId w:val="12"/>
        </w:numPr>
        <w:tabs>
          <w:tab w:val="clear" w:pos="720"/>
          <w:tab w:val="num" w:pos="0"/>
        </w:tabs>
        <w:spacing w:after="0"/>
        <w:ind w:left="714" w:hanging="357"/>
      </w:pPr>
      <w:r w:rsidRPr="00774F5C">
        <w:t>TL sha</w:t>
      </w:r>
      <w:r w:rsidR="00AD1F53">
        <w:t>ll be a Continua member company;</w:t>
      </w:r>
    </w:p>
    <w:p w:rsidR="00D62BD5" w:rsidRDefault="00D62BD5" w:rsidP="00AD1F53">
      <w:pPr>
        <w:numPr>
          <w:ilvl w:val="0"/>
          <w:numId w:val="12"/>
        </w:numPr>
        <w:tabs>
          <w:tab w:val="clear" w:pos="720"/>
          <w:tab w:val="num" w:pos="0"/>
        </w:tabs>
        <w:spacing w:after="0"/>
        <w:ind w:left="714" w:hanging="357"/>
      </w:pPr>
      <w:r w:rsidRPr="00774F5C">
        <w:t>Test Lab shall have ISO 17025 accreditation</w:t>
      </w:r>
      <w:r w:rsidR="00AD1F53">
        <w:t>;</w:t>
      </w:r>
    </w:p>
    <w:p w:rsidR="00D62BD5" w:rsidRPr="00D62BD5" w:rsidRDefault="00D62BD5" w:rsidP="00D62BD5">
      <w:pPr>
        <w:numPr>
          <w:ilvl w:val="0"/>
          <w:numId w:val="12"/>
        </w:numPr>
        <w:tabs>
          <w:tab w:val="clear" w:pos="720"/>
          <w:tab w:val="num" w:pos="0"/>
        </w:tabs>
        <w:spacing w:after="0"/>
      </w:pPr>
      <w:r w:rsidRPr="00D62BD5">
        <w:t xml:space="preserve">Offer at least one of the Continua transports – USB PHDC, BT HDP/BTLE, NFC-PHDC, </w:t>
      </w:r>
      <w:proofErr w:type="spellStart"/>
      <w:r w:rsidRPr="00D62BD5">
        <w:t>Zigbee</w:t>
      </w:r>
      <w:proofErr w:type="spellEnd"/>
      <w:r w:rsidRPr="00D62BD5">
        <w:t xml:space="preserve"> HCP or WAN Interface</w:t>
      </w:r>
      <w:r w:rsidR="00AD1F53">
        <w:t>;</w:t>
      </w:r>
    </w:p>
    <w:p w:rsidR="00A04ED8" w:rsidRPr="00AD1F53" w:rsidRDefault="00A04ED8" w:rsidP="005D13CA">
      <w:pPr>
        <w:numPr>
          <w:ilvl w:val="0"/>
          <w:numId w:val="12"/>
        </w:numPr>
        <w:tabs>
          <w:tab w:val="clear" w:pos="720"/>
          <w:tab w:val="num" w:pos="360"/>
        </w:tabs>
        <w:spacing w:after="0"/>
        <w:ind w:left="714" w:hanging="357"/>
      </w:pPr>
      <w:r w:rsidRPr="00774F5C">
        <w:t xml:space="preserve">TL shall successfully address requirements from the </w:t>
      </w:r>
      <w:hyperlink r:id="rId29" w:history="1">
        <w:r w:rsidRPr="00AD1F53">
          <w:t>Continua Test Lab Activation Checklist</w:t>
        </w:r>
      </w:hyperlink>
      <w:r w:rsidR="00AD1F53" w:rsidRPr="00AD1F53">
        <w:t>:</w:t>
      </w:r>
    </w:p>
    <w:p w:rsidR="00A8228C" w:rsidRPr="00D62BD5" w:rsidRDefault="00D62C7D" w:rsidP="00AD1F53">
      <w:pPr>
        <w:pStyle w:val="ListParagraph"/>
        <w:numPr>
          <w:ilvl w:val="0"/>
          <w:numId w:val="13"/>
        </w:numPr>
        <w:tabs>
          <w:tab w:val="num" w:pos="360"/>
        </w:tabs>
      </w:pPr>
      <w:r w:rsidRPr="00D62BD5">
        <w:t>Business &amp; Management Requirements</w:t>
      </w:r>
    </w:p>
    <w:p w:rsidR="00A8228C" w:rsidRPr="00D62BD5" w:rsidRDefault="00D62C7D" w:rsidP="00D62BD5">
      <w:pPr>
        <w:pStyle w:val="ListParagraph"/>
        <w:numPr>
          <w:ilvl w:val="0"/>
          <w:numId w:val="13"/>
        </w:numPr>
        <w:tabs>
          <w:tab w:val="num" w:pos="360"/>
        </w:tabs>
        <w:ind w:left="1843"/>
      </w:pPr>
      <w:r w:rsidRPr="00D62BD5">
        <w:t>Conflicts of interest, payment processing, scheduling process, security, record retention, hardware, service requirements</w:t>
      </w:r>
    </w:p>
    <w:p w:rsidR="00A8228C" w:rsidRPr="00D62BD5" w:rsidRDefault="00D62C7D" w:rsidP="00D62BD5">
      <w:pPr>
        <w:pStyle w:val="ListParagraph"/>
        <w:numPr>
          <w:ilvl w:val="0"/>
          <w:numId w:val="13"/>
        </w:numPr>
        <w:tabs>
          <w:tab w:val="num" w:pos="360"/>
        </w:tabs>
      </w:pPr>
      <w:r w:rsidRPr="00D62BD5">
        <w:t>Staff Requirements</w:t>
      </w:r>
    </w:p>
    <w:p w:rsidR="00A8228C" w:rsidRPr="00D62BD5" w:rsidRDefault="00D62C7D" w:rsidP="00D62BD5">
      <w:pPr>
        <w:pStyle w:val="ListParagraph"/>
        <w:numPr>
          <w:ilvl w:val="0"/>
          <w:numId w:val="13"/>
        </w:numPr>
        <w:tabs>
          <w:tab w:val="num" w:pos="360"/>
        </w:tabs>
        <w:ind w:left="1843"/>
      </w:pPr>
      <w:r w:rsidRPr="00D62BD5">
        <w:t>CCE, staff training plan, scalability</w:t>
      </w:r>
    </w:p>
    <w:p w:rsidR="00A8228C" w:rsidRPr="00D62BD5" w:rsidRDefault="00D62C7D" w:rsidP="00D62BD5">
      <w:pPr>
        <w:pStyle w:val="ListParagraph"/>
        <w:numPr>
          <w:ilvl w:val="0"/>
          <w:numId w:val="13"/>
        </w:numPr>
        <w:tabs>
          <w:tab w:val="num" w:pos="360"/>
        </w:tabs>
      </w:pPr>
      <w:r w:rsidRPr="00D62BD5">
        <w:t>Testing Requirements</w:t>
      </w:r>
    </w:p>
    <w:p w:rsidR="00A8228C" w:rsidRPr="00D62BD5" w:rsidRDefault="00D62C7D" w:rsidP="00D62BD5">
      <w:pPr>
        <w:pStyle w:val="ListParagraph"/>
        <w:numPr>
          <w:ilvl w:val="0"/>
          <w:numId w:val="13"/>
        </w:numPr>
        <w:tabs>
          <w:tab w:val="num" w:pos="360"/>
        </w:tabs>
        <w:ind w:left="1843"/>
      </w:pPr>
      <w:r w:rsidRPr="00D62BD5">
        <w:t xml:space="preserve">Demonstrate proficiency at using Test </w:t>
      </w:r>
      <w:proofErr w:type="gramStart"/>
      <w:r w:rsidRPr="00D62BD5">
        <w:t>Tool,</w:t>
      </w:r>
      <w:proofErr w:type="gramEnd"/>
      <w:r w:rsidRPr="00D62BD5">
        <w:t xml:space="preserve"> execute tests, understanding Test and Cert Plan, Cert Spec.</w:t>
      </w:r>
    </w:p>
    <w:p w:rsidR="00A8228C" w:rsidRPr="00D62BD5" w:rsidRDefault="00D62C7D" w:rsidP="00D62BD5">
      <w:pPr>
        <w:pStyle w:val="ListParagraph"/>
        <w:numPr>
          <w:ilvl w:val="0"/>
          <w:numId w:val="13"/>
        </w:numPr>
        <w:tabs>
          <w:tab w:val="num" w:pos="360"/>
        </w:tabs>
        <w:ind w:left="1843"/>
      </w:pPr>
      <w:r w:rsidRPr="00D62BD5">
        <w:t>Test report generation.</w:t>
      </w:r>
    </w:p>
    <w:p w:rsidR="00A8228C" w:rsidRPr="00D62BD5" w:rsidRDefault="00D62C7D" w:rsidP="00D62BD5">
      <w:pPr>
        <w:pStyle w:val="ListParagraph"/>
        <w:numPr>
          <w:ilvl w:val="0"/>
          <w:numId w:val="13"/>
        </w:numPr>
        <w:tabs>
          <w:tab w:val="num" w:pos="360"/>
        </w:tabs>
        <w:ind w:left="1843"/>
      </w:pPr>
      <w:r w:rsidRPr="00D62BD5">
        <w:t xml:space="preserve">Have sufficient equipment (i.e. Continua Test Tool, </w:t>
      </w:r>
      <w:proofErr w:type="spellStart"/>
      <w:r w:rsidRPr="00D62BD5">
        <w:t>Keil</w:t>
      </w:r>
      <w:proofErr w:type="spellEnd"/>
      <w:r w:rsidRPr="00D62BD5">
        <w:t xml:space="preserve"> Board, USB Sniffer, Continua reference device/IOP test bed)</w:t>
      </w:r>
    </w:p>
    <w:p w:rsidR="00A8228C" w:rsidRPr="00D62BD5" w:rsidRDefault="00D62C7D" w:rsidP="00D62BD5">
      <w:pPr>
        <w:pStyle w:val="ListParagraph"/>
        <w:numPr>
          <w:ilvl w:val="0"/>
          <w:numId w:val="13"/>
        </w:numPr>
        <w:tabs>
          <w:tab w:val="num" w:pos="360"/>
        </w:tabs>
        <w:ind w:left="1843"/>
      </w:pPr>
      <w:r w:rsidRPr="00D62BD5">
        <w:t>Able to accommodate Continua members witnessing certification testing.</w:t>
      </w:r>
    </w:p>
    <w:p w:rsidR="00A8228C" w:rsidRPr="00D62BD5" w:rsidRDefault="00D62C7D" w:rsidP="00D62BD5">
      <w:pPr>
        <w:pStyle w:val="ListParagraph"/>
        <w:numPr>
          <w:ilvl w:val="0"/>
          <w:numId w:val="13"/>
        </w:numPr>
        <w:tabs>
          <w:tab w:val="num" w:pos="360"/>
        </w:tabs>
      </w:pPr>
      <w:r w:rsidRPr="00D62BD5">
        <w:t>Experience and Certifications Requirement</w:t>
      </w:r>
    </w:p>
    <w:p w:rsidR="00D62BD5" w:rsidRPr="00774F5C" w:rsidRDefault="00D62BD5" w:rsidP="00AD1F53">
      <w:pPr>
        <w:numPr>
          <w:ilvl w:val="0"/>
          <w:numId w:val="12"/>
        </w:numPr>
        <w:tabs>
          <w:tab w:val="clear" w:pos="720"/>
          <w:tab w:val="num" w:pos="360"/>
        </w:tabs>
        <w:spacing w:after="0"/>
        <w:ind w:left="714" w:hanging="357"/>
      </w:pPr>
      <w:r w:rsidRPr="00774F5C">
        <w:t>TL is responsible for training their test engineers and maintaining this training over time</w:t>
      </w:r>
      <w:r w:rsidR="00AD1F53">
        <w:t>;</w:t>
      </w:r>
    </w:p>
    <w:p w:rsidR="00A04ED8" w:rsidRPr="00774F5C" w:rsidRDefault="00A04ED8" w:rsidP="00AD1F53">
      <w:pPr>
        <w:numPr>
          <w:ilvl w:val="0"/>
          <w:numId w:val="12"/>
        </w:numPr>
        <w:tabs>
          <w:tab w:val="clear" w:pos="720"/>
          <w:tab w:val="num" w:pos="360"/>
        </w:tabs>
        <w:spacing w:after="0"/>
        <w:ind w:left="714" w:hanging="357"/>
      </w:pPr>
      <w:r w:rsidRPr="00774F5C">
        <w:t>TL shall be able to perform all aspects of the Certification Program, including the Compliance Test Program and the Interoperability Test Program prior to signing the contract</w:t>
      </w:r>
      <w:r w:rsidR="00AD1F53">
        <w:t>;</w:t>
      </w:r>
    </w:p>
    <w:p w:rsidR="00A04ED8" w:rsidRPr="00774F5C" w:rsidRDefault="00A04ED8" w:rsidP="00AD1F53">
      <w:pPr>
        <w:numPr>
          <w:ilvl w:val="0"/>
          <w:numId w:val="12"/>
        </w:numPr>
        <w:tabs>
          <w:tab w:val="clear" w:pos="720"/>
          <w:tab w:val="num" w:pos="360"/>
        </w:tabs>
        <w:spacing w:after="0"/>
        <w:ind w:left="714" w:hanging="357"/>
      </w:pPr>
      <w:r w:rsidRPr="00774F5C">
        <w:t>TL shall have at least one Continua Certified Experts (CCE) on site within first six months after signing this Agreement. In the case of unexpected attrition, TL shall provide Continua with a written plan for CCE replacement within the time constraints defined in the CCE program</w:t>
      </w:r>
      <w:r w:rsidR="00AD1F53">
        <w:t>;</w:t>
      </w:r>
    </w:p>
    <w:p w:rsidR="00A04ED8" w:rsidRPr="00774F5C" w:rsidRDefault="00A04ED8" w:rsidP="00AD1F53">
      <w:pPr>
        <w:numPr>
          <w:ilvl w:val="0"/>
          <w:numId w:val="12"/>
        </w:numPr>
        <w:tabs>
          <w:tab w:val="clear" w:pos="720"/>
          <w:tab w:val="num" w:pos="0"/>
        </w:tabs>
        <w:spacing w:after="0"/>
        <w:ind w:left="714" w:hanging="357"/>
      </w:pPr>
      <w:r w:rsidRPr="00774F5C">
        <w:t xml:space="preserve">Compliance Test Program — TL shall have purchased at least one copy of the Continua Test Tool using the Test </w:t>
      </w:r>
      <w:proofErr w:type="spellStart"/>
      <w:r w:rsidRPr="00774F5C">
        <w:t>Manager</w:t>
      </w:r>
      <w:r w:rsidRPr="00774F5C">
        <w:rPr>
          <w:vertAlign w:val="superscript"/>
        </w:rPr>
        <w:t>TM</w:t>
      </w:r>
      <w:proofErr w:type="spellEnd"/>
      <w:r w:rsidRPr="00774F5C">
        <w:t xml:space="preserve"> user interface and shall be prepared to demonstrate proficiency using this Test Tool during qualification (See Qualification of Test Lab for details). The Compliance Test Program consists of running all applicable tests in this tool against the device under test</w:t>
      </w:r>
      <w:r w:rsidR="00AD1F53">
        <w:t>;</w:t>
      </w:r>
    </w:p>
    <w:p w:rsidR="00A04ED8" w:rsidRPr="00774F5C" w:rsidRDefault="00A04ED8" w:rsidP="00AD1F53">
      <w:pPr>
        <w:numPr>
          <w:ilvl w:val="0"/>
          <w:numId w:val="12"/>
        </w:numPr>
        <w:tabs>
          <w:tab w:val="clear" w:pos="720"/>
          <w:tab w:val="num" w:pos="0"/>
        </w:tabs>
        <w:spacing w:after="0"/>
        <w:ind w:left="714" w:hanging="357"/>
      </w:pPr>
      <w:r w:rsidRPr="00774F5C">
        <w:t xml:space="preserve">Interoperability Test Program — Prior to the Test Lab Qualification, TL shall obtain the hardware necessary for performing interoperability testing according to Continua Health Alliance </w:t>
      </w:r>
      <w:r w:rsidRPr="00774F5C">
        <w:lastRenderedPageBreak/>
        <w:t xml:space="preserve">requirements and shall maintain it according to Continua Health Alliance requirements (as defined in the Test Lab Activation Checklist) during the duration of the Agreement. The requirements for the Interoperability Test Bed are listed at </w:t>
      </w:r>
      <w:hyperlink r:id="rId30" w:history="1">
        <w:r w:rsidRPr="00774F5C">
          <w:rPr>
            <w:rStyle w:val="Hyperlink"/>
          </w:rPr>
          <w:t>https://cw.continuaalliance.org/document/dl/7058</w:t>
        </w:r>
      </w:hyperlink>
      <w:r w:rsidR="00AD1F53">
        <w:rPr>
          <w:rStyle w:val="Hyperlink"/>
        </w:rPr>
        <w:t>;</w:t>
      </w:r>
    </w:p>
    <w:p w:rsidR="00A04ED8" w:rsidRPr="00774F5C" w:rsidRDefault="00A04ED8" w:rsidP="00D62BD5">
      <w:pPr>
        <w:numPr>
          <w:ilvl w:val="0"/>
          <w:numId w:val="12"/>
        </w:numPr>
        <w:tabs>
          <w:tab w:val="clear" w:pos="720"/>
          <w:tab w:val="num" w:pos="0"/>
        </w:tabs>
        <w:spacing w:after="0"/>
        <w:ind w:left="714" w:hanging="357"/>
      </w:pPr>
      <w:r w:rsidRPr="00774F5C">
        <w:t>Audit Program — TL is willing to perform, at no charge to Continua, one test execution per ten certified devices at TL up to a maximum of three test executions per year in order to audit Continua Certified devices available in the market. The goal of this part of the audit program is to ensure that devices that claim to be Continua Certified continue to pass the test procedures, which they are certified against.</w:t>
      </w:r>
      <w:r w:rsidRPr="00774F5C">
        <w:br/>
        <w:t>Note</w:t>
      </w:r>
      <w:r w:rsidR="00D62BD5">
        <w:t>:</w:t>
      </w:r>
      <w:r w:rsidRPr="00774F5C">
        <w:t xml:space="preserve"> Continua may, at its discretion, decide not to take advantage of the three certifications as part of its auditing program.</w:t>
      </w:r>
    </w:p>
    <w:p w:rsidR="00A04ED8" w:rsidRDefault="00A04ED8" w:rsidP="00774F5C">
      <w:pPr>
        <w:numPr>
          <w:ilvl w:val="0"/>
          <w:numId w:val="12"/>
        </w:numPr>
        <w:tabs>
          <w:tab w:val="clear" w:pos="720"/>
          <w:tab w:val="num" w:pos="0"/>
        </w:tabs>
        <w:spacing w:after="0"/>
        <w:ind w:left="714" w:hanging="357"/>
      </w:pPr>
      <w:r w:rsidRPr="00774F5C">
        <w:t>etc.</w:t>
      </w:r>
    </w:p>
    <w:p w:rsidR="00EA768B" w:rsidRPr="00863A86" w:rsidRDefault="00EA768B" w:rsidP="00EF7628">
      <w:pPr>
        <w:pStyle w:val="ListParagraph"/>
        <w:numPr>
          <w:ilvl w:val="1"/>
          <w:numId w:val="2"/>
        </w:numPr>
        <w:snapToGrid w:val="0"/>
        <w:spacing w:before="240"/>
        <w:ind w:left="425" w:hanging="425"/>
        <w:contextualSpacing w:val="0"/>
        <w:rPr>
          <w:b/>
          <w:bCs/>
          <w:lang w:val="en-GB"/>
        </w:rPr>
      </w:pPr>
      <w:r w:rsidRPr="00863A86">
        <w:rPr>
          <w:b/>
          <w:bCs/>
          <w:lang w:val="en-GB"/>
        </w:rPr>
        <w:t xml:space="preserve">Description of </w:t>
      </w:r>
      <w:r>
        <w:rPr>
          <w:b/>
          <w:bCs/>
          <w:lang w:val="en-GB"/>
        </w:rPr>
        <w:t>Continua expert</w:t>
      </w:r>
      <w:r w:rsidR="00EF7628">
        <w:rPr>
          <w:b/>
          <w:bCs/>
          <w:lang w:val="en-GB"/>
        </w:rPr>
        <w:t>’s</w:t>
      </w:r>
      <w:r>
        <w:rPr>
          <w:b/>
          <w:bCs/>
          <w:lang w:val="en-GB"/>
        </w:rPr>
        <w:t xml:space="preserve"> certification</w:t>
      </w:r>
      <w:r w:rsidRPr="00863A86">
        <w:rPr>
          <w:b/>
          <w:bCs/>
          <w:lang w:val="en-GB"/>
        </w:rPr>
        <w:t xml:space="preserve"> procedure</w:t>
      </w:r>
      <w:r>
        <w:rPr>
          <w:b/>
          <w:bCs/>
          <w:lang w:val="en-GB"/>
        </w:rPr>
        <w:t xml:space="preserve"> and criteria</w:t>
      </w:r>
    </w:p>
    <w:p w:rsidR="005F0B8B" w:rsidRDefault="00EA768B" w:rsidP="005F0B8B">
      <w:pPr>
        <w:jc w:val="both"/>
      </w:pPr>
      <w:r>
        <w:t xml:space="preserve">A </w:t>
      </w:r>
      <w:r w:rsidR="002B58CF">
        <w:t>Continua Certification Expert (</w:t>
      </w:r>
      <w:r>
        <w:t>CCE</w:t>
      </w:r>
      <w:r w:rsidR="002B58CF">
        <w:t>)</w:t>
      </w:r>
      <w:r>
        <w:t xml:space="preserve"> is an individual recognized by Continua as an expert to provide Continua Certification related services.</w:t>
      </w:r>
      <w:r w:rsidR="005F0B8B">
        <w:t xml:space="preserve"> The list of recognized Continua Certification Experts is available at </w:t>
      </w:r>
      <w:hyperlink r:id="rId31" w:history="1">
        <w:r w:rsidR="005F0B8B" w:rsidRPr="0002618B">
          <w:rPr>
            <w:rStyle w:val="Hyperlink"/>
          </w:rPr>
          <w:t>http://www.continuaalliance.org/products-certification-process/certification-experts</w:t>
        </w:r>
      </w:hyperlink>
      <w:r w:rsidR="005F0B8B">
        <w:t>.</w:t>
      </w:r>
    </w:p>
    <w:p w:rsidR="00EA768B" w:rsidRDefault="00EA768B" w:rsidP="001E0945">
      <w:pPr>
        <w:jc w:val="both"/>
      </w:pPr>
      <w:r>
        <w:t>Below are requirements to obtain and maintain CCE designation</w:t>
      </w:r>
      <w:r w:rsidR="001E0945">
        <w:t xml:space="preserve"> </w:t>
      </w:r>
      <w:r w:rsidR="001E0945" w:rsidRPr="001E0945">
        <w:rPr>
          <w:i/>
          <w:iCs/>
        </w:rPr>
        <w:t>(source: Continua Certification Expert Project Plan)</w:t>
      </w:r>
      <w:r>
        <w:t>:</w:t>
      </w:r>
    </w:p>
    <w:p w:rsidR="00EA768B" w:rsidRDefault="00EA768B" w:rsidP="00EA768B">
      <w:pPr>
        <w:numPr>
          <w:ilvl w:val="0"/>
          <w:numId w:val="8"/>
        </w:numPr>
        <w:spacing w:after="0" w:line="240" w:lineRule="auto"/>
        <w:jc w:val="both"/>
      </w:pPr>
      <w:r>
        <w:t xml:space="preserve">Continua Certification Expert is </w:t>
      </w:r>
      <w:r w:rsidRPr="00B45E16">
        <w:t>required to be an employee of a Continua member company in good standing.</w:t>
      </w:r>
      <w:r>
        <w:t xml:space="preserve"> The CCE shall have paid all relevant fees.</w:t>
      </w:r>
    </w:p>
    <w:p w:rsidR="00EA768B" w:rsidRDefault="00EA768B" w:rsidP="00EA768B">
      <w:pPr>
        <w:ind w:left="720"/>
        <w:jc w:val="both"/>
      </w:pPr>
      <w:r>
        <w:t>Note: In an event that the CCE move to a different Continua member company, the CCE is responsible to notify Continua and provide updated contact info.</w:t>
      </w:r>
    </w:p>
    <w:p w:rsidR="00EA768B" w:rsidRDefault="00EA768B" w:rsidP="00EA768B">
      <w:pPr>
        <w:numPr>
          <w:ilvl w:val="0"/>
          <w:numId w:val="8"/>
        </w:numPr>
        <w:spacing w:after="0" w:line="240" w:lineRule="auto"/>
        <w:jc w:val="both"/>
      </w:pPr>
      <w:r>
        <w:t xml:space="preserve">A Continua Certification Expert is required to </w:t>
      </w:r>
      <w:r w:rsidRPr="00B45E16">
        <w:t>be trained and be proficient</w:t>
      </w:r>
      <w:r>
        <w:t xml:space="preserve"> in the following:</w:t>
      </w:r>
    </w:p>
    <w:p w:rsidR="00EA768B" w:rsidRPr="003067D6" w:rsidRDefault="00EA768B" w:rsidP="00EA768B">
      <w:pPr>
        <w:numPr>
          <w:ilvl w:val="0"/>
          <w:numId w:val="9"/>
        </w:numPr>
        <w:spacing w:after="0" w:line="240" w:lineRule="auto"/>
        <w:jc w:val="both"/>
      </w:pPr>
      <w:r w:rsidRPr="003067D6">
        <w:t xml:space="preserve">Continua standards - </w:t>
      </w:r>
      <w:r>
        <w:t>t</w:t>
      </w:r>
      <w:r w:rsidRPr="003067D6">
        <w:t xml:space="preserve">he CCE will serve as the technical expert to diagnose log files, and </w:t>
      </w:r>
      <w:r>
        <w:t xml:space="preserve">will be expected to be </w:t>
      </w:r>
      <w:r w:rsidRPr="003067D6">
        <w:t>adept in interpreting standards.</w:t>
      </w:r>
    </w:p>
    <w:p w:rsidR="00EA768B" w:rsidRPr="003067D6" w:rsidRDefault="00EA768B" w:rsidP="00EA768B">
      <w:pPr>
        <w:numPr>
          <w:ilvl w:val="0"/>
          <w:numId w:val="9"/>
        </w:numPr>
        <w:spacing w:after="0" w:line="240" w:lineRule="auto"/>
        <w:jc w:val="both"/>
      </w:pPr>
      <w:r w:rsidRPr="003067D6">
        <w:t xml:space="preserve">Continua Certification process </w:t>
      </w:r>
      <w:r>
        <w:t>-</w:t>
      </w:r>
      <w:r w:rsidRPr="003067D6">
        <w:t xml:space="preserve"> </w:t>
      </w:r>
      <w:r>
        <w:t>CCEs understand Continua’s Certification process and are skilled at answering questions about the process and providing input to the process.</w:t>
      </w:r>
    </w:p>
    <w:p w:rsidR="00EA768B" w:rsidRPr="003067D6" w:rsidRDefault="00EA768B" w:rsidP="00EA768B">
      <w:pPr>
        <w:numPr>
          <w:ilvl w:val="0"/>
          <w:numId w:val="9"/>
        </w:numPr>
        <w:spacing w:after="0" w:line="240" w:lineRule="auto"/>
      </w:pPr>
      <w:r>
        <w:t>Continua referenced technologies and transports.</w:t>
      </w:r>
    </w:p>
    <w:p w:rsidR="00EA768B" w:rsidRPr="00AA3E63" w:rsidRDefault="00EA768B" w:rsidP="00EA768B">
      <w:pPr>
        <w:numPr>
          <w:ilvl w:val="0"/>
          <w:numId w:val="8"/>
        </w:numPr>
        <w:spacing w:after="0" w:line="240" w:lineRule="auto"/>
        <w:jc w:val="both"/>
      </w:pPr>
      <w:r w:rsidRPr="00AA3E63">
        <w:t>Continua/</w:t>
      </w:r>
      <w:r w:rsidRPr="00C30284">
        <w:t xml:space="preserve">Test and Certification Work Group </w:t>
      </w:r>
      <w:r>
        <w:t>(</w:t>
      </w:r>
      <w:r w:rsidRPr="00AA3E63">
        <w:t>TCWG</w:t>
      </w:r>
      <w:r>
        <w:t>)</w:t>
      </w:r>
      <w:r w:rsidRPr="00AA3E63">
        <w:t xml:space="preserve"> participation requirements:</w:t>
      </w:r>
    </w:p>
    <w:p w:rsidR="00EA768B" w:rsidRPr="00AA3E63" w:rsidRDefault="00EA768B" w:rsidP="00EA768B">
      <w:pPr>
        <w:numPr>
          <w:ilvl w:val="0"/>
          <w:numId w:val="10"/>
        </w:numPr>
        <w:spacing w:after="0" w:line="240" w:lineRule="auto"/>
        <w:jc w:val="both"/>
      </w:pPr>
      <w:r w:rsidRPr="00AA3E63">
        <w:t xml:space="preserve">CCEs are required to attend at least </w:t>
      </w:r>
      <w:r>
        <w:t>1</w:t>
      </w:r>
      <w:r w:rsidRPr="00AA3E63">
        <w:t xml:space="preserve"> </w:t>
      </w:r>
      <w:r>
        <w:t xml:space="preserve">Continua </w:t>
      </w:r>
      <w:smartTag w:uri="urn:schemas-microsoft-com:office:smarttags" w:element="place">
        <w:smartTag w:uri="urn:schemas-microsoft-com:office:smarttags" w:element="City">
          <w:r>
            <w:t>Summit</w:t>
          </w:r>
        </w:smartTag>
      </w:smartTag>
      <w:r>
        <w:t xml:space="preserve"> in a year</w:t>
      </w:r>
      <w:r w:rsidRPr="00AA3E63">
        <w:t>.</w:t>
      </w:r>
    </w:p>
    <w:p w:rsidR="00EA768B" w:rsidRDefault="00EA768B" w:rsidP="00EA768B">
      <w:pPr>
        <w:numPr>
          <w:ilvl w:val="0"/>
          <w:numId w:val="10"/>
        </w:numPr>
        <w:spacing w:after="0" w:line="240" w:lineRule="auto"/>
        <w:jc w:val="both"/>
      </w:pPr>
      <w:r w:rsidRPr="00AA3E63">
        <w:t>CCEs must participate in at least 2</w:t>
      </w:r>
      <w:r>
        <w:t>/</w:t>
      </w:r>
      <w:r w:rsidRPr="00AA3E63">
        <w:t xml:space="preserve">3 </w:t>
      </w:r>
      <w:r>
        <w:t xml:space="preserve">of </w:t>
      </w:r>
      <w:r w:rsidRPr="00AA3E63">
        <w:t>TCWG bi-weekly conference calls</w:t>
      </w:r>
      <w:r>
        <w:t xml:space="preserve"> annually. </w:t>
      </w:r>
    </w:p>
    <w:p w:rsidR="00EA768B" w:rsidRDefault="00EA768B" w:rsidP="00EA768B">
      <w:pPr>
        <w:pStyle w:val="BodyText"/>
        <w:jc w:val="center"/>
        <w:rPr>
          <w:b/>
        </w:rPr>
      </w:pPr>
      <w:r>
        <w:rPr>
          <w:b/>
          <w:noProof/>
        </w:rPr>
        <w:lastRenderedPageBreak/>
        <w:drawing>
          <wp:inline distT="0" distB="0" distL="0" distR="0" wp14:anchorId="024ADE4F" wp14:editId="0D3F3760">
            <wp:extent cx="5486400" cy="25317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486400" cy="2531745"/>
                    </a:xfrm>
                    <a:prstGeom prst="rect">
                      <a:avLst/>
                    </a:prstGeom>
                    <a:noFill/>
                    <a:ln>
                      <a:noFill/>
                    </a:ln>
                  </pic:spPr>
                </pic:pic>
              </a:graphicData>
            </a:graphic>
          </wp:inline>
        </w:drawing>
      </w:r>
    </w:p>
    <w:p w:rsidR="00EA768B" w:rsidRDefault="00EA768B" w:rsidP="00EA768B">
      <w:pPr>
        <w:pStyle w:val="Caption"/>
        <w:snapToGrid w:val="0"/>
        <w:spacing w:after="240"/>
        <w:jc w:val="center"/>
        <w:rPr>
          <w:rStyle w:val="BodyTextChar"/>
          <w:b w:val="0"/>
          <w:i/>
        </w:rPr>
      </w:pPr>
      <w:bookmarkStart w:id="3" w:name="_Ref266259822"/>
      <w:r w:rsidRPr="00D863D8">
        <w:rPr>
          <w:i/>
          <w:sz w:val="24"/>
          <w:szCs w:val="24"/>
        </w:rPr>
        <w:t xml:space="preserve">Figure </w:t>
      </w:r>
      <w:r w:rsidRPr="00D863D8">
        <w:rPr>
          <w:i/>
          <w:sz w:val="24"/>
          <w:szCs w:val="24"/>
        </w:rPr>
        <w:fldChar w:fldCharType="begin"/>
      </w:r>
      <w:r w:rsidRPr="00D863D8">
        <w:rPr>
          <w:i/>
          <w:sz w:val="24"/>
          <w:szCs w:val="24"/>
        </w:rPr>
        <w:instrText xml:space="preserve"> SEQ Figure \* ARABIC </w:instrText>
      </w:r>
      <w:r w:rsidRPr="00D863D8">
        <w:rPr>
          <w:i/>
          <w:sz w:val="24"/>
          <w:szCs w:val="24"/>
        </w:rPr>
        <w:fldChar w:fldCharType="separate"/>
      </w:r>
      <w:r w:rsidR="00540417">
        <w:rPr>
          <w:i/>
          <w:noProof/>
          <w:sz w:val="24"/>
          <w:szCs w:val="24"/>
        </w:rPr>
        <w:t>1</w:t>
      </w:r>
      <w:r w:rsidRPr="00D863D8">
        <w:rPr>
          <w:i/>
          <w:sz w:val="24"/>
          <w:szCs w:val="24"/>
        </w:rPr>
        <w:fldChar w:fldCharType="end"/>
      </w:r>
      <w:bookmarkEnd w:id="3"/>
      <w:r w:rsidRPr="00D863D8">
        <w:rPr>
          <w:i/>
          <w:sz w:val="24"/>
          <w:szCs w:val="24"/>
        </w:rPr>
        <w:t xml:space="preserve"> </w:t>
      </w:r>
      <w:r w:rsidRPr="00D863D8">
        <w:rPr>
          <w:rStyle w:val="BodyTextChar"/>
          <w:b w:val="0"/>
          <w:i/>
        </w:rPr>
        <w:t>– Continua Certification Expert Roles and Responsibilities Overview</w:t>
      </w:r>
    </w:p>
    <w:p w:rsidR="00EA768B" w:rsidRDefault="00EA768B" w:rsidP="00EA768B">
      <w:pPr>
        <w:jc w:val="both"/>
      </w:pPr>
      <w:r>
        <w:t>CCEs are required to fulfill at least 100 hours annually (approximately 2.5 work weeks) of service on Continua TCWG related activities. The hours of service requirement serves to support Continua test and certification projects. It also serves as a mechanism for CCEs to have hands-on experience to better fulfill their other roles as CCEs.</w:t>
      </w:r>
    </w:p>
    <w:p w:rsidR="00EA768B" w:rsidRDefault="00EA768B" w:rsidP="00EA768B">
      <w:pPr>
        <w:jc w:val="both"/>
      </w:pPr>
      <w:r>
        <w:t>Some of the activities that CCEs can participate that count to this hours of service are:</w:t>
      </w:r>
    </w:p>
    <w:p w:rsidR="00EA768B" w:rsidRPr="00CB5B72" w:rsidRDefault="00EA768B" w:rsidP="00EA768B">
      <w:pPr>
        <w:pStyle w:val="ListParagraph"/>
        <w:numPr>
          <w:ilvl w:val="0"/>
          <w:numId w:val="6"/>
        </w:numPr>
        <w:rPr>
          <w:lang w:val="en-GB"/>
        </w:rPr>
      </w:pPr>
      <w:r w:rsidRPr="00CB5B72">
        <w:rPr>
          <w:lang w:val="en-GB"/>
        </w:rPr>
        <w:t>Test Procedure design and development</w:t>
      </w:r>
    </w:p>
    <w:p w:rsidR="00EA768B" w:rsidRPr="00CB5B72" w:rsidRDefault="00EA768B" w:rsidP="00EA768B">
      <w:pPr>
        <w:pStyle w:val="ListParagraph"/>
        <w:numPr>
          <w:ilvl w:val="0"/>
          <w:numId w:val="6"/>
        </w:numPr>
        <w:rPr>
          <w:lang w:val="en-GB"/>
        </w:rPr>
      </w:pPr>
      <w:r w:rsidRPr="00CB5B72">
        <w:rPr>
          <w:lang w:val="en-GB"/>
        </w:rPr>
        <w:t>Test Procedure review</w:t>
      </w:r>
    </w:p>
    <w:p w:rsidR="00EA768B" w:rsidRPr="00CB5B72" w:rsidRDefault="00EA768B" w:rsidP="00EA768B">
      <w:pPr>
        <w:pStyle w:val="ListParagraph"/>
        <w:numPr>
          <w:ilvl w:val="0"/>
          <w:numId w:val="6"/>
        </w:numPr>
        <w:rPr>
          <w:lang w:val="en-GB"/>
        </w:rPr>
      </w:pPr>
      <w:r w:rsidRPr="00CB5B72">
        <w:rPr>
          <w:lang w:val="en-GB"/>
        </w:rPr>
        <w:t>Test Tool design and development</w:t>
      </w:r>
    </w:p>
    <w:p w:rsidR="00EA768B" w:rsidRPr="00CB5B72" w:rsidRDefault="00EA768B" w:rsidP="00EA768B">
      <w:pPr>
        <w:pStyle w:val="ListParagraph"/>
        <w:numPr>
          <w:ilvl w:val="0"/>
          <w:numId w:val="6"/>
        </w:numPr>
        <w:rPr>
          <w:lang w:val="en-GB"/>
        </w:rPr>
      </w:pPr>
      <w:r w:rsidRPr="00CB5B72">
        <w:rPr>
          <w:lang w:val="en-GB"/>
        </w:rPr>
        <w:t>Test Tool review</w:t>
      </w:r>
    </w:p>
    <w:p w:rsidR="00EA768B" w:rsidRPr="00CB5B72" w:rsidRDefault="00EA768B" w:rsidP="00EA768B">
      <w:pPr>
        <w:pStyle w:val="ListParagraph"/>
        <w:numPr>
          <w:ilvl w:val="0"/>
          <w:numId w:val="6"/>
        </w:numPr>
        <w:rPr>
          <w:lang w:val="en-GB"/>
        </w:rPr>
      </w:pPr>
      <w:r w:rsidRPr="00CB5B72">
        <w:rPr>
          <w:lang w:val="en-GB"/>
        </w:rPr>
        <w:t xml:space="preserve">Reference code (i.e. CESL, </w:t>
      </w:r>
      <w:proofErr w:type="spellStart"/>
      <w:r w:rsidRPr="00CB5B72">
        <w:rPr>
          <w:lang w:val="en-GB"/>
        </w:rPr>
        <w:t>mCESL</w:t>
      </w:r>
      <w:proofErr w:type="spellEnd"/>
      <w:r w:rsidRPr="00CB5B72">
        <w:rPr>
          <w:lang w:val="en-GB"/>
        </w:rPr>
        <w:t xml:space="preserve">) review </w:t>
      </w:r>
    </w:p>
    <w:p w:rsidR="00EA768B" w:rsidRPr="00CB5B72" w:rsidRDefault="00EA768B" w:rsidP="00EA768B">
      <w:pPr>
        <w:pStyle w:val="ListParagraph"/>
        <w:numPr>
          <w:ilvl w:val="0"/>
          <w:numId w:val="6"/>
        </w:numPr>
        <w:rPr>
          <w:lang w:val="en-GB"/>
        </w:rPr>
      </w:pPr>
      <w:r w:rsidRPr="00CB5B72">
        <w:rPr>
          <w:lang w:val="en-GB"/>
        </w:rPr>
        <w:t xml:space="preserve">Reference code (i.e. CESL, </w:t>
      </w:r>
      <w:proofErr w:type="spellStart"/>
      <w:r w:rsidRPr="00CB5B72">
        <w:rPr>
          <w:lang w:val="en-GB"/>
        </w:rPr>
        <w:t>mCESL</w:t>
      </w:r>
      <w:proofErr w:type="spellEnd"/>
      <w:r w:rsidRPr="00CB5B72">
        <w:rPr>
          <w:lang w:val="en-GB"/>
        </w:rPr>
        <w:t>) design and development</w:t>
      </w:r>
    </w:p>
    <w:p w:rsidR="00EA768B" w:rsidRPr="00CB5B72" w:rsidRDefault="00EA768B" w:rsidP="00EA768B">
      <w:pPr>
        <w:pStyle w:val="ListParagraph"/>
        <w:numPr>
          <w:ilvl w:val="0"/>
          <w:numId w:val="6"/>
        </w:numPr>
        <w:rPr>
          <w:lang w:val="en-GB"/>
        </w:rPr>
      </w:pPr>
      <w:r w:rsidRPr="00CB5B72">
        <w:rPr>
          <w:lang w:val="en-GB"/>
        </w:rPr>
        <w:t>Design guideline review</w:t>
      </w:r>
    </w:p>
    <w:p w:rsidR="00EA768B" w:rsidRPr="00CB5B72" w:rsidRDefault="00EA768B" w:rsidP="00EA768B">
      <w:pPr>
        <w:pStyle w:val="ListParagraph"/>
        <w:numPr>
          <w:ilvl w:val="0"/>
          <w:numId w:val="6"/>
        </w:numPr>
        <w:rPr>
          <w:lang w:val="en-GB"/>
        </w:rPr>
      </w:pPr>
      <w:r w:rsidRPr="00CB5B72">
        <w:rPr>
          <w:lang w:val="en-GB"/>
        </w:rPr>
        <w:t>Draft Request for Proposals (RFPs)</w:t>
      </w:r>
    </w:p>
    <w:p w:rsidR="00EA768B" w:rsidRPr="00CB5B72" w:rsidRDefault="00EA768B" w:rsidP="00EA768B">
      <w:pPr>
        <w:pStyle w:val="ListParagraph"/>
        <w:numPr>
          <w:ilvl w:val="0"/>
          <w:numId w:val="6"/>
        </w:numPr>
        <w:rPr>
          <w:lang w:val="en-GB"/>
        </w:rPr>
      </w:pPr>
      <w:r w:rsidRPr="00CB5B72">
        <w:rPr>
          <w:lang w:val="en-GB"/>
        </w:rPr>
        <w:t>Participation on TCWG bi-weekly meetings, Test Lab synchronization meetings</w:t>
      </w:r>
    </w:p>
    <w:p w:rsidR="00EA768B" w:rsidRPr="00CB5B72" w:rsidRDefault="00EA768B" w:rsidP="00EA768B">
      <w:pPr>
        <w:pStyle w:val="ListParagraph"/>
        <w:numPr>
          <w:ilvl w:val="0"/>
          <w:numId w:val="6"/>
        </w:numPr>
        <w:rPr>
          <w:lang w:val="en-GB"/>
        </w:rPr>
      </w:pPr>
      <w:r w:rsidRPr="00CB5B72">
        <w:rPr>
          <w:lang w:val="en-GB"/>
        </w:rPr>
        <w:t xml:space="preserve">Providing support in </w:t>
      </w:r>
      <w:proofErr w:type="spellStart"/>
      <w:r w:rsidRPr="00CB5B72">
        <w:rPr>
          <w:lang w:val="en-GB"/>
        </w:rPr>
        <w:t>Plugfest</w:t>
      </w:r>
      <w:proofErr w:type="spellEnd"/>
    </w:p>
    <w:p w:rsidR="00EA768B" w:rsidRPr="00CB5B72" w:rsidRDefault="00EA768B" w:rsidP="00EA768B">
      <w:pPr>
        <w:pStyle w:val="ListParagraph"/>
        <w:numPr>
          <w:ilvl w:val="0"/>
          <w:numId w:val="6"/>
        </w:numPr>
        <w:rPr>
          <w:lang w:val="en-GB"/>
        </w:rPr>
      </w:pPr>
      <w:r w:rsidRPr="00CB5B72">
        <w:rPr>
          <w:lang w:val="en-GB"/>
        </w:rPr>
        <w:t>Modifying Certification Specification</w:t>
      </w:r>
    </w:p>
    <w:p w:rsidR="00EA768B" w:rsidRPr="00CB5B72" w:rsidRDefault="00EA768B" w:rsidP="00EA768B">
      <w:pPr>
        <w:pStyle w:val="ListParagraph"/>
        <w:numPr>
          <w:ilvl w:val="0"/>
          <w:numId w:val="6"/>
        </w:numPr>
        <w:rPr>
          <w:lang w:val="en-GB"/>
        </w:rPr>
      </w:pPr>
      <w:r w:rsidRPr="00CB5B72">
        <w:rPr>
          <w:lang w:val="en-GB"/>
        </w:rPr>
        <w:t>Certification Testing for Continua devices (as part of a Continua Qualified Test lab)</w:t>
      </w:r>
    </w:p>
    <w:p w:rsidR="00EA768B" w:rsidRPr="00CB5B72" w:rsidRDefault="00EA768B" w:rsidP="00EA768B">
      <w:pPr>
        <w:jc w:val="both"/>
      </w:pPr>
      <w:r>
        <w:t>The CCE is expected to provide annual status reports to the TCWG chair documenting actual tasks assigned, accomplished, as well as cumulative hours spent.</w:t>
      </w:r>
    </w:p>
    <w:p w:rsidR="00B86E56" w:rsidRPr="00B86E56" w:rsidRDefault="00B86E56" w:rsidP="00B86E56">
      <w:pPr>
        <w:pStyle w:val="Heading1"/>
        <w:pageBreakBefore/>
        <w:numPr>
          <w:ilvl w:val="0"/>
          <w:numId w:val="2"/>
        </w:numPr>
        <w:ind w:left="357" w:hanging="357"/>
        <w:rPr>
          <w:color w:val="auto"/>
          <w:sz w:val="24"/>
          <w:szCs w:val="24"/>
          <w:lang w:val="en-GB"/>
        </w:rPr>
      </w:pPr>
      <w:bookmarkStart w:id="4" w:name="_Toc389225142"/>
      <w:r w:rsidRPr="00B86E56">
        <w:rPr>
          <w:color w:val="auto"/>
          <w:sz w:val="24"/>
          <w:szCs w:val="24"/>
          <w:lang w:val="en-GB"/>
        </w:rPr>
        <w:lastRenderedPageBreak/>
        <w:t>IECEE</w:t>
      </w:r>
      <w:bookmarkEnd w:id="4"/>
    </w:p>
    <w:p w:rsidR="00B86E56" w:rsidRPr="000A1AE6" w:rsidRDefault="00B86E56" w:rsidP="00B86E56">
      <w:pPr>
        <w:pStyle w:val="ListParagraph"/>
        <w:numPr>
          <w:ilvl w:val="1"/>
          <w:numId w:val="2"/>
        </w:numPr>
        <w:snapToGrid w:val="0"/>
        <w:spacing w:before="240"/>
        <w:ind w:left="425" w:hanging="425"/>
        <w:contextualSpacing w:val="0"/>
        <w:rPr>
          <w:b/>
          <w:bCs/>
          <w:lang w:val="en-GB"/>
        </w:rPr>
      </w:pPr>
      <w:r w:rsidRPr="000A1AE6">
        <w:rPr>
          <w:b/>
          <w:bCs/>
          <w:lang w:val="en-GB"/>
        </w:rPr>
        <w:t>General information</w:t>
      </w:r>
    </w:p>
    <w:p w:rsidR="006E677D" w:rsidRDefault="006E677D" w:rsidP="00CB2631">
      <w:r>
        <w:t xml:space="preserve">IEC is the </w:t>
      </w:r>
      <w:r w:rsidRPr="003C6921">
        <w:t xml:space="preserve">International </w:t>
      </w:r>
      <w:proofErr w:type="spellStart"/>
      <w:r w:rsidRPr="003C6921">
        <w:t>Electrotechnical</w:t>
      </w:r>
      <w:proofErr w:type="spellEnd"/>
      <w:r w:rsidRPr="003C6921">
        <w:t xml:space="preserve"> Commission</w:t>
      </w:r>
      <w:r>
        <w:t xml:space="preserve"> </w:t>
      </w:r>
      <w:r w:rsidR="00CB2631">
        <w:t>(</w:t>
      </w:r>
      <w:hyperlink r:id="rId33" w:history="1">
        <w:r w:rsidRPr="00FF6E5E">
          <w:rPr>
            <w:rStyle w:val="Hyperlink"/>
          </w:rPr>
          <w:t>www.iec.ch</w:t>
        </w:r>
      </w:hyperlink>
      <w:r>
        <w:t>). Its members are the national standardization bodies of IEC.</w:t>
      </w:r>
    </w:p>
    <w:p w:rsidR="006E677D" w:rsidRDefault="006E677D" w:rsidP="006E677D">
      <w:r>
        <w:t>IEC comprises three Boards:</w:t>
      </w:r>
    </w:p>
    <w:p w:rsidR="006E677D" w:rsidRDefault="006E677D" w:rsidP="006E677D">
      <w:pPr>
        <w:numPr>
          <w:ilvl w:val="0"/>
          <w:numId w:val="17"/>
        </w:numPr>
        <w:tabs>
          <w:tab w:val="left" w:pos="709"/>
          <w:tab w:val="left" w:pos="1191"/>
          <w:tab w:val="left" w:pos="1588"/>
          <w:tab w:val="left" w:pos="1985"/>
        </w:tabs>
        <w:overflowPunct w:val="0"/>
        <w:autoSpaceDE w:val="0"/>
        <w:autoSpaceDN w:val="0"/>
        <w:adjustRightInd w:val="0"/>
        <w:spacing w:before="120" w:after="0" w:line="240" w:lineRule="auto"/>
        <w:textAlignment w:val="baseline"/>
      </w:pPr>
      <w:r>
        <w:t>Standardization Management Board (SMB), responsible for the management of the IEC standardization process</w:t>
      </w:r>
    </w:p>
    <w:p w:rsidR="006E677D" w:rsidRDefault="006E677D" w:rsidP="006E677D">
      <w:pPr>
        <w:numPr>
          <w:ilvl w:val="0"/>
          <w:numId w:val="17"/>
        </w:numPr>
        <w:tabs>
          <w:tab w:val="left" w:pos="709"/>
          <w:tab w:val="left" w:pos="1191"/>
          <w:tab w:val="left" w:pos="1588"/>
          <w:tab w:val="left" w:pos="1985"/>
        </w:tabs>
        <w:overflowPunct w:val="0"/>
        <w:autoSpaceDE w:val="0"/>
        <w:autoSpaceDN w:val="0"/>
        <w:adjustRightInd w:val="0"/>
        <w:spacing w:before="120" w:after="0" w:line="240" w:lineRule="auto"/>
        <w:textAlignment w:val="baseline"/>
      </w:pPr>
      <w:r>
        <w:t>Market Strategy Board (MSB)</w:t>
      </w:r>
    </w:p>
    <w:p w:rsidR="006E677D" w:rsidRDefault="006E677D" w:rsidP="006E677D">
      <w:pPr>
        <w:numPr>
          <w:ilvl w:val="0"/>
          <w:numId w:val="17"/>
        </w:numPr>
        <w:tabs>
          <w:tab w:val="left" w:pos="709"/>
          <w:tab w:val="left" w:pos="1191"/>
          <w:tab w:val="left" w:pos="1588"/>
          <w:tab w:val="left" w:pos="1985"/>
        </w:tabs>
        <w:overflowPunct w:val="0"/>
        <w:autoSpaceDE w:val="0"/>
        <w:autoSpaceDN w:val="0"/>
        <w:adjustRightInd w:val="0"/>
        <w:spacing w:before="120" w:after="0" w:line="240" w:lineRule="auto"/>
        <w:textAlignment w:val="baseline"/>
      </w:pPr>
      <w:r>
        <w:t>Conformity Assessment Board (CAB), responsible for the management of conformity assessment operations and systems</w:t>
      </w:r>
    </w:p>
    <w:p w:rsidR="006E677D" w:rsidRDefault="006E677D" w:rsidP="006E677D">
      <w:r>
        <w:t>The Conformity Assessment Board operates three conformity assessment schemes:</w:t>
      </w:r>
    </w:p>
    <w:p w:rsidR="006E677D" w:rsidRDefault="006E677D" w:rsidP="006E677D">
      <w:pPr>
        <w:numPr>
          <w:ilvl w:val="0"/>
          <w:numId w:val="17"/>
        </w:numPr>
        <w:tabs>
          <w:tab w:val="left" w:pos="709"/>
          <w:tab w:val="left" w:pos="1191"/>
          <w:tab w:val="left" w:pos="1588"/>
          <w:tab w:val="left" w:pos="1985"/>
        </w:tabs>
        <w:overflowPunct w:val="0"/>
        <w:autoSpaceDE w:val="0"/>
        <w:autoSpaceDN w:val="0"/>
        <w:adjustRightInd w:val="0"/>
        <w:spacing w:before="120" w:after="0" w:line="240" w:lineRule="auto"/>
        <w:textAlignment w:val="baseline"/>
      </w:pPr>
      <w:r>
        <w:t xml:space="preserve">IECEE, the system for conformity testing and certification of </w:t>
      </w:r>
      <w:proofErr w:type="spellStart"/>
      <w:r>
        <w:t>electrotechnical</w:t>
      </w:r>
      <w:proofErr w:type="spellEnd"/>
      <w:r>
        <w:t xml:space="preserve"> equipment and components</w:t>
      </w:r>
    </w:p>
    <w:p w:rsidR="006E677D" w:rsidRDefault="006E677D" w:rsidP="006E677D">
      <w:pPr>
        <w:numPr>
          <w:ilvl w:val="0"/>
          <w:numId w:val="17"/>
        </w:numPr>
        <w:tabs>
          <w:tab w:val="left" w:pos="709"/>
          <w:tab w:val="left" w:pos="1191"/>
          <w:tab w:val="left" w:pos="1588"/>
          <w:tab w:val="left" w:pos="1985"/>
        </w:tabs>
        <w:overflowPunct w:val="0"/>
        <w:autoSpaceDE w:val="0"/>
        <w:autoSpaceDN w:val="0"/>
        <w:adjustRightInd w:val="0"/>
        <w:spacing w:before="120" w:after="0" w:line="240" w:lineRule="auto"/>
        <w:textAlignment w:val="baseline"/>
      </w:pPr>
      <w:proofErr w:type="spellStart"/>
      <w:r>
        <w:t>IECEx</w:t>
      </w:r>
      <w:proofErr w:type="spellEnd"/>
      <w:r>
        <w:t>, the scheme for explosive environments</w:t>
      </w:r>
    </w:p>
    <w:p w:rsidR="006E677D" w:rsidRDefault="006E677D" w:rsidP="006E677D">
      <w:pPr>
        <w:numPr>
          <w:ilvl w:val="0"/>
          <w:numId w:val="17"/>
        </w:numPr>
        <w:tabs>
          <w:tab w:val="left" w:pos="709"/>
          <w:tab w:val="left" w:pos="1191"/>
          <w:tab w:val="left" w:pos="1588"/>
          <w:tab w:val="left" w:pos="1985"/>
        </w:tabs>
        <w:overflowPunct w:val="0"/>
        <w:autoSpaceDE w:val="0"/>
        <w:autoSpaceDN w:val="0"/>
        <w:adjustRightInd w:val="0"/>
        <w:spacing w:before="120" w:after="0" w:line="240" w:lineRule="auto"/>
        <w:textAlignment w:val="baseline"/>
      </w:pPr>
      <w:r>
        <w:t xml:space="preserve">IECQ, the quality assessment system for electronic components </w:t>
      </w:r>
    </w:p>
    <w:p w:rsidR="00B86E56" w:rsidRDefault="00097C2C" w:rsidP="006E677D">
      <w:pPr>
        <w:snapToGrid w:val="0"/>
        <w:spacing w:before="120"/>
        <w:rPr>
          <w:lang w:val="en-GB"/>
        </w:rPr>
      </w:pPr>
      <w:proofErr w:type="gramStart"/>
      <w:r>
        <w:rPr>
          <w:lang w:val="en-GB"/>
        </w:rPr>
        <w:t xml:space="preserve">IECEE – Worldwide System for Conformity Testing and Certification of </w:t>
      </w:r>
      <w:proofErr w:type="spellStart"/>
      <w:r>
        <w:rPr>
          <w:lang w:val="en-GB"/>
        </w:rPr>
        <w:t>Electrotechnical</w:t>
      </w:r>
      <w:proofErr w:type="spellEnd"/>
      <w:r>
        <w:rPr>
          <w:lang w:val="en-GB"/>
        </w:rPr>
        <w:t xml:space="preserve"> Equipment and Components.</w:t>
      </w:r>
      <w:proofErr w:type="gramEnd"/>
      <w:r>
        <w:rPr>
          <w:lang w:val="en-GB"/>
        </w:rPr>
        <w:t xml:space="preserve"> The IECEE System is a multilateral, international agreement, for the acceptance of test results on electrical products tested to IEC standards and any other standards as approved by the CAB when no IEC standard exists.</w:t>
      </w:r>
    </w:p>
    <w:p w:rsidR="00DC7074" w:rsidRDefault="00DC7074" w:rsidP="00DC7074">
      <w:r>
        <w:t>The IECEE operates two certification s</w:t>
      </w:r>
      <w:r w:rsidRPr="0097068B">
        <w:t>chemes</w:t>
      </w:r>
      <w:r>
        <w:t>:</w:t>
      </w:r>
    </w:p>
    <w:p w:rsidR="00DC7074" w:rsidRPr="002B029D" w:rsidRDefault="00DC7074" w:rsidP="00890F8E">
      <w:pPr>
        <w:numPr>
          <w:ilvl w:val="0"/>
          <w:numId w:val="17"/>
        </w:numPr>
        <w:tabs>
          <w:tab w:val="left" w:pos="709"/>
          <w:tab w:val="left" w:pos="1191"/>
          <w:tab w:val="left" w:pos="1588"/>
          <w:tab w:val="left" w:pos="1985"/>
        </w:tabs>
        <w:overflowPunct w:val="0"/>
        <w:autoSpaceDE w:val="0"/>
        <w:autoSpaceDN w:val="0"/>
        <w:adjustRightInd w:val="0"/>
        <w:spacing w:before="120" w:after="0" w:line="240" w:lineRule="auto"/>
        <w:textAlignment w:val="baseline"/>
      </w:pPr>
      <w:r>
        <w:t xml:space="preserve">CB Scheme (Certification Bodies’ Scheme), </w:t>
      </w:r>
      <w:r w:rsidRPr="003C6921">
        <w:t>also called ISO System 1</w:t>
      </w:r>
      <w:r>
        <w:t xml:space="preserve">: </w:t>
      </w:r>
      <w:r w:rsidRPr="0097068B">
        <w:t>The CB Scheme is based on the principle of mutual recognition</w:t>
      </w:r>
      <w:r>
        <w:t xml:space="preserve"> of test results </w:t>
      </w:r>
      <w:r w:rsidRPr="0097068B">
        <w:t>by its members</w:t>
      </w:r>
      <w:r w:rsidR="00890F8E">
        <w:t xml:space="preserve"> and </w:t>
      </w:r>
      <w:r w:rsidR="00890F8E" w:rsidRPr="0044339C">
        <w:t>dealt with Testing Laboratories assessed by IECEE CB Scheme to the requirements of ISO/IEC 17025 and IECEE CB Certification Bodies (NCBs) to ISO/IEC Guide 65 (now 17065) by and IECEE CB Scheme appointed Assessment Team</w:t>
      </w:r>
      <w:r>
        <w:t>;</w:t>
      </w:r>
    </w:p>
    <w:p w:rsidR="00DC7074" w:rsidRPr="00AC303E" w:rsidRDefault="00DC7074" w:rsidP="00DC7074">
      <w:pPr>
        <w:numPr>
          <w:ilvl w:val="0"/>
          <w:numId w:val="17"/>
        </w:numPr>
        <w:tabs>
          <w:tab w:val="left" w:pos="709"/>
          <w:tab w:val="left" w:pos="1191"/>
          <w:tab w:val="left" w:pos="1588"/>
          <w:tab w:val="left" w:pos="1985"/>
        </w:tabs>
        <w:overflowPunct w:val="0"/>
        <w:autoSpaceDE w:val="0"/>
        <w:autoSpaceDN w:val="0"/>
        <w:adjustRightInd w:val="0"/>
        <w:spacing w:before="120" w:after="0" w:line="240" w:lineRule="auto"/>
        <w:textAlignment w:val="baseline"/>
      </w:pPr>
      <w:r>
        <w:t xml:space="preserve">CB FCS (Certification Bodies’ </w:t>
      </w:r>
      <w:r w:rsidRPr="0097068B">
        <w:t>Full Certification Scheme</w:t>
      </w:r>
      <w:r>
        <w:t xml:space="preserve">), </w:t>
      </w:r>
      <w:r w:rsidRPr="003C6921">
        <w:t>also called ISO System 5</w:t>
      </w:r>
      <w:r>
        <w:t xml:space="preserve">: it includes the CB scheme plus the assessment of a manufacturer’s </w:t>
      </w:r>
      <w:r w:rsidRPr="002B029D">
        <w:t>QMS (Quality Management System) and factory audit/inspection.</w:t>
      </w:r>
    </w:p>
    <w:p w:rsidR="00EC7D63" w:rsidRPr="00EC7D63" w:rsidRDefault="00117C14" w:rsidP="00EC7D63">
      <w:pPr>
        <w:spacing w:before="240"/>
        <w:rPr>
          <w:lang w:val="en-GB"/>
        </w:rPr>
      </w:pPr>
      <w:r>
        <w:rPr>
          <w:lang w:val="en-GB"/>
        </w:rPr>
        <w:t xml:space="preserve">The IECEE CB Scheme provides the assurance that tested and certified products meet the strictest levels of safety, reliability and performance in compliance with the relevant IEC International Standards. </w:t>
      </w:r>
      <w:r w:rsidR="00EC7D63" w:rsidRPr="0044339C">
        <w:rPr>
          <w:lang w:val="en-GB"/>
        </w:rPr>
        <w:t xml:space="preserve">The IECEE CB scheme has provision for qualifying Manufacturers Test Facilities to conduct </w:t>
      </w:r>
      <w:proofErr w:type="gramStart"/>
      <w:r w:rsidR="00EC7D63" w:rsidRPr="0044339C">
        <w:rPr>
          <w:lang w:val="en-GB"/>
        </w:rPr>
        <w:t>Testing</w:t>
      </w:r>
      <w:proofErr w:type="gramEnd"/>
      <w:r w:rsidR="00EC7D63" w:rsidRPr="0044339C">
        <w:rPr>
          <w:lang w:val="en-GB"/>
        </w:rPr>
        <w:t xml:space="preserve"> which is accepted by the National Certification Body (NCB) to issue IECEE CB Test Certificates.</w:t>
      </w:r>
    </w:p>
    <w:p w:rsidR="00117C14" w:rsidRDefault="00117C14" w:rsidP="00EC7D63">
      <w:pPr>
        <w:spacing w:before="240"/>
        <w:rPr>
          <w:lang w:val="en-GB"/>
        </w:rPr>
      </w:pPr>
      <w:r w:rsidRPr="00097C2C">
        <w:t>The IECEE System is based on the principle of mutual recognition (reciprocal acceptance) by its worldwide members of test results for obtaining certification or approval at national level</w:t>
      </w:r>
      <w:r>
        <w:t xml:space="preserve"> </w:t>
      </w:r>
      <w:r w:rsidRPr="00097C2C">
        <w:rPr>
          <w:i/>
          <w:iCs/>
        </w:rPr>
        <w:t xml:space="preserve">(source: </w:t>
      </w:r>
      <w:hyperlink r:id="rId34" w:history="1">
        <w:r w:rsidRPr="00097C2C">
          <w:rPr>
            <w:rStyle w:val="Hyperlink"/>
            <w:i/>
            <w:iCs/>
          </w:rPr>
          <w:t>presentation</w:t>
        </w:r>
      </w:hyperlink>
      <w:r w:rsidRPr="00097C2C">
        <w:rPr>
          <w:i/>
          <w:iCs/>
        </w:rPr>
        <w:t xml:space="preserve"> “The IECEE. </w:t>
      </w:r>
      <w:proofErr w:type="gramStart"/>
      <w:r w:rsidRPr="00097C2C">
        <w:rPr>
          <w:i/>
          <w:iCs/>
        </w:rPr>
        <w:t>The truly Worldwide Conformity Assessment System”, Mr Pierre de RUVO IECEE Executive Secretary and COO, special session at the ITU-T SG11 meeting, March 2013).</w:t>
      </w:r>
      <w:proofErr w:type="gramEnd"/>
      <w:r>
        <w:rPr>
          <w:i/>
          <w:iCs/>
        </w:rPr>
        <w:t xml:space="preserve"> </w:t>
      </w:r>
      <w:r>
        <w:rPr>
          <w:lang w:val="en-GB"/>
        </w:rPr>
        <w:t>As a result, a</w:t>
      </w:r>
      <w:r w:rsidRPr="00757D4E">
        <w:rPr>
          <w:lang w:val="en-GB"/>
        </w:rPr>
        <w:t xml:space="preserve"> CB test certificate is a global passport that allows products to be accepted in all IECEE member countries.</w:t>
      </w:r>
    </w:p>
    <w:p w:rsidR="00117C14" w:rsidRDefault="00117C14" w:rsidP="00117C14">
      <w:pPr>
        <w:rPr>
          <w:lang w:val="en-GB"/>
        </w:rPr>
      </w:pPr>
      <w:r>
        <w:rPr>
          <w:lang w:val="en-GB"/>
        </w:rPr>
        <w:t xml:space="preserve">In general this approach brings some benefits to all players of the market: it can help reduce costs and time to market, eliminates duplicate or multiple testing and offers a high level of confidence for </w:t>
      </w:r>
      <w:proofErr w:type="spellStart"/>
      <w:r>
        <w:rPr>
          <w:lang w:val="en-GB"/>
        </w:rPr>
        <w:t>manufactures</w:t>
      </w:r>
      <w:proofErr w:type="spellEnd"/>
      <w:r>
        <w:rPr>
          <w:lang w:val="en-GB"/>
        </w:rPr>
        <w:t>, retailers and consumers alike.</w:t>
      </w:r>
    </w:p>
    <w:p w:rsidR="00117C14" w:rsidRDefault="00117C14" w:rsidP="00117C14">
      <w:pPr>
        <w:rPr>
          <w:lang w:val="en-GB"/>
        </w:rPr>
      </w:pPr>
      <w:r>
        <w:rPr>
          <w:lang w:val="en-GB"/>
        </w:rPr>
        <w:t>The IECEE CB scheme is based on the IECEE Peer Assessment Programme which aims to assess National Certification Bodies (NCBs) and Testing Laboratories (TLs). This programme also includes the recognition procedure of IECEE assessors.</w:t>
      </w:r>
    </w:p>
    <w:p w:rsidR="00DC7074" w:rsidRPr="003C6921" w:rsidRDefault="00DC7074" w:rsidP="00DC7074">
      <w:pPr>
        <w:snapToGrid w:val="0"/>
        <w:spacing w:before="240"/>
      </w:pPr>
      <w:r w:rsidRPr="003C6921">
        <w:t>The members of IECEE are:</w:t>
      </w:r>
    </w:p>
    <w:p w:rsidR="00DC7074" w:rsidRPr="003C6921" w:rsidRDefault="00DC7074" w:rsidP="00DC7074">
      <w:pPr>
        <w:numPr>
          <w:ilvl w:val="0"/>
          <w:numId w:val="17"/>
        </w:numPr>
        <w:tabs>
          <w:tab w:val="left" w:pos="709"/>
          <w:tab w:val="left" w:pos="1191"/>
          <w:tab w:val="left" w:pos="1588"/>
          <w:tab w:val="left" w:pos="1985"/>
        </w:tabs>
        <w:overflowPunct w:val="0"/>
        <w:autoSpaceDE w:val="0"/>
        <w:autoSpaceDN w:val="0"/>
        <w:adjustRightInd w:val="0"/>
        <w:spacing w:before="120" w:after="0" w:line="240" w:lineRule="auto"/>
        <w:textAlignment w:val="baseline"/>
      </w:pPr>
      <w:r w:rsidRPr="003C6921">
        <w:t>IEC</w:t>
      </w:r>
      <w:r>
        <w:t>EE</w:t>
      </w:r>
      <w:r w:rsidRPr="003C6921">
        <w:t xml:space="preserve"> Member Bodies: one per country, </w:t>
      </w:r>
      <w:r w:rsidRPr="00DC7074">
        <w:t>57 as of May 2014</w:t>
      </w:r>
      <w:r w:rsidRPr="003C6921">
        <w:t>. The IEC</w:t>
      </w:r>
      <w:r>
        <w:t>EE</w:t>
      </w:r>
      <w:r w:rsidRPr="003C6921">
        <w:t xml:space="preserve"> Member Body may or may not be the same as the Member Body in IEC</w:t>
      </w:r>
      <w:r>
        <w:t xml:space="preserve"> of the same country</w:t>
      </w:r>
      <w:r w:rsidRPr="003C6921">
        <w:t>. Membership to IECEE is also open to non-IEC countries if the country decides to join IEC within a certain time.</w:t>
      </w:r>
    </w:p>
    <w:p w:rsidR="00DC7074" w:rsidRDefault="00DC7074" w:rsidP="009E043C">
      <w:pPr>
        <w:numPr>
          <w:ilvl w:val="0"/>
          <w:numId w:val="17"/>
        </w:numPr>
        <w:tabs>
          <w:tab w:val="left" w:pos="709"/>
          <w:tab w:val="left" w:pos="1191"/>
          <w:tab w:val="left" w:pos="1588"/>
          <w:tab w:val="left" w:pos="1985"/>
        </w:tabs>
        <w:overflowPunct w:val="0"/>
        <w:autoSpaceDE w:val="0"/>
        <w:autoSpaceDN w:val="0"/>
        <w:adjustRightInd w:val="0"/>
        <w:spacing w:before="120" w:after="0" w:line="240" w:lineRule="auto"/>
        <w:textAlignment w:val="baseline"/>
      </w:pPr>
      <w:r>
        <w:t>National Certification Bodies (NCB): one or more per country, nominated by the IECEE Member Body. In order for an NCB to become a member of IECEE, the NCB needs to undergo IECEE’s “recognition process”.</w:t>
      </w:r>
    </w:p>
    <w:p w:rsidR="00DC7074" w:rsidRDefault="00DC7074" w:rsidP="00DC7074">
      <w:pPr>
        <w:numPr>
          <w:ilvl w:val="0"/>
          <w:numId w:val="17"/>
        </w:numPr>
        <w:tabs>
          <w:tab w:val="left" w:pos="709"/>
          <w:tab w:val="left" w:pos="1191"/>
          <w:tab w:val="left" w:pos="1588"/>
          <w:tab w:val="left" w:pos="1985"/>
        </w:tabs>
        <w:overflowPunct w:val="0"/>
        <w:autoSpaceDE w:val="0"/>
        <w:autoSpaceDN w:val="0"/>
        <w:adjustRightInd w:val="0"/>
        <w:spacing w:before="120" w:after="0" w:line="240" w:lineRule="auto"/>
        <w:textAlignment w:val="baseline"/>
      </w:pPr>
      <w:r>
        <w:t>Testing Laboratories: there are various categories of testing laboratories, but the most relevant here are the CBTLs (Certification Bodies’ Testing Laboratories): one or more per country, nominated by the NCB; 441 as of April 2013. In order to become a CBTL, the lab needs to undergo IECEE’s “recognition process”.</w:t>
      </w:r>
    </w:p>
    <w:p w:rsidR="00DC7074" w:rsidRDefault="00DC7074" w:rsidP="00CB2631">
      <w:pPr>
        <w:numPr>
          <w:ilvl w:val="0"/>
          <w:numId w:val="17"/>
        </w:numPr>
        <w:tabs>
          <w:tab w:val="left" w:pos="709"/>
          <w:tab w:val="left" w:pos="1191"/>
          <w:tab w:val="left" w:pos="1588"/>
          <w:tab w:val="left" w:pos="1985"/>
        </w:tabs>
        <w:overflowPunct w:val="0"/>
        <w:autoSpaceDE w:val="0"/>
        <w:autoSpaceDN w:val="0"/>
        <w:adjustRightInd w:val="0"/>
        <w:spacing w:before="120" w:after="0" w:line="240" w:lineRule="auto"/>
        <w:textAlignment w:val="baseline"/>
      </w:pPr>
      <w:r>
        <w:t>Manufacturer’s testing laboratories (MTL) (2477 as of April 2013). A “manufacturer” is the entity whose equipment/service is going to be tested. Manufacturer’s testing laboratories are not CBTLs. However, under certain conditions, e.g. supervision by a CBTL/NCB, a manufacturer’s testing laboratory can perform tests which can also be recognized by the NCB. MTLs are assessed by NCBs.</w:t>
      </w:r>
    </w:p>
    <w:p w:rsidR="009E043C" w:rsidRDefault="009E043C" w:rsidP="009E043C">
      <w:pPr>
        <w:tabs>
          <w:tab w:val="left" w:pos="709"/>
          <w:tab w:val="left" w:pos="1191"/>
          <w:tab w:val="left" w:pos="1588"/>
          <w:tab w:val="left" w:pos="1985"/>
        </w:tabs>
        <w:overflowPunct w:val="0"/>
        <w:autoSpaceDE w:val="0"/>
        <w:autoSpaceDN w:val="0"/>
        <w:adjustRightInd w:val="0"/>
        <w:spacing w:before="120" w:after="0" w:line="240" w:lineRule="auto"/>
        <w:textAlignment w:val="baseline"/>
      </w:pPr>
      <w:r>
        <w:t xml:space="preserve">There are about 2200 IEC standards operated in the CB scheme. IECEE also keeps the list of all certificates issued for equipment/service that underwent testing – in </w:t>
      </w:r>
      <w:proofErr w:type="gramStart"/>
      <w:r>
        <w:t>2012,</w:t>
      </w:r>
      <w:proofErr w:type="gramEnd"/>
      <w:r>
        <w:t xml:space="preserve"> over 76,000 certificates were issued worldwide. These certificates are entered by the NCBs in IECEE’s database.</w:t>
      </w:r>
    </w:p>
    <w:p w:rsidR="006F7AA8" w:rsidRDefault="006F7AA8" w:rsidP="009E043C">
      <w:pPr>
        <w:tabs>
          <w:tab w:val="left" w:pos="709"/>
          <w:tab w:val="left" w:pos="1191"/>
          <w:tab w:val="left" w:pos="1588"/>
          <w:tab w:val="left" w:pos="1985"/>
        </w:tabs>
        <w:overflowPunct w:val="0"/>
        <w:autoSpaceDE w:val="0"/>
        <w:autoSpaceDN w:val="0"/>
        <w:adjustRightInd w:val="0"/>
        <w:spacing w:before="120" w:after="0" w:line="240" w:lineRule="auto"/>
        <w:textAlignment w:val="baseline"/>
      </w:pPr>
      <w:r w:rsidRPr="0044339C">
        <w:t>Finally, many of the manufacturer Test Labs currently operating within the IECEE CB Scheme are part of manufacture’s involved in the ITU and hence IECEE CB Scheme can easily cover ITU standards.</w:t>
      </w:r>
    </w:p>
    <w:p w:rsidR="00B86E56" w:rsidRPr="00C57684" w:rsidRDefault="00B86E56" w:rsidP="00B86E56">
      <w:pPr>
        <w:pStyle w:val="ListParagraph"/>
        <w:numPr>
          <w:ilvl w:val="1"/>
          <w:numId w:val="2"/>
        </w:numPr>
        <w:snapToGrid w:val="0"/>
        <w:spacing w:before="240"/>
        <w:ind w:left="425" w:hanging="425"/>
        <w:contextualSpacing w:val="0"/>
        <w:rPr>
          <w:b/>
          <w:bCs/>
          <w:lang w:val="en-GB"/>
        </w:rPr>
      </w:pPr>
      <w:r w:rsidRPr="00C57684">
        <w:rPr>
          <w:b/>
          <w:bCs/>
          <w:lang w:val="en-GB"/>
        </w:rPr>
        <w:t>Web link</w:t>
      </w:r>
    </w:p>
    <w:p w:rsidR="00B86E56" w:rsidRDefault="00B535D4" w:rsidP="00FE44FD">
      <w:pPr>
        <w:rPr>
          <w:lang w:val="en-GB"/>
        </w:rPr>
      </w:pPr>
      <w:r>
        <w:rPr>
          <w:lang w:val="en-GB"/>
        </w:rPr>
        <w:t xml:space="preserve">All information below has been taken from </w:t>
      </w:r>
      <w:hyperlink r:id="rId35" w:history="1">
        <w:r w:rsidRPr="00B535D4">
          <w:rPr>
            <w:rStyle w:val="Hyperlink"/>
            <w:lang w:val="en-GB"/>
          </w:rPr>
          <w:t>IECEE web page</w:t>
        </w:r>
      </w:hyperlink>
      <w:r>
        <w:rPr>
          <w:lang w:val="en-GB"/>
        </w:rPr>
        <w:t xml:space="preserve"> </w:t>
      </w:r>
      <w:r w:rsidR="006267B4">
        <w:rPr>
          <w:lang w:val="en-GB"/>
        </w:rPr>
        <w:t>and based on the</w:t>
      </w:r>
      <w:r>
        <w:rPr>
          <w:lang w:val="en-GB"/>
        </w:rPr>
        <w:t xml:space="preserve"> </w:t>
      </w:r>
      <w:r w:rsidR="006267B4">
        <w:rPr>
          <w:lang w:val="en-GB"/>
        </w:rPr>
        <w:t xml:space="preserve">IECEE </w:t>
      </w:r>
      <w:r>
        <w:rPr>
          <w:lang w:val="en-GB"/>
        </w:rPr>
        <w:t>operation documents.</w:t>
      </w:r>
      <w:r w:rsidR="00FE44FD">
        <w:rPr>
          <w:lang w:val="en-GB"/>
        </w:rPr>
        <w:t xml:space="preserve"> The list of key documents </w:t>
      </w:r>
      <w:r w:rsidR="00D42AAD">
        <w:rPr>
          <w:lang w:val="en-GB"/>
        </w:rPr>
        <w:t xml:space="preserve">which is used for TL’s recognition procedure </w:t>
      </w:r>
      <w:r w:rsidR="00FE44FD">
        <w:rPr>
          <w:lang w:val="en-GB"/>
        </w:rPr>
        <w:t>is indicated below:</w:t>
      </w:r>
    </w:p>
    <w:p w:rsidR="005832EA" w:rsidRPr="005832EA" w:rsidRDefault="005832EA" w:rsidP="005832EA">
      <w:pPr>
        <w:pStyle w:val="ListParagraph"/>
        <w:numPr>
          <w:ilvl w:val="0"/>
          <w:numId w:val="15"/>
        </w:numPr>
        <w:rPr>
          <w:lang w:val="en-GB"/>
        </w:rPr>
      </w:pPr>
      <w:r w:rsidRPr="005832EA">
        <w:rPr>
          <w:lang w:val="en-GB"/>
        </w:rPr>
        <w:t>IECEE 02-3: “IECEE Particular Rules of procedure – Peer Assessment Programme”</w:t>
      </w:r>
    </w:p>
    <w:p w:rsidR="00FE44FD" w:rsidRDefault="00FE44FD" w:rsidP="00FE44FD">
      <w:pPr>
        <w:pStyle w:val="ListParagraph"/>
        <w:numPr>
          <w:ilvl w:val="0"/>
          <w:numId w:val="15"/>
        </w:numPr>
        <w:rPr>
          <w:lang w:val="en-GB"/>
        </w:rPr>
      </w:pPr>
      <w:r w:rsidRPr="00FE44FD">
        <w:rPr>
          <w:lang w:val="en-GB"/>
        </w:rPr>
        <w:t>OD-1000 “CB-Scheme Multilateral Agreement”</w:t>
      </w:r>
    </w:p>
    <w:p w:rsidR="00FE44FD" w:rsidRDefault="00FE44FD" w:rsidP="00FE44FD">
      <w:pPr>
        <w:pStyle w:val="ListParagraph"/>
        <w:numPr>
          <w:ilvl w:val="0"/>
          <w:numId w:val="15"/>
        </w:numPr>
        <w:rPr>
          <w:lang w:val="en-GB"/>
        </w:rPr>
      </w:pPr>
      <w:r>
        <w:rPr>
          <w:lang w:val="en-GB"/>
        </w:rPr>
        <w:t>OD-G-2003 “</w:t>
      </w:r>
      <w:r w:rsidRPr="00FE44FD">
        <w:rPr>
          <w:lang w:val="en-GB"/>
        </w:rPr>
        <w:t xml:space="preserve">IECEE-ILAC-IAF Guidance for the Conduct of Unified Assessments in the </w:t>
      </w:r>
      <w:proofErr w:type="spellStart"/>
      <w:r w:rsidRPr="00FE44FD">
        <w:rPr>
          <w:lang w:val="en-GB"/>
        </w:rPr>
        <w:t>Electrotechnical</w:t>
      </w:r>
      <w:proofErr w:type="spellEnd"/>
      <w:r w:rsidRPr="00FE44FD">
        <w:rPr>
          <w:lang w:val="en-GB"/>
        </w:rPr>
        <w:t xml:space="preserve"> Sector</w:t>
      </w:r>
      <w:r>
        <w:rPr>
          <w:lang w:val="en-GB"/>
        </w:rPr>
        <w:t>”</w:t>
      </w:r>
    </w:p>
    <w:p w:rsidR="00FE44FD" w:rsidRDefault="00FE44FD" w:rsidP="00FE44FD">
      <w:pPr>
        <w:pStyle w:val="ListParagraph"/>
        <w:numPr>
          <w:ilvl w:val="0"/>
          <w:numId w:val="15"/>
        </w:numPr>
        <w:rPr>
          <w:lang w:val="en-GB"/>
        </w:rPr>
      </w:pPr>
      <w:r>
        <w:rPr>
          <w:lang w:val="en-GB"/>
        </w:rPr>
        <w:lastRenderedPageBreak/>
        <w:t>OD-2004 “</w:t>
      </w:r>
      <w:r w:rsidRPr="00FE44FD">
        <w:rPr>
          <w:lang w:val="en-GB"/>
        </w:rPr>
        <w:t>NCB Assessment Report template</w:t>
      </w:r>
      <w:r>
        <w:rPr>
          <w:lang w:val="en-GB"/>
        </w:rPr>
        <w:t>”</w:t>
      </w:r>
    </w:p>
    <w:p w:rsidR="005832EA" w:rsidRDefault="005832EA" w:rsidP="005832EA">
      <w:pPr>
        <w:pStyle w:val="ListParagraph"/>
        <w:numPr>
          <w:ilvl w:val="0"/>
          <w:numId w:val="15"/>
        </w:numPr>
        <w:rPr>
          <w:lang w:val="en-GB"/>
        </w:rPr>
      </w:pPr>
      <w:r>
        <w:rPr>
          <w:lang w:val="en-GB"/>
        </w:rPr>
        <w:t>OD-2005 “</w:t>
      </w:r>
      <w:r w:rsidRPr="00FE44FD">
        <w:rPr>
          <w:lang w:val="en-GB"/>
        </w:rPr>
        <w:t>CBTL Assessment Report template</w:t>
      </w:r>
      <w:r>
        <w:rPr>
          <w:lang w:val="en-GB"/>
        </w:rPr>
        <w:t>”</w:t>
      </w:r>
    </w:p>
    <w:p w:rsidR="00FE44FD" w:rsidRDefault="00FE44FD" w:rsidP="00FE44FD">
      <w:pPr>
        <w:pStyle w:val="ListParagraph"/>
        <w:numPr>
          <w:ilvl w:val="0"/>
          <w:numId w:val="15"/>
        </w:numPr>
        <w:rPr>
          <w:lang w:val="en-GB"/>
        </w:rPr>
      </w:pPr>
      <w:r>
        <w:rPr>
          <w:lang w:val="en-GB"/>
        </w:rPr>
        <w:t>OD-G-2004 “</w:t>
      </w:r>
      <w:r w:rsidRPr="00FE44FD">
        <w:rPr>
          <w:lang w:val="en-GB"/>
        </w:rPr>
        <w:t>Guidance for filling in the NCB Assessment Report</w:t>
      </w:r>
      <w:r>
        <w:rPr>
          <w:lang w:val="en-GB"/>
        </w:rPr>
        <w:t>”</w:t>
      </w:r>
    </w:p>
    <w:p w:rsidR="00FE44FD" w:rsidRDefault="00FE44FD" w:rsidP="00FE44FD">
      <w:pPr>
        <w:pStyle w:val="ListParagraph"/>
        <w:numPr>
          <w:ilvl w:val="0"/>
          <w:numId w:val="15"/>
        </w:numPr>
        <w:rPr>
          <w:lang w:val="en-GB"/>
        </w:rPr>
      </w:pPr>
      <w:r>
        <w:rPr>
          <w:lang w:val="en-GB"/>
        </w:rPr>
        <w:t>OD-G-2005 “</w:t>
      </w:r>
      <w:r w:rsidRPr="00FE44FD">
        <w:rPr>
          <w:lang w:val="en-GB"/>
        </w:rPr>
        <w:t>Guidance for filling in the CBTL Assessment Report</w:t>
      </w:r>
      <w:r>
        <w:rPr>
          <w:lang w:val="en-GB"/>
        </w:rPr>
        <w:t>”</w:t>
      </w:r>
    </w:p>
    <w:p w:rsidR="005832EA" w:rsidRPr="005832EA" w:rsidRDefault="005832EA" w:rsidP="005832EA">
      <w:pPr>
        <w:pStyle w:val="ListParagraph"/>
        <w:numPr>
          <w:ilvl w:val="0"/>
          <w:numId w:val="15"/>
        </w:numPr>
        <w:rPr>
          <w:lang w:val="en-GB"/>
        </w:rPr>
      </w:pPr>
      <w:r w:rsidRPr="005832EA">
        <w:rPr>
          <w:lang w:val="en-GB"/>
        </w:rPr>
        <w:t>OD-2007: “List of documentation required for applications”; applies to NCBs and test labs</w:t>
      </w:r>
    </w:p>
    <w:p w:rsidR="005832EA" w:rsidRPr="005832EA" w:rsidRDefault="005832EA" w:rsidP="005832EA">
      <w:pPr>
        <w:pStyle w:val="ListParagraph"/>
        <w:numPr>
          <w:ilvl w:val="0"/>
          <w:numId w:val="15"/>
        </w:numPr>
        <w:rPr>
          <w:lang w:val="en-GB"/>
        </w:rPr>
      </w:pPr>
      <w:r w:rsidRPr="005832EA">
        <w:rPr>
          <w:lang w:val="en-GB"/>
        </w:rPr>
        <w:t>OD-2010: “NCB application form”</w:t>
      </w:r>
    </w:p>
    <w:p w:rsidR="005832EA" w:rsidRPr="005832EA" w:rsidRDefault="005832EA" w:rsidP="005832EA">
      <w:pPr>
        <w:pStyle w:val="ListParagraph"/>
        <w:numPr>
          <w:ilvl w:val="0"/>
          <w:numId w:val="15"/>
        </w:numPr>
        <w:rPr>
          <w:lang w:val="en-GB"/>
        </w:rPr>
      </w:pPr>
      <w:r w:rsidRPr="005832EA">
        <w:rPr>
          <w:lang w:val="en-GB"/>
        </w:rPr>
        <w:t>OD-2011: “CBTL application form”</w:t>
      </w:r>
    </w:p>
    <w:p w:rsidR="005832EA" w:rsidRPr="005832EA" w:rsidRDefault="005832EA" w:rsidP="005832EA">
      <w:pPr>
        <w:pStyle w:val="ListParagraph"/>
        <w:numPr>
          <w:ilvl w:val="0"/>
          <w:numId w:val="15"/>
        </w:numPr>
        <w:rPr>
          <w:lang w:val="en-GB"/>
        </w:rPr>
      </w:pPr>
      <w:r w:rsidRPr="005832EA">
        <w:rPr>
          <w:lang w:val="en-GB"/>
        </w:rPr>
        <w:t>OD-2-24: “Guideline for Testing Laboratories (CBTLs) to prepare the list of testing and measuring equipment”</w:t>
      </w:r>
    </w:p>
    <w:p w:rsidR="005832EA" w:rsidRPr="005832EA" w:rsidRDefault="005832EA" w:rsidP="005832EA">
      <w:pPr>
        <w:pStyle w:val="ListParagraph"/>
        <w:numPr>
          <w:ilvl w:val="0"/>
          <w:numId w:val="15"/>
        </w:numPr>
        <w:rPr>
          <w:lang w:val="en-GB"/>
        </w:rPr>
      </w:pPr>
      <w:r w:rsidRPr="005832EA">
        <w:rPr>
          <w:lang w:val="en-GB"/>
        </w:rPr>
        <w:t>OD-2027: “Use of Manufacturers’ Testing Laboratories: general principles”</w:t>
      </w:r>
    </w:p>
    <w:p w:rsidR="005832EA" w:rsidRPr="005832EA" w:rsidRDefault="005832EA" w:rsidP="005832EA">
      <w:pPr>
        <w:pStyle w:val="ListParagraph"/>
        <w:numPr>
          <w:ilvl w:val="0"/>
          <w:numId w:val="15"/>
        </w:numPr>
        <w:rPr>
          <w:lang w:val="en-GB"/>
        </w:rPr>
      </w:pPr>
      <w:r w:rsidRPr="005832EA">
        <w:rPr>
          <w:lang w:val="en-GB"/>
        </w:rPr>
        <w:t>OD-2032: “Assessment of Manufacturers' Test Laboratories”</w:t>
      </w:r>
    </w:p>
    <w:p w:rsidR="00B86E56" w:rsidRPr="00863A86" w:rsidRDefault="00B86E56" w:rsidP="002E2CCE">
      <w:pPr>
        <w:pStyle w:val="ListParagraph"/>
        <w:numPr>
          <w:ilvl w:val="1"/>
          <w:numId w:val="2"/>
        </w:numPr>
        <w:snapToGrid w:val="0"/>
        <w:spacing w:before="240"/>
        <w:ind w:left="425" w:hanging="425"/>
        <w:contextualSpacing w:val="0"/>
        <w:rPr>
          <w:b/>
          <w:bCs/>
          <w:lang w:val="en-GB"/>
        </w:rPr>
      </w:pPr>
      <w:r w:rsidRPr="00863A86">
        <w:rPr>
          <w:b/>
          <w:bCs/>
          <w:lang w:val="en-GB"/>
        </w:rPr>
        <w:t>Description of TL</w:t>
      </w:r>
      <w:r w:rsidR="00370858">
        <w:rPr>
          <w:b/>
          <w:bCs/>
          <w:lang w:val="en-GB"/>
        </w:rPr>
        <w:t>’s</w:t>
      </w:r>
      <w:r w:rsidRPr="00863A86">
        <w:rPr>
          <w:b/>
          <w:bCs/>
          <w:lang w:val="en-GB"/>
        </w:rPr>
        <w:t xml:space="preserve"> recognition procedure</w:t>
      </w:r>
    </w:p>
    <w:p w:rsidR="00EF7628" w:rsidRDefault="009E043C" w:rsidP="00EF7628">
      <w:r>
        <w:t xml:space="preserve">TL </w:t>
      </w:r>
      <w:r w:rsidRPr="00180D7F">
        <w:t>that wishes to become a member of IECEE’s CB Scheme for specified IEC standards, or would like to extend its scope to include additional IEC standards, is required to submit an application through its national Member Body in IECEE.</w:t>
      </w:r>
    </w:p>
    <w:p w:rsidR="00B86E56" w:rsidRDefault="009E043C" w:rsidP="00EF7628">
      <w:pPr>
        <w:rPr>
          <w:lang w:val="en-GB"/>
        </w:rPr>
      </w:pPr>
      <w:r w:rsidRPr="00180D7F">
        <w:t xml:space="preserve">The IECEE Secretary reviews all such applications, appoints </w:t>
      </w:r>
      <w:r>
        <w:t>a</w:t>
      </w:r>
      <w:r w:rsidRPr="00180D7F">
        <w:t xml:space="preserve">ssessment </w:t>
      </w:r>
      <w:r>
        <w:t>t</w:t>
      </w:r>
      <w:r w:rsidRPr="00180D7F">
        <w:t xml:space="preserve">eams and organizes on-site assessments of the </w:t>
      </w:r>
      <w:r>
        <w:t>TL</w:t>
      </w:r>
      <w:r w:rsidRPr="00180D7F">
        <w:t xml:space="preserve"> to verify compliance against ISO/IEC Guide 170</w:t>
      </w:r>
      <w:r>
        <w:t>2</w:t>
      </w:r>
      <w:r w:rsidRPr="00180D7F">
        <w:t xml:space="preserve">5 </w:t>
      </w:r>
      <w:r>
        <w:t>“General requirements for the competence of testing and calibration laboratories”</w:t>
      </w:r>
      <w:r w:rsidR="00D82B78">
        <w:t xml:space="preserve"> and requested IEC standards, based on </w:t>
      </w:r>
      <w:r w:rsidRPr="00180D7F">
        <w:t>the IECEE Rules of Procedure and Operational Documents.</w:t>
      </w:r>
    </w:p>
    <w:p w:rsidR="00E56645" w:rsidRPr="00E56645" w:rsidRDefault="00E56645" w:rsidP="009F2B74">
      <w:pPr>
        <w:rPr>
          <w:lang w:val="en-GB"/>
        </w:rPr>
      </w:pPr>
      <w:r w:rsidRPr="00180D7F">
        <w:t xml:space="preserve">Assessment </w:t>
      </w:r>
      <w:r>
        <w:t>t</w:t>
      </w:r>
      <w:r w:rsidRPr="00180D7F">
        <w:t xml:space="preserve">eams comprise experts from participating NCB and CBTLs. </w:t>
      </w:r>
      <w:r>
        <w:t>The decision to recognize an NCB is made by IECEE. IECEE has about 500 assessors worldwide.</w:t>
      </w:r>
    </w:p>
    <w:p w:rsidR="00B86E56" w:rsidRPr="00863A86" w:rsidRDefault="00B86E56" w:rsidP="00E56645">
      <w:pPr>
        <w:pStyle w:val="ListParagraph"/>
        <w:numPr>
          <w:ilvl w:val="1"/>
          <w:numId w:val="2"/>
        </w:numPr>
        <w:snapToGrid w:val="0"/>
        <w:spacing w:before="240"/>
        <w:ind w:left="425" w:hanging="425"/>
        <w:contextualSpacing w:val="0"/>
        <w:rPr>
          <w:b/>
          <w:bCs/>
          <w:lang w:val="en-GB"/>
        </w:rPr>
      </w:pPr>
      <w:r w:rsidRPr="00863A86">
        <w:rPr>
          <w:b/>
          <w:bCs/>
          <w:lang w:val="en-GB"/>
        </w:rPr>
        <w:t>Criteria for recognition of the TLs</w:t>
      </w:r>
    </w:p>
    <w:p w:rsidR="00B86E56" w:rsidRDefault="00631E0D" w:rsidP="00631E0D">
      <w:r>
        <w:t>All information below is represented in IECEE 02-2 “</w:t>
      </w:r>
      <w:r w:rsidRPr="00631E0D">
        <w:t xml:space="preserve">IECEE Particular Rules of procedure </w:t>
      </w:r>
      <w:r>
        <w:t>—</w:t>
      </w:r>
      <w:r w:rsidRPr="00631E0D">
        <w:t xml:space="preserve"> Membership</w:t>
      </w:r>
      <w:r>
        <w:t>”.</w:t>
      </w:r>
    </w:p>
    <w:p w:rsidR="00631E0D" w:rsidRDefault="0006063E" w:rsidP="0006063E">
      <w:pPr>
        <w:pStyle w:val="ListParagraph"/>
        <w:numPr>
          <w:ilvl w:val="0"/>
          <w:numId w:val="19"/>
        </w:numPr>
        <w:ind w:left="993" w:hanging="426"/>
      </w:pPr>
      <w:r>
        <w:t>Certification Bodies’ Testing Laboratories (</w:t>
      </w:r>
      <w:r w:rsidR="00631E0D">
        <w:t>CBTL</w:t>
      </w:r>
      <w:r>
        <w:t>)</w:t>
      </w:r>
      <w:r w:rsidR="00631E0D">
        <w:t xml:space="preserve"> shall be an integral part, such as a department, division, branch or subsidiary of that Issuing and Recognizing NCB</w:t>
      </w:r>
    </w:p>
    <w:p w:rsidR="00631E0D" w:rsidRDefault="00631E0D" w:rsidP="009C682A">
      <w:pPr>
        <w:pStyle w:val="ListParagraph"/>
        <w:numPr>
          <w:ilvl w:val="0"/>
          <w:numId w:val="20"/>
        </w:numPr>
        <w:ind w:left="1418"/>
      </w:pPr>
      <w:r>
        <w:t>or be under the complete technical and legal control of that Issuing and Recognizing NCB,</w:t>
      </w:r>
    </w:p>
    <w:p w:rsidR="00631E0D" w:rsidRDefault="00631E0D" w:rsidP="009C682A">
      <w:pPr>
        <w:pStyle w:val="ListParagraph"/>
        <w:numPr>
          <w:ilvl w:val="0"/>
          <w:numId w:val="20"/>
        </w:numPr>
        <w:ind w:left="1418"/>
      </w:pPr>
      <w:r>
        <w:t>or have a written agreement with that Issuing and Recognizing NCB clearly outlining the commitment, duty and responsibility of both parties to follow these Rules;</w:t>
      </w:r>
    </w:p>
    <w:p w:rsidR="00631E0D" w:rsidRDefault="00631E0D" w:rsidP="00631E0D">
      <w:pPr>
        <w:pStyle w:val="ListParagraph"/>
        <w:numPr>
          <w:ilvl w:val="0"/>
          <w:numId w:val="19"/>
        </w:numPr>
        <w:ind w:left="993" w:hanging="426"/>
      </w:pPr>
      <w:r>
        <w:t>CBTL shall not be permitted to participate in the CB Scheme for an IEC Standard accepted for use in the Scheme when its responsible NCB has not been accepted for that IEC Standard;</w:t>
      </w:r>
    </w:p>
    <w:p w:rsidR="00631E0D" w:rsidRDefault="00631E0D" w:rsidP="00631E0D">
      <w:pPr>
        <w:pStyle w:val="ListParagraph"/>
        <w:numPr>
          <w:ilvl w:val="0"/>
          <w:numId w:val="19"/>
        </w:numPr>
        <w:ind w:left="993" w:hanging="426"/>
      </w:pPr>
      <w:r>
        <w:t>CBTL shall not be permitted to participate in the CB Scheme for more than one NCB in the same product category(</w:t>
      </w:r>
      <w:proofErr w:type="spellStart"/>
      <w:r>
        <w:t>ies</w:t>
      </w:r>
      <w:proofErr w:type="spellEnd"/>
      <w:r>
        <w:t>)/standard(s);</w:t>
      </w:r>
    </w:p>
    <w:p w:rsidR="009C682A" w:rsidRDefault="009C682A" w:rsidP="009C682A">
      <w:pPr>
        <w:pStyle w:val="ListParagraph"/>
        <w:numPr>
          <w:ilvl w:val="0"/>
          <w:numId w:val="19"/>
        </w:numPr>
        <w:ind w:left="993" w:hanging="426"/>
      </w:pPr>
      <w:r>
        <w:t xml:space="preserve">CBTL shall not be, or be influenced by, a body which manufactures or trades in </w:t>
      </w:r>
      <w:proofErr w:type="spellStart"/>
      <w:r>
        <w:t>electrotechnical</w:t>
      </w:r>
      <w:proofErr w:type="spellEnd"/>
      <w:r>
        <w:t xml:space="preserve"> equipment and components. Furthermore, the CBTL shall be impartial and not offer assistance or other services which may compromise the objectivity of its testing activities and decisions;</w:t>
      </w:r>
    </w:p>
    <w:p w:rsidR="009C682A" w:rsidRDefault="009C682A" w:rsidP="009C682A">
      <w:pPr>
        <w:pStyle w:val="ListParagraph"/>
        <w:numPr>
          <w:ilvl w:val="0"/>
          <w:numId w:val="19"/>
        </w:numPr>
        <w:ind w:left="993" w:hanging="426"/>
      </w:pPr>
      <w:proofErr w:type="gramStart"/>
      <w:r>
        <w:lastRenderedPageBreak/>
        <w:t>the</w:t>
      </w:r>
      <w:proofErr w:type="gramEnd"/>
      <w:r>
        <w:t xml:space="preserve"> competence of the testing laboratory shall be demonstrated by assessment. The general competence, efficiency, experience, familiarity with the relevant standards and the products included in those standards as well as compliance with applicable parts of the relevant ISO/IEC 17025 shall be taken into consideration. Accreditation, if any, shall be taken into account when a recognized national accreditation body provides an accreditation service in the country;</w:t>
      </w:r>
    </w:p>
    <w:p w:rsidR="009C682A" w:rsidRDefault="009C682A" w:rsidP="00F147D8">
      <w:pPr>
        <w:pStyle w:val="ListParagraph"/>
        <w:numPr>
          <w:ilvl w:val="0"/>
          <w:numId w:val="19"/>
        </w:numPr>
        <w:ind w:left="993" w:hanging="426"/>
      </w:pPr>
      <w:r>
        <w:t>Experience is considered sufficient when, within the last 2 (two) years, at least 10 Test Reports have been issued for the product category applied for but at least one Test Report for the specific part 2 standard applied for</w:t>
      </w:r>
      <w:r w:rsidR="00941E44">
        <w:t>,</w:t>
      </w:r>
    </w:p>
    <w:p w:rsidR="009C682A" w:rsidRDefault="004139C2" w:rsidP="00F147D8">
      <w:pPr>
        <w:pStyle w:val="ListParagraph"/>
        <w:ind w:left="993"/>
      </w:pPr>
      <w:proofErr w:type="gramStart"/>
      <w:r>
        <w:t>etc</w:t>
      </w:r>
      <w:proofErr w:type="gramEnd"/>
      <w:r>
        <w:t>.</w:t>
      </w:r>
    </w:p>
    <w:p w:rsidR="0024477E" w:rsidRPr="0024477E" w:rsidRDefault="0024477E" w:rsidP="0024477E">
      <w:pPr>
        <w:jc w:val="center"/>
        <w:rPr>
          <w:lang w:val="ru-RU"/>
        </w:rPr>
      </w:pPr>
      <w:r>
        <w:rPr>
          <w:lang w:val="ru-RU"/>
        </w:rPr>
        <w:t>_____________________</w:t>
      </w:r>
    </w:p>
    <w:sectPr w:rsidR="0024477E" w:rsidRPr="0024477E">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0A43" w:rsidRDefault="00270A43" w:rsidP="00DC7074">
      <w:pPr>
        <w:spacing w:after="0" w:line="240" w:lineRule="auto"/>
      </w:pPr>
      <w:r>
        <w:separator/>
      </w:r>
    </w:p>
  </w:endnote>
  <w:endnote w:type="continuationSeparator" w:id="0">
    <w:p w:rsidR="00270A43" w:rsidRDefault="00270A43" w:rsidP="00DC70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0A43" w:rsidRDefault="00270A43" w:rsidP="00DC7074">
      <w:pPr>
        <w:spacing w:after="0" w:line="240" w:lineRule="auto"/>
      </w:pPr>
      <w:r>
        <w:separator/>
      </w:r>
    </w:p>
  </w:footnote>
  <w:footnote w:type="continuationSeparator" w:id="0">
    <w:p w:rsidR="00270A43" w:rsidRDefault="00270A43" w:rsidP="00DC707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33B66"/>
    <w:multiLevelType w:val="multilevel"/>
    <w:tmpl w:val="D6E49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09090A"/>
    <w:multiLevelType w:val="hybridMultilevel"/>
    <w:tmpl w:val="1FC63832"/>
    <w:lvl w:ilvl="0" w:tplc="1B82A2A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ACA6F2A"/>
    <w:multiLevelType w:val="hybridMultilevel"/>
    <w:tmpl w:val="F7EA655A"/>
    <w:lvl w:ilvl="0" w:tplc="CA942ED0">
      <w:numFmt w:val="bullet"/>
      <w:lvlText w:val="-"/>
      <w:lvlJc w:val="left"/>
      <w:pPr>
        <w:ind w:left="1434" w:hanging="360"/>
      </w:pPr>
      <w:rPr>
        <w:rFonts w:ascii="Times New Roman" w:eastAsia="Times New Roman" w:hAnsi="Times New Roman" w:cs="Times New Roman"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3">
    <w:nsid w:val="1DE0520A"/>
    <w:multiLevelType w:val="hybridMultilevel"/>
    <w:tmpl w:val="348E779E"/>
    <w:lvl w:ilvl="0" w:tplc="CA942E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216496"/>
    <w:multiLevelType w:val="multilevel"/>
    <w:tmpl w:val="35FA29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20F34D63"/>
    <w:multiLevelType w:val="hybridMultilevel"/>
    <w:tmpl w:val="D0A4CA16"/>
    <w:lvl w:ilvl="0" w:tplc="FE9083EE">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B00203C"/>
    <w:multiLevelType w:val="hybridMultilevel"/>
    <w:tmpl w:val="C068D20E"/>
    <w:lvl w:ilvl="0" w:tplc="F992F03A">
      <w:start w:val="1"/>
      <w:numFmt w:val="bullet"/>
      <w:lvlText w:val="–"/>
      <w:lvlJc w:val="left"/>
      <w:pPr>
        <w:tabs>
          <w:tab w:val="num" w:pos="720"/>
        </w:tabs>
        <w:ind w:left="720" w:hanging="360"/>
      </w:pPr>
      <w:rPr>
        <w:rFonts w:ascii="Times New Roman" w:hAnsi="Times New Roman" w:hint="default"/>
      </w:rPr>
    </w:lvl>
    <w:lvl w:ilvl="1" w:tplc="6E063386">
      <w:start w:val="1"/>
      <w:numFmt w:val="bullet"/>
      <w:lvlText w:val="–"/>
      <w:lvlJc w:val="left"/>
      <w:pPr>
        <w:tabs>
          <w:tab w:val="num" w:pos="1440"/>
        </w:tabs>
        <w:ind w:left="1440" w:hanging="360"/>
      </w:pPr>
      <w:rPr>
        <w:rFonts w:ascii="Times New Roman" w:hAnsi="Times New Roman" w:hint="default"/>
      </w:rPr>
    </w:lvl>
    <w:lvl w:ilvl="2" w:tplc="1C9CDB46">
      <w:start w:val="607"/>
      <w:numFmt w:val="bullet"/>
      <w:lvlText w:val="•"/>
      <w:lvlJc w:val="left"/>
      <w:pPr>
        <w:tabs>
          <w:tab w:val="num" w:pos="2160"/>
        </w:tabs>
        <w:ind w:left="2160" w:hanging="360"/>
      </w:pPr>
      <w:rPr>
        <w:rFonts w:ascii="Times New Roman" w:hAnsi="Times New Roman" w:hint="default"/>
      </w:rPr>
    </w:lvl>
    <w:lvl w:ilvl="3" w:tplc="BD8AF6AA" w:tentative="1">
      <w:start w:val="1"/>
      <w:numFmt w:val="bullet"/>
      <w:lvlText w:val="–"/>
      <w:lvlJc w:val="left"/>
      <w:pPr>
        <w:tabs>
          <w:tab w:val="num" w:pos="2880"/>
        </w:tabs>
        <w:ind w:left="2880" w:hanging="360"/>
      </w:pPr>
      <w:rPr>
        <w:rFonts w:ascii="Times New Roman" w:hAnsi="Times New Roman" w:hint="default"/>
      </w:rPr>
    </w:lvl>
    <w:lvl w:ilvl="4" w:tplc="731C7E2A" w:tentative="1">
      <w:start w:val="1"/>
      <w:numFmt w:val="bullet"/>
      <w:lvlText w:val="–"/>
      <w:lvlJc w:val="left"/>
      <w:pPr>
        <w:tabs>
          <w:tab w:val="num" w:pos="3600"/>
        </w:tabs>
        <w:ind w:left="3600" w:hanging="360"/>
      </w:pPr>
      <w:rPr>
        <w:rFonts w:ascii="Times New Roman" w:hAnsi="Times New Roman" w:hint="default"/>
      </w:rPr>
    </w:lvl>
    <w:lvl w:ilvl="5" w:tplc="72A81CC6" w:tentative="1">
      <w:start w:val="1"/>
      <w:numFmt w:val="bullet"/>
      <w:lvlText w:val="–"/>
      <w:lvlJc w:val="left"/>
      <w:pPr>
        <w:tabs>
          <w:tab w:val="num" w:pos="4320"/>
        </w:tabs>
        <w:ind w:left="4320" w:hanging="360"/>
      </w:pPr>
      <w:rPr>
        <w:rFonts w:ascii="Times New Roman" w:hAnsi="Times New Roman" w:hint="default"/>
      </w:rPr>
    </w:lvl>
    <w:lvl w:ilvl="6" w:tplc="32E003B8" w:tentative="1">
      <w:start w:val="1"/>
      <w:numFmt w:val="bullet"/>
      <w:lvlText w:val="–"/>
      <w:lvlJc w:val="left"/>
      <w:pPr>
        <w:tabs>
          <w:tab w:val="num" w:pos="5040"/>
        </w:tabs>
        <w:ind w:left="5040" w:hanging="360"/>
      </w:pPr>
      <w:rPr>
        <w:rFonts w:ascii="Times New Roman" w:hAnsi="Times New Roman" w:hint="default"/>
      </w:rPr>
    </w:lvl>
    <w:lvl w:ilvl="7" w:tplc="F5B02AB0" w:tentative="1">
      <w:start w:val="1"/>
      <w:numFmt w:val="bullet"/>
      <w:lvlText w:val="–"/>
      <w:lvlJc w:val="left"/>
      <w:pPr>
        <w:tabs>
          <w:tab w:val="num" w:pos="5760"/>
        </w:tabs>
        <w:ind w:left="5760" w:hanging="360"/>
      </w:pPr>
      <w:rPr>
        <w:rFonts w:ascii="Times New Roman" w:hAnsi="Times New Roman" w:hint="default"/>
      </w:rPr>
    </w:lvl>
    <w:lvl w:ilvl="8" w:tplc="FC34DDD2" w:tentative="1">
      <w:start w:val="1"/>
      <w:numFmt w:val="bullet"/>
      <w:lvlText w:val="–"/>
      <w:lvlJc w:val="left"/>
      <w:pPr>
        <w:tabs>
          <w:tab w:val="num" w:pos="6480"/>
        </w:tabs>
        <w:ind w:left="6480" w:hanging="360"/>
      </w:pPr>
      <w:rPr>
        <w:rFonts w:ascii="Times New Roman" w:hAnsi="Times New Roman" w:hint="default"/>
      </w:rPr>
    </w:lvl>
  </w:abstractNum>
  <w:abstractNum w:abstractNumId="7">
    <w:nsid w:val="3BB37572"/>
    <w:multiLevelType w:val="multilevel"/>
    <w:tmpl w:val="BBAE8940"/>
    <w:lvl w:ilvl="0">
      <w:start w:val="1"/>
      <w:numFmt w:val="lowerLetter"/>
      <w:lvlText w:val="%1."/>
      <w:lvlJc w:val="left"/>
      <w:pPr>
        <w:tabs>
          <w:tab w:val="num" w:pos="1440"/>
        </w:tabs>
        <w:ind w:left="1440" w:hanging="360"/>
      </w:pPr>
      <w:rPr>
        <w:rFonts w:hint="default"/>
        <w:b w:val="0"/>
        <w:bCs w:val="0"/>
        <w:caps w:val="0"/>
        <w:smallCaps w:val="0"/>
        <w:strike w:val="0"/>
        <w:dstrike w:val="0"/>
        <w:outline w:val="0"/>
        <w:shadow w:val="0"/>
        <w:emboss w:val="0"/>
        <w:imprint w:val="0"/>
        <w:vanish w:val="0"/>
        <w:spacing w:val="0"/>
        <w:position w:val="0"/>
        <w:u w:val="none"/>
        <w:vertAlign w:val="baseline"/>
        <w:em w:val="none"/>
      </w:rPr>
    </w:lvl>
    <w:lvl w:ilvl="1">
      <w:start w:val="1"/>
      <w:numFmt w:val="decimal"/>
      <w:lvlText w:val="%1.%2"/>
      <w:lvlJc w:val="left"/>
      <w:pPr>
        <w:tabs>
          <w:tab w:val="num" w:pos="1656"/>
        </w:tabs>
        <w:ind w:left="1656" w:hanging="576"/>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1944"/>
        </w:tabs>
        <w:ind w:left="1944" w:hanging="864"/>
      </w:pPr>
      <w:rPr>
        <w:rFonts w:hint="default"/>
      </w:rPr>
    </w:lvl>
    <w:lvl w:ilvl="4">
      <w:start w:val="1"/>
      <w:numFmt w:val="decimal"/>
      <w:lvlText w:val="%1.%2.%3.%4.%5"/>
      <w:lvlJc w:val="left"/>
      <w:pPr>
        <w:tabs>
          <w:tab w:val="num" w:pos="2088"/>
        </w:tabs>
        <w:ind w:left="2088" w:hanging="1008"/>
      </w:pPr>
      <w:rPr>
        <w:rFonts w:hint="default"/>
      </w:rPr>
    </w:lvl>
    <w:lvl w:ilvl="5">
      <w:start w:val="1"/>
      <w:numFmt w:val="decimal"/>
      <w:lvlText w:val="%1.%2.%3.%4.%5.%6"/>
      <w:lvlJc w:val="left"/>
      <w:pPr>
        <w:tabs>
          <w:tab w:val="num" w:pos="2232"/>
        </w:tabs>
        <w:ind w:left="2232" w:hanging="1152"/>
      </w:pPr>
      <w:rPr>
        <w:rFonts w:hint="default"/>
      </w:rPr>
    </w:lvl>
    <w:lvl w:ilvl="6">
      <w:start w:val="1"/>
      <w:numFmt w:val="decimal"/>
      <w:lvlText w:val="%1.%2.%3.%4.%5.%6.%7"/>
      <w:lvlJc w:val="left"/>
      <w:pPr>
        <w:tabs>
          <w:tab w:val="num" w:pos="2376"/>
        </w:tabs>
        <w:ind w:left="2376" w:hanging="1296"/>
      </w:pPr>
      <w:rPr>
        <w:rFonts w:hint="default"/>
      </w:rPr>
    </w:lvl>
    <w:lvl w:ilvl="7">
      <w:start w:val="1"/>
      <w:numFmt w:val="decimal"/>
      <w:lvlText w:val="%1.%2.%3.%4.%5.%6.%7.%8"/>
      <w:lvlJc w:val="left"/>
      <w:pPr>
        <w:tabs>
          <w:tab w:val="num" w:pos="2520"/>
        </w:tabs>
        <w:ind w:left="2520" w:hanging="1440"/>
      </w:pPr>
      <w:rPr>
        <w:rFonts w:hint="default"/>
      </w:rPr>
    </w:lvl>
    <w:lvl w:ilvl="8">
      <w:start w:val="1"/>
      <w:numFmt w:val="decimal"/>
      <w:lvlText w:val="%1.%2.%3.%4.%5.%6.%7.%8.%9"/>
      <w:lvlJc w:val="left"/>
      <w:pPr>
        <w:tabs>
          <w:tab w:val="num" w:pos="2664"/>
        </w:tabs>
        <w:ind w:left="2664" w:hanging="1584"/>
      </w:pPr>
      <w:rPr>
        <w:rFonts w:hint="default"/>
      </w:rPr>
    </w:lvl>
  </w:abstractNum>
  <w:abstractNum w:abstractNumId="8">
    <w:nsid w:val="452602F2"/>
    <w:multiLevelType w:val="hybridMultilevel"/>
    <w:tmpl w:val="5456D7E6"/>
    <w:lvl w:ilvl="0" w:tplc="CA942E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CD55A5F"/>
    <w:multiLevelType w:val="hybridMultilevel"/>
    <w:tmpl w:val="526E9F56"/>
    <w:lvl w:ilvl="0" w:tplc="CA942E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0ED6461"/>
    <w:multiLevelType w:val="hybridMultilevel"/>
    <w:tmpl w:val="777684E0"/>
    <w:lvl w:ilvl="0" w:tplc="CA942ED0">
      <w:numFmt w:val="bullet"/>
      <w:lvlText w:val="-"/>
      <w:lvlJc w:val="left"/>
      <w:pPr>
        <w:ind w:left="108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E0336C"/>
    <w:multiLevelType w:val="hybridMultilevel"/>
    <w:tmpl w:val="CCB26F5E"/>
    <w:lvl w:ilvl="0" w:tplc="D4541588">
      <w:start w:val="2"/>
      <w:numFmt w:val="bullet"/>
      <w:lvlText w:val="-"/>
      <w:lvlJc w:val="left"/>
      <w:pPr>
        <w:ind w:left="720" w:hanging="360"/>
      </w:pPr>
      <w:rPr>
        <w:rFonts w:ascii="Times New Roman" w:eastAsia="MS Mincho"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4307D43"/>
    <w:multiLevelType w:val="multilevel"/>
    <w:tmpl w:val="0EEE3CB0"/>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nsid w:val="57342182"/>
    <w:multiLevelType w:val="hybridMultilevel"/>
    <w:tmpl w:val="53624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BDE1590"/>
    <w:multiLevelType w:val="hybridMultilevel"/>
    <w:tmpl w:val="D4626828"/>
    <w:lvl w:ilvl="0" w:tplc="35E4B5FC">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nsid w:val="683E5C60"/>
    <w:multiLevelType w:val="hybridMultilevel"/>
    <w:tmpl w:val="2A429716"/>
    <w:lvl w:ilvl="0" w:tplc="1B82A2A4">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930609"/>
    <w:multiLevelType w:val="hybridMultilevel"/>
    <w:tmpl w:val="67D010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ADB73A4"/>
    <w:multiLevelType w:val="multilevel"/>
    <w:tmpl w:val="BBAE8940"/>
    <w:lvl w:ilvl="0">
      <w:start w:val="1"/>
      <w:numFmt w:val="lowerLetter"/>
      <w:lvlText w:val="%1."/>
      <w:lvlJc w:val="left"/>
      <w:pPr>
        <w:tabs>
          <w:tab w:val="num" w:pos="1440"/>
        </w:tabs>
        <w:ind w:left="1440" w:hanging="360"/>
      </w:pPr>
      <w:rPr>
        <w:rFonts w:hint="default"/>
        <w:b w:val="0"/>
        <w:bCs w:val="0"/>
        <w:caps w:val="0"/>
        <w:smallCaps w:val="0"/>
        <w:strike w:val="0"/>
        <w:dstrike w:val="0"/>
        <w:outline w:val="0"/>
        <w:shadow w:val="0"/>
        <w:emboss w:val="0"/>
        <w:imprint w:val="0"/>
        <w:vanish w:val="0"/>
        <w:spacing w:val="0"/>
        <w:position w:val="0"/>
        <w:u w:val="none"/>
        <w:vertAlign w:val="baseline"/>
        <w:em w:val="none"/>
      </w:rPr>
    </w:lvl>
    <w:lvl w:ilvl="1">
      <w:start w:val="1"/>
      <w:numFmt w:val="decimal"/>
      <w:lvlText w:val="%1.%2"/>
      <w:lvlJc w:val="left"/>
      <w:pPr>
        <w:tabs>
          <w:tab w:val="num" w:pos="1656"/>
        </w:tabs>
        <w:ind w:left="1656" w:hanging="576"/>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1944"/>
        </w:tabs>
        <w:ind w:left="1944" w:hanging="864"/>
      </w:pPr>
      <w:rPr>
        <w:rFonts w:hint="default"/>
      </w:rPr>
    </w:lvl>
    <w:lvl w:ilvl="4">
      <w:start w:val="1"/>
      <w:numFmt w:val="decimal"/>
      <w:lvlText w:val="%1.%2.%3.%4.%5"/>
      <w:lvlJc w:val="left"/>
      <w:pPr>
        <w:tabs>
          <w:tab w:val="num" w:pos="2088"/>
        </w:tabs>
        <w:ind w:left="2088" w:hanging="1008"/>
      </w:pPr>
      <w:rPr>
        <w:rFonts w:hint="default"/>
      </w:rPr>
    </w:lvl>
    <w:lvl w:ilvl="5">
      <w:start w:val="1"/>
      <w:numFmt w:val="decimal"/>
      <w:lvlText w:val="%1.%2.%3.%4.%5.%6"/>
      <w:lvlJc w:val="left"/>
      <w:pPr>
        <w:tabs>
          <w:tab w:val="num" w:pos="2232"/>
        </w:tabs>
        <w:ind w:left="2232" w:hanging="1152"/>
      </w:pPr>
      <w:rPr>
        <w:rFonts w:hint="default"/>
      </w:rPr>
    </w:lvl>
    <w:lvl w:ilvl="6">
      <w:start w:val="1"/>
      <w:numFmt w:val="decimal"/>
      <w:lvlText w:val="%1.%2.%3.%4.%5.%6.%7"/>
      <w:lvlJc w:val="left"/>
      <w:pPr>
        <w:tabs>
          <w:tab w:val="num" w:pos="2376"/>
        </w:tabs>
        <w:ind w:left="2376" w:hanging="1296"/>
      </w:pPr>
      <w:rPr>
        <w:rFonts w:hint="default"/>
      </w:rPr>
    </w:lvl>
    <w:lvl w:ilvl="7">
      <w:start w:val="1"/>
      <w:numFmt w:val="decimal"/>
      <w:lvlText w:val="%1.%2.%3.%4.%5.%6.%7.%8"/>
      <w:lvlJc w:val="left"/>
      <w:pPr>
        <w:tabs>
          <w:tab w:val="num" w:pos="2520"/>
        </w:tabs>
        <w:ind w:left="2520" w:hanging="1440"/>
      </w:pPr>
      <w:rPr>
        <w:rFonts w:hint="default"/>
      </w:rPr>
    </w:lvl>
    <w:lvl w:ilvl="8">
      <w:start w:val="1"/>
      <w:numFmt w:val="decimal"/>
      <w:lvlText w:val="%1.%2.%3.%4.%5.%6.%7.%8.%9"/>
      <w:lvlJc w:val="left"/>
      <w:pPr>
        <w:tabs>
          <w:tab w:val="num" w:pos="2664"/>
        </w:tabs>
        <w:ind w:left="2664" w:hanging="1584"/>
      </w:pPr>
      <w:rPr>
        <w:rFonts w:hint="default"/>
      </w:rPr>
    </w:lvl>
  </w:abstractNum>
  <w:abstractNum w:abstractNumId="18">
    <w:nsid w:val="7D3B0414"/>
    <w:multiLevelType w:val="multilevel"/>
    <w:tmpl w:val="6A6AD984"/>
    <w:lvl w:ilvl="0">
      <w:start w:val="1"/>
      <w:numFmt w:val="bullet"/>
      <w:lvlText w:val=""/>
      <w:lvlJc w:val="left"/>
      <w:pPr>
        <w:tabs>
          <w:tab w:val="num" w:pos="936"/>
        </w:tabs>
        <w:ind w:left="936" w:hanging="360"/>
      </w:pPr>
      <w:rPr>
        <w:rFonts w:ascii="Symbol" w:hAnsi="Symbol" w:hint="default"/>
        <w:b w:val="0"/>
        <w:bCs w:val="0"/>
        <w:caps w:val="0"/>
        <w:smallCaps w:val="0"/>
        <w:strike w:val="0"/>
        <w:dstrike w:val="0"/>
        <w:outline w:val="0"/>
        <w:shadow w:val="0"/>
        <w:emboss w:val="0"/>
        <w:imprint w:val="0"/>
        <w:vanish w:val="0"/>
        <w:spacing w:val="0"/>
        <w:position w:val="0"/>
        <w:u w:val="none"/>
        <w:vertAlign w:val="baseline"/>
        <w:em w:val="none"/>
      </w:rPr>
    </w:lvl>
    <w:lvl w:ilvl="1">
      <w:start w:val="1"/>
      <w:numFmt w:val="decimal"/>
      <w:lvlText w:val="%1.%2"/>
      <w:lvlJc w:val="left"/>
      <w:pPr>
        <w:tabs>
          <w:tab w:val="num" w:pos="1152"/>
        </w:tabs>
        <w:ind w:left="1152" w:hanging="576"/>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296"/>
        </w:tabs>
        <w:ind w:left="1296" w:hanging="720"/>
      </w:pPr>
      <w:rPr>
        <w:rFonts w:hint="default"/>
      </w:rPr>
    </w:lvl>
    <w:lvl w:ilvl="3">
      <w:start w:val="1"/>
      <w:numFmt w:val="decimal"/>
      <w:lvlText w:val="%1.%2.%3.%4"/>
      <w:lvlJc w:val="left"/>
      <w:pPr>
        <w:tabs>
          <w:tab w:val="num" w:pos="1440"/>
        </w:tabs>
        <w:ind w:left="1440" w:hanging="864"/>
      </w:pPr>
      <w:rPr>
        <w:rFonts w:hint="default"/>
      </w:rPr>
    </w:lvl>
    <w:lvl w:ilvl="4">
      <w:start w:val="1"/>
      <w:numFmt w:val="decimal"/>
      <w:lvlText w:val="%1.%2.%3.%4.%5"/>
      <w:lvlJc w:val="left"/>
      <w:pPr>
        <w:tabs>
          <w:tab w:val="num" w:pos="1584"/>
        </w:tabs>
        <w:ind w:left="1584" w:hanging="1008"/>
      </w:pPr>
      <w:rPr>
        <w:rFonts w:hint="default"/>
      </w:rPr>
    </w:lvl>
    <w:lvl w:ilvl="5">
      <w:start w:val="1"/>
      <w:numFmt w:val="decimal"/>
      <w:lvlText w:val="%1.%2.%3.%4.%5.%6"/>
      <w:lvlJc w:val="left"/>
      <w:pPr>
        <w:tabs>
          <w:tab w:val="num" w:pos="1728"/>
        </w:tabs>
        <w:ind w:left="1728" w:hanging="1152"/>
      </w:pPr>
      <w:rPr>
        <w:rFonts w:hint="default"/>
      </w:rPr>
    </w:lvl>
    <w:lvl w:ilvl="6">
      <w:start w:val="1"/>
      <w:numFmt w:val="decimal"/>
      <w:lvlText w:val="%1.%2.%3.%4.%5.%6.%7"/>
      <w:lvlJc w:val="left"/>
      <w:pPr>
        <w:tabs>
          <w:tab w:val="num" w:pos="1872"/>
        </w:tabs>
        <w:ind w:left="1872" w:hanging="1296"/>
      </w:pPr>
      <w:rPr>
        <w:rFonts w:hint="default"/>
      </w:rPr>
    </w:lvl>
    <w:lvl w:ilvl="7">
      <w:start w:val="1"/>
      <w:numFmt w:val="decimal"/>
      <w:lvlText w:val="%1.%2.%3.%4.%5.%6.%7.%8"/>
      <w:lvlJc w:val="left"/>
      <w:pPr>
        <w:tabs>
          <w:tab w:val="num" w:pos="2016"/>
        </w:tabs>
        <w:ind w:left="2016" w:hanging="1440"/>
      </w:pPr>
      <w:rPr>
        <w:rFonts w:hint="default"/>
      </w:rPr>
    </w:lvl>
    <w:lvl w:ilvl="8">
      <w:start w:val="1"/>
      <w:numFmt w:val="decimal"/>
      <w:lvlText w:val="%1.%2.%3.%4.%5.%6.%7.%8.%9"/>
      <w:lvlJc w:val="left"/>
      <w:pPr>
        <w:tabs>
          <w:tab w:val="num" w:pos="2160"/>
        </w:tabs>
        <w:ind w:left="2160" w:hanging="1584"/>
      </w:pPr>
      <w:rPr>
        <w:rFonts w:hint="default"/>
      </w:rPr>
    </w:lvl>
  </w:abstractNum>
  <w:abstractNum w:abstractNumId="19">
    <w:nsid w:val="7DAE4D87"/>
    <w:multiLevelType w:val="hybridMultilevel"/>
    <w:tmpl w:val="6254B3D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2"/>
  </w:num>
  <w:num w:numId="2">
    <w:abstractNumId w:val="4"/>
  </w:num>
  <w:num w:numId="3">
    <w:abstractNumId w:val="13"/>
  </w:num>
  <w:num w:numId="4">
    <w:abstractNumId w:val="9"/>
  </w:num>
  <w:num w:numId="5">
    <w:abstractNumId w:val="0"/>
  </w:num>
  <w:num w:numId="6">
    <w:abstractNumId w:val="3"/>
  </w:num>
  <w:num w:numId="7">
    <w:abstractNumId w:val="16"/>
  </w:num>
  <w:num w:numId="8">
    <w:abstractNumId w:val="19"/>
  </w:num>
  <w:num w:numId="9">
    <w:abstractNumId w:val="7"/>
  </w:num>
  <w:num w:numId="10">
    <w:abstractNumId w:val="17"/>
  </w:num>
  <w:num w:numId="11">
    <w:abstractNumId w:val="18"/>
  </w:num>
  <w:num w:numId="12">
    <w:abstractNumId w:val="5"/>
  </w:num>
  <w:num w:numId="13">
    <w:abstractNumId w:val="2"/>
  </w:num>
  <w:num w:numId="14">
    <w:abstractNumId w:val="6"/>
  </w:num>
  <w:num w:numId="15">
    <w:abstractNumId w:val="8"/>
  </w:num>
  <w:num w:numId="16">
    <w:abstractNumId w:val="14"/>
  </w:num>
  <w:num w:numId="17">
    <w:abstractNumId w:val="11"/>
  </w:num>
  <w:num w:numId="18">
    <w:abstractNumId w:val="1"/>
  </w:num>
  <w:num w:numId="19">
    <w:abstractNumId w:val="15"/>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61E0"/>
    <w:rsid w:val="00000016"/>
    <w:rsid w:val="00047214"/>
    <w:rsid w:val="0006063E"/>
    <w:rsid w:val="00061D65"/>
    <w:rsid w:val="0008302B"/>
    <w:rsid w:val="00097C2C"/>
    <w:rsid w:val="000A1AE6"/>
    <w:rsid w:val="000D23C2"/>
    <w:rsid w:val="0010523B"/>
    <w:rsid w:val="00107406"/>
    <w:rsid w:val="00117C14"/>
    <w:rsid w:val="001406A8"/>
    <w:rsid w:val="0018401D"/>
    <w:rsid w:val="001877FA"/>
    <w:rsid w:val="00195030"/>
    <w:rsid w:val="001A2716"/>
    <w:rsid w:val="001A6220"/>
    <w:rsid w:val="001D0BA6"/>
    <w:rsid w:val="001E0945"/>
    <w:rsid w:val="00242028"/>
    <w:rsid w:val="00243B4D"/>
    <w:rsid w:val="0024477E"/>
    <w:rsid w:val="00270A43"/>
    <w:rsid w:val="00274B54"/>
    <w:rsid w:val="00281845"/>
    <w:rsid w:val="00281DD6"/>
    <w:rsid w:val="002B58CF"/>
    <w:rsid w:val="002B6B06"/>
    <w:rsid w:val="002C3B86"/>
    <w:rsid w:val="002D0165"/>
    <w:rsid w:val="002D1662"/>
    <w:rsid w:val="002E2CCE"/>
    <w:rsid w:val="0033103C"/>
    <w:rsid w:val="00346792"/>
    <w:rsid w:val="00356069"/>
    <w:rsid w:val="003573CF"/>
    <w:rsid w:val="00367F6B"/>
    <w:rsid w:val="00370858"/>
    <w:rsid w:val="003747C6"/>
    <w:rsid w:val="003D2DAC"/>
    <w:rsid w:val="003D4BD0"/>
    <w:rsid w:val="003F1D4C"/>
    <w:rsid w:val="004139C2"/>
    <w:rsid w:val="004234FD"/>
    <w:rsid w:val="0044339C"/>
    <w:rsid w:val="004C1A79"/>
    <w:rsid w:val="004D2036"/>
    <w:rsid w:val="004F09D7"/>
    <w:rsid w:val="00500216"/>
    <w:rsid w:val="0052493C"/>
    <w:rsid w:val="00540417"/>
    <w:rsid w:val="005462AF"/>
    <w:rsid w:val="005832EA"/>
    <w:rsid w:val="005A4743"/>
    <w:rsid w:val="005B518E"/>
    <w:rsid w:val="005C5C38"/>
    <w:rsid w:val="005D13CA"/>
    <w:rsid w:val="005D64C5"/>
    <w:rsid w:val="005E3FA9"/>
    <w:rsid w:val="005F0B8B"/>
    <w:rsid w:val="005F61E0"/>
    <w:rsid w:val="0060740B"/>
    <w:rsid w:val="006111E2"/>
    <w:rsid w:val="00614551"/>
    <w:rsid w:val="006267B4"/>
    <w:rsid w:val="00631E0D"/>
    <w:rsid w:val="006403D4"/>
    <w:rsid w:val="006426A2"/>
    <w:rsid w:val="00657F0D"/>
    <w:rsid w:val="00684A68"/>
    <w:rsid w:val="006A4BFE"/>
    <w:rsid w:val="006E677D"/>
    <w:rsid w:val="006F7AA8"/>
    <w:rsid w:val="0073613E"/>
    <w:rsid w:val="007468CE"/>
    <w:rsid w:val="00757D4E"/>
    <w:rsid w:val="00767DA8"/>
    <w:rsid w:val="00774F5C"/>
    <w:rsid w:val="00781E28"/>
    <w:rsid w:val="007A388C"/>
    <w:rsid w:val="007B310E"/>
    <w:rsid w:val="007B5CA8"/>
    <w:rsid w:val="00810E98"/>
    <w:rsid w:val="00814884"/>
    <w:rsid w:val="008259DE"/>
    <w:rsid w:val="00863A86"/>
    <w:rsid w:val="00884C21"/>
    <w:rsid w:val="00890F8E"/>
    <w:rsid w:val="0089606D"/>
    <w:rsid w:val="008D1E84"/>
    <w:rsid w:val="008D4357"/>
    <w:rsid w:val="00904877"/>
    <w:rsid w:val="0091197D"/>
    <w:rsid w:val="00941E44"/>
    <w:rsid w:val="0096290B"/>
    <w:rsid w:val="00965644"/>
    <w:rsid w:val="009A3991"/>
    <w:rsid w:val="009C682A"/>
    <w:rsid w:val="009E043C"/>
    <w:rsid w:val="009F2598"/>
    <w:rsid w:val="009F2B74"/>
    <w:rsid w:val="009F6C1F"/>
    <w:rsid w:val="00A02E4B"/>
    <w:rsid w:val="00A04ED8"/>
    <w:rsid w:val="00A26AF4"/>
    <w:rsid w:val="00A402B4"/>
    <w:rsid w:val="00A62DA7"/>
    <w:rsid w:val="00A76448"/>
    <w:rsid w:val="00A7729C"/>
    <w:rsid w:val="00A776DB"/>
    <w:rsid w:val="00A8228C"/>
    <w:rsid w:val="00AD1F53"/>
    <w:rsid w:val="00B535D4"/>
    <w:rsid w:val="00B86E56"/>
    <w:rsid w:val="00BD7E7E"/>
    <w:rsid w:val="00BF4632"/>
    <w:rsid w:val="00C07741"/>
    <w:rsid w:val="00C246AA"/>
    <w:rsid w:val="00C30284"/>
    <w:rsid w:val="00C55305"/>
    <w:rsid w:val="00C57684"/>
    <w:rsid w:val="00C6426C"/>
    <w:rsid w:val="00C7378C"/>
    <w:rsid w:val="00C9560F"/>
    <w:rsid w:val="00CB1885"/>
    <w:rsid w:val="00CB2631"/>
    <w:rsid w:val="00CB5B72"/>
    <w:rsid w:val="00D42AAD"/>
    <w:rsid w:val="00D510DC"/>
    <w:rsid w:val="00D62BD5"/>
    <w:rsid w:val="00D62C7D"/>
    <w:rsid w:val="00D72F39"/>
    <w:rsid w:val="00D82B78"/>
    <w:rsid w:val="00D91065"/>
    <w:rsid w:val="00DB2415"/>
    <w:rsid w:val="00DC7074"/>
    <w:rsid w:val="00DD1E9A"/>
    <w:rsid w:val="00DD209F"/>
    <w:rsid w:val="00E1474C"/>
    <w:rsid w:val="00E56645"/>
    <w:rsid w:val="00E56BB5"/>
    <w:rsid w:val="00E65E8E"/>
    <w:rsid w:val="00E67B6B"/>
    <w:rsid w:val="00E73D32"/>
    <w:rsid w:val="00E8263A"/>
    <w:rsid w:val="00E93043"/>
    <w:rsid w:val="00EA768B"/>
    <w:rsid w:val="00EC7D63"/>
    <w:rsid w:val="00EE2A98"/>
    <w:rsid w:val="00EE6362"/>
    <w:rsid w:val="00EF7628"/>
    <w:rsid w:val="00F147D8"/>
    <w:rsid w:val="00F445E4"/>
    <w:rsid w:val="00F763FB"/>
    <w:rsid w:val="00F97351"/>
    <w:rsid w:val="00FD40EF"/>
    <w:rsid w:val="00FD4659"/>
    <w:rsid w:val="00FE39D9"/>
    <w:rsid w:val="00FE44FD"/>
    <w:rsid w:val="00FF66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B86E5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884C21"/>
  </w:style>
  <w:style w:type="character" w:styleId="Hyperlink">
    <w:name w:val="Hyperlink"/>
    <w:basedOn w:val="DefaultParagraphFont"/>
    <w:uiPriority w:val="99"/>
    <w:unhideWhenUsed/>
    <w:rsid w:val="00884C21"/>
    <w:rPr>
      <w:color w:val="0000FF"/>
      <w:u w:val="single"/>
    </w:rPr>
  </w:style>
  <w:style w:type="paragraph" w:styleId="ListParagraph">
    <w:name w:val="List Paragraph"/>
    <w:basedOn w:val="Normal"/>
    <w:uiPriority w:val="34"/>
    <w:qFormat/>
    <w:rsid w:val="000A1AE6"/>
    <w:pPr>
      <w:ind w:left="720"/>
      <w:contextualSpacing/>
    </w:pPr>
  </w:style>
  <w:style w:type="character" w:customStyle="1" w:styleId="Heading1Char">
    <w:name w:val="Heading 1 Char"/>
    <w:basedOn w:val="DefaultParagraphFont"/>
    <w:link w:val="Heading1"/>
    <w:rsid w:val="00B86E56"/>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unhideWhenUsed/>
    <w:qFormat/>
    <w:rsid w:val="00B86E56"/>
    <w:pPr>
      <w:outlineLvl w:val="9"/>
    </w:pPr>
    <w:rPr>
      <w:lang w:eastAsia="ja-JP"/>
    </w:rPr>
  </w:style>
  <w:style w:type="paragraph" w:styleId="TOC1">
    <w:name w:val="toc 1"/>
    <w:basedOn w:val="Normal"/>
    <w:next w:val="Normal"/>
    <w:autoRedefine/>
    <w:uiPriority w:val="39"/>
    <w:unhideWhenUsed/>
    <w:rsid w:val="00B86E56"/>
    <w:pPr>
      <w:spacing w:after="100"/>
    </w:pPr>
  </w:style>
  <w:style w:type="paragraph" w:styleId="BalloonText">
    <w:name w:val="Balloon Text"/>
    <w:basedOn w:val="Normal"/>
    <w:link w:val="BalloonTextChar"/>
    <w:uiPriority w:val="99"/>
    <w:semiHidden/>
    <w:unhideWhenUsed/>
    <w:rsid w:val="00B86E5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6E56"/>
    <w:rPr>
      <w:rFonts w:ascii="Tahoma" w:hAnsi="Tahoma" w:cs="Tahoma"/>
      <w:sz w:val="16"/>
      <w:szCs w:val="16"/>
    </w:rPr>
  </w:style>
  <w:style w:type="paragraph" w:styleId="NormalWeb">
    <w:name w:val="Normal (Web)"/>
    <w:basedOn w:val="Normal"/>
    <w:uiPriority w:val="99"/>
    <w:semiHidden/>
    <w:unhideWhenUsed/>
    <w:rsid w:val="009F6C1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F6C1F"/>
    <w:rPr>
      <w:b/>
      <w:bCs/>
    </w:rPr>
  </w:style>
  <w:style w:type="paragraph" w:styleId="BodyText">
    <w:name w:val="Body Text"/>
    <w:basedOn w:val="Normal"/>
    <w:link w:val="BodyTextChar"/>
    <w:rsid w:val="007468CE"/>
    <w:pPr>
      <w:spacing w:before="100" w:beforeAutospacing="1" w:after="100" w:afterAutospacing="1" w:line="240" w:lineRule="auto"/>
    </w:pPr>
    <w:rPr>
      <w:rFonts w:ascii="Times New Roman" w:eastAsia="SimSun" w:hAnsi="Times New Roman" w:cs="Times New Roman"/>
      <w:sz w:val="24"/>
      <w:szCs w:val="24"/>
    </w:rPr>
  </w:style>
  <w:style w:type="character" w:customStyle="1" w:styleId="BodyTextChar">
    <w:name w:val="Body Text Char"/>
    <w:basedOn w:val="DefaultParagraphFont"/>
    <w:link w:val="BodyText"/>
    <w:rsid w:val="007468CE"/>
    <w:rPr>
      <w:rFonts w:ascii="Times New Roman" w:eastAsia="SimSun" w:hAnsi="Times New Roman" w:cs="Times New Roman"/>
      <w:sz w:val="24"/>
      <w:szCs w:val="24"/>
    </w:rPr>
  </w:style>
  <w:style w:type="paragraph" w:styleId="Caption">
    <w:name w:val="caption"/>
    <w:basedOn w:val="Normal"/>
    <w:next w:val="Normal"/>
    <w:qFormat/>
    <w:rsid w:val="007468CE"/>
    <w:pPr>
      <w:spacing w:after="0" w:line="240" w:lineRule="auto"/>
    </w:pPr>
    <w:rPr>
      <w:rFonts w:ascii="Times New Roman" w:eastAsia="SimSun" w:hAnsi="Times New Roman" w:cs="Times New Roman"/>
      <w:b/>
      <w:bCs/>
      <w:sz w:val="20"/>
      <w:szCs w:val="20"/>
    </w:rPr>
  </w:style>
  <w:style w:type="character" w:customStyle="1" w:styleId="apple-style-span">
    <w:name w:val="apple-style-span"/>
    <w:basedOn w:val="DefaultParagraphFont"/>
    <w:rsid w:val="00A04ED8"/>
  </w:style>
  <w:style w:type="character" w:styleId="FootnoteReference">
    <w:name w:val="footnote reference"/>
    <w:semiHidden/>
    <w:rsid w:val="00DC7074"/>
    <w:rPr>
      <w:position w:val="6"/>
      <w:sz w:val="18"/>
    </w:rPr>
  </w:style>
  <w:style w:type="paragraph" w:styleId="FootnoteText">
    <w:name w:val="footnote text"/>
    <w:basedOn w:val="Normal"/>
    <w:link w:val="FootnoteTextChar"/>
    <w:semiHidden/>
    <w:rsid w:val="00DC7074"/>
    <w:pPr>
      <w:keepLines/>
      <w:tabs>
        <w:tab w:val="left" w:pos="255"/>
        <w:tab w:val="left" w:pos="794"/>
        <w:tab w:val="left" w:pos="1191"/>
        <w:tab w:val="left" w:pos="1588"/>
        <w:tab w:val="left" w:pos="1985"/>
      </w:tabs>
      <w:overflowPunct w:val="0"/>
      <w:autoSpaceDE w:val="0"/>
      <w:autoSpaceDN w:val="0"/>
      <w:adjustRightInd w:val="0"/>
      <w:spacing w:before="80" w:after="0" w:line="240" w:lineRule="auto"/>
      <w:ind w:left="255" w:hanging="255"/>
      <w:textAlignment w:val="baseline"/>
    </w:pPr>
    <w:rPr>
      <w:rFonts w:ascii="Times New Roman" w:eastAsia="MS Mincho" w:hAnsi="Times New Roman" w:cs="Times New Roman"/>
      <w:sz w:val="24"/>
      <w:szCs w:val="20"/>
      <w:lang w:val="en-GB" w:eastAsia="en-US"/>
    </w:rPr>
  </w:style>
  <w:style w:type="character" w:customStyle="1" w:styleId="FootnoteTextChar">
    <w:name w:val="Footnote Text Char"/>
    <w:basedOn w:val="DefaultParagraphFont"/>
    <w:link w:val="FootnoteText"/>
    <w:semiHidden/>
    <w:rsid w:val="00DC7074"/>
    <w:rPr>
      <w:rFonts w:ascii="Times New Roman" w:eastAsia="MS Mincho" w:hAnsi="Times New Roman" w:cs="Times New Roman"/>
      <w:sz w:val="24"/>
      <w:szCs w:val="20"/>
      <w:lang w:val="en-GB" w:eastAsia="en-US"/>
    </w:rPr>
  </w:style>
  <w:style w:type="character" w:styleId="CommentReference">
    <w:name w:val="annotation reference"/>
    <w:basedOn w:val="DefaultParagraphFont"/>
    <w:uiPriority w:val="99"/>
    <w:semiHidden/>
    <w:unhideWhenUsed/>
    <w:rsid w:val="00047214"/>
    <w:rPr>
      <w:sz w:val="16"/>
      <w:szCs w:val="16"/>
    </w:rPr>
  </w:style>
  <w:style w:type="paragraph" w:styleId="CommentText">
    <w:name w:val="annotation text"/>
    <w:basedOn w:val="Normal"/>
    <w:link w:val="CommentTextChar"/>
    <w:uiPriority w:val="99"/>
    <w:semiHidden/>
    <w:unhideWhenUsed/>
    <w:rsid w:val="00047214"/>
    <w:pPr>
      <w:spacing w:line="240" w:lineRule="auto"/>
    </w:pPr>
    <w:rPr>
      <w:sz w:val="20"/>
      <w:szCs w:val="20"/>
    </w:rPr>
  </w:style>
  <w:style w:type="character" w:customStyle="1" w:styleId="CommentTextChar">
    <w:name w:val="Comment Text Char"/>
    <w:basedOn w:val="DefaultParagraphFont"/>
    <w:link w:val="CommentText"/>
    <w:uiPriority w:val="99"/>
    <w:semiHidden/>
    <w:rsid w:val="00047214"/>
    <w:rPr>
      <w:sz w:val="20"/>
      <w:szCs w:val="20"/>
    </w:rPr>
  </w:style>
  <w:style w:type="paragraph" w:styleId="CommentSubject">
    <w:name w:val="annotation subject"/>
    <w:basedOn w:val="CommentText"/>
    <w:next w:val="CommentText"/>
    <w:link w:val="CommentSubjectChar"/>
    <w:uiPriority w:val="99"/>
    <w:semiHidden/>
    <w:unhideWhenUsed/>
    <w:rsid w:val="00047214"/>
    <w:rPr>
      <w:b/>
      <w:bCs/>
    </w:rPr>
  </w:style>
  <w:style w:type="character" w:customStyle="1" w:styleId="CommentSubjectChar">
    <w:name w:val="Comment Subject Char"/>
    <w:basedOn w:val="CommentTextChar"/>
    <w:link w:val="CommentSubject"/>
    <w:uiPriority w:val="99"/>
    <w:semiHidden/>
    <w:rsid w:val="00047214"/>
    <w:rPr>
      <w:b/>
      <w:bCs/>
      <w:sz w:val="20"/>
      <w:szCs w:val="20"/>
    </w:rPr>
  </w:style>
  <w:style w:type="character" w:styleId="FollowedHyperlink">
    <w:name w:val="FollowedHyperlink"/>
    <w:basedOn w:val="DefaultParagraphFont"/>
    <w:uiPriority w:val="99"/>
    <w:semiHidden/>
    <w:unhideWhenUsed/>
    <w:rsid w:val="00AD1F53"/>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B86E5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884C21"/>
  </w:style>
  <w:style w:type="character" w:styleId="Hyperlink">
    <w:name w:val="Hyperlink"/>
    <w:basedOn w:val="DefaultParagraphFont"/>
    <w:uiPriority w:val="99"/>
    <w:unhideWhenUsed/>
    <w:rsid w:val="00884C21"/>
    <w:rPr>
      <w:color w:val="0000FF"/>
      <w:u w:val="single"/>
    </w:rPr>
  </w:style>
  <w:style w:type="paragraph" w:styleId="ListParagraph">
    <w:name w:val="List Paragraph"/>
    <w:basedOn w:val="Normal"/>
    <w:uiPriority w:val="34"/>
    <w:qFormat/>
    <w:rsid w:val="000A1AE6"/>
    <w:pPr>
      <w:ind w:left="720"/>
      <w:contextualSpacing/>
    </w:pPr>
  </w:style>
  <w:style w:type="character" w:customStyle="1" w:styleId="Heading1Char">
    <w:name w:val="Heading 1 Char"/>
    <w:basedOn w:val="DefaultParagraphFont"/>
    <w:link w:val="Heading1"/>
    <w:rsid w:val="00B86E56"/>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unhideWhenUsed/>
    <w:qFormat/>
    <w:rsid w:val="00B86E56"/>
    <w:pPr>
      <w:outlineLvl w:val="9"/>
    </w:pPr>
    <w:rPr>
      <w:lang w:eastAsia="ja-JP"/>
    </w:rPr>
  </w:style>
  <w:style w:type="paragraph" w:styleId="TOC1">
    <w:name w:val="toc 1"/>
    <w:basedOn w:val="Normal"/>
    <w:next w:val="Normal"/>
    <w:autoRedefine/>
    <w:uiPriority w:val="39"/>
    <w:unhideWhenUsed/>
    <w:rsid w:val="00B86E56"/>
    <w:pPr>
      <w:spacing w:after="100"/>
    </w:pPr>
  </w:style>
  <w:style w:type="paragraph" w:styleId="BalloonText">
    <w:name w:val="Balloon Text"/>
    <w:basedOn w:val="Normal"/>
    <w:link w:val="BalloonTextChar"/>
    <w:uiPriority w:val="99"/>
    <w:semiHidden/>
    <w:unhideWhenUsed/>
    <w:rsid w:val="00B86E5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6E56"/>
    <w:rPr>
      <w:rFonts w:ascii="Tahoma" w:hAnsi="Tahoma" w:cs="Tahoma"/>
      <w:sz w:val="16"/>
      <w:szCs w:val="16"/>
    </w:rPr>
  </w:style>
  <w:style w:type="paragraph" w:styleId="NormalWeb">
    <w:name w:val="Normal (Web)"/>
    <w:basedOn w:val="Normal"/>
    <w:uiPriority w:val="99"/>
    <w:semiHidden/>
    <w:unhideWhenUsed/>
    <w:rsid w:val="009F6C1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F6C1F"/>
    <w:rPr>
      <w:b/>
      <w:bCs/>
    </w:rPr>
  </w:style>
  <w:style w:type="paragraph" w:styleId="BodyText">
    <w:name w:val="Body Text"/>
    <w:basedOn w:val="Normal"/>
    <w:link w:val="BodyTextChar"/>
    <w:rsid w:val="007468CE"/>
    <w:pPr>
      <w:spacing w:before="100" w:beforeAutospacing="1" w:after="100" w:afterAutospacing="1" w:line="240" w:lineRule="auto"/>
    </w:pPr>
    <w:rPr>
      <w:rFonts w:ascii="Times New Roman" w:eastAsia="SimSun" w:hAnsi="Times New Roman" w:cs="Times New Roman"/>
      <w:sz w:val="24"/>
      <w:szCs w:val="24"/>
    </w:rPr>
  </w:style>
  <w:style w:type="character" w:customStyle="1" w:styleId="BodyTextChar">
    <w:name w:val="Body Text Char"/>
    <w:basedOn w:val="DefaultParagraphFont"/>
    <w:link w:val="BodyText"/>
    <w:rsid w:val="007468CE"/>
    <w:rPr>
      <w:rFonts w:ascii="Times New Roman" w:eastAsia="SimSun" w:hAnsi="Times New Roman" w:cs="Times New Roman"/>
      <w:sz w:val="24"/>
      <w:szCs w:val="24"/>
    </w:rPr>
  </w:style>
  <w:style w:type="paragraph" w:styleId="Caption">
    <w:name w:val="caption"/>
    <w:basedOn w:val="Normal"/>
    <w:next w:val="Normal"/>
    <w:qFormat/>
    <w:rsid w:val="007468CE"/>
    <w:pPr>
      <w:spacing w:after="0" w:line="240" w:lineRule="auto"/>
    </w:pPr>
    <w:rPr>
      <w:rFonts w:ascii="Times New Roman" w:eastAsia="SimSun" w:hAnsi="Times New Roman" w:cs="Times New Roman"/>
      <w:b/>
      <w:bCs/>
      <w:sz w:val="20"/>
      <w:szCs w:val="20"/>
    </w:rPr>
  </w:style>
  <w:style w:type="character" w:customStyle="1" w:styleId="apple-style-span">
    <w:name w:val="apple-style-span"/>
    <w:basedOn w:val="DefaultParagraphFont"/>
    <w:rsid w:val="00A04ED8"/>
  </w:style>
  <w:style w:type="character" w:styleId="FootnoteReference">
    <w:name w:val="footnote reference"/>
    <w:semiHidden/>
    <w:rsid w:val="00DC7074"/>
    <w:rPr>
      <w:position w:val="6"/>
      <w:sz w:val="18"/>
    </w:rPr>
  </w:style>
  <w:style w:type="paragraph" w:styleId="FootnoteText">
    <w:name w:val="footnote text"/>
    <w:basedOn w:val="Normal"/>
    <w:link w:val="FootnoteTextChar"/>
    <w:semiHidden/>
    <w:rsid w:val="00DC7074"/>
    <w:pPr>
      <w:keepLines/>
      <w:tabs>
        <w:tab w:val="left" w:pos="255"/>
        <w:tab w:val="left" w:pos="794"/>
        <w:tab w:val="left" w:pos="1191"/>
        <w:tab w:val="left" w:pos="1588"/>
        <w:tab w:val="left" w:pos="1985"/>
      </w:tabs>
      <w:overflowPunct w:val="0"/>
      <w:autoSpaceDE w:val="0"/>
      <w:autoSpaceDN w:val="0"/>
      <w:adjustRightInd w:val="0"/>
      <w:spacing w:before="80" w:after="0" w:line="240" w:lineRule="auto"/>
      <w:ind w:left="255" w:hanging="255"/>
      <w:textAlignment w:val="baseline"/>
    </w:pPr>
    <w:rPr>
      <w:rFonts w:ascii="Times New Roman" w:eastAsia="MS Mincho" w:hAnsi="Times New Roman" w:cs="Times New Roman"/>
      <w:sz w:val="24"/>
      <w:szCs w:val="20"/>
      <w:lang w:val="en-GB" w:eastAsia="en-US"/>
    </w:rPr>
  </w:style>
  <w:style w:type="character" w:customStyle="1" w:styleId="FootnoteTextChar">
    <w:name w:val="Footnote Text Char"/>
    <w:basedOn w:val="DefaultParagraphFont"/>
    <w:link w:val="FootnoteText"/>
    <w:semiHidden/>
    <w:rsid w:val="00DC7074"/>
    <w:rPr>
      <w:rFonts w:ascii="Times New Roman" w:eastAsia="MS Mincho" w:hAnsi="Times New Roman" w:cs="Times New Roman"/>
      <w:sz w:val="24"/>
      <w:szCs w:val="20"/>
      <w:lang w:val="en-GB" w:eastAsia="en-US"/>
    </w:rPr>
  </w:style>
  <w:style w:type="character" w:styleId="CommentReference">
    <w:name w:val="annotation reference"/>
    <w:basedOn w:val="DefaultParagraphFont"/>
    <w:uiPriority w:val="99"/>
    <w:semiHidden/>
    <w:unhideWhenUsed/>
    <w:rsid w:val="00047214"/>
    <w:rPr>
      <w:sz w:val="16"/>
      <w:szCs w:val="16"/>
    </w:rPr>
  </w:style>
  <w:style w:type="paragraph" w:styleId="CommentText">
    <w:name w:val="annotation text"/>
    <w:basedOn w:val="Normal"/>
    <w:link w:val="CommentTextChar"/>
    <w:uiPriority w:val="99"/>
    <w:semiHidden/>
    <w:unhideWhenUsed/>
    <w:rsid w:val="00047214"/>
    <w:pPr>
      <w:spacing w:line="240" w:lineRule="auto"/>
    </w:pPr>
    <w:rPr>
      <w:sz w:val="20"/>
      <w:szCs w:val="20"/>
    </w:rPr>
  </w:style>
  <w:style w:type="character" w:customStyle="1" w:styleId="CommentTextChar">
    <w:name w:val="Comment Text Char"/>
    <w:basedOn w:val="DefaultParagraphFont"/>
    <w:link w:val="CommentText"/>
    <w:uiPriority w:val="99"/>
    <w:semiHidden/>
    <w:rsid w:val="00047214"/>
    <w:rPr>
      <w:sz w:val="20"/>
      <w:szCs w:val="20"/>
    </w:rPr>
  </w:style>
  <w:style w:type="paragraph" w:styleId="CommentSubject">
    <w:name w:val="annotation subject"/>
    <w:basedOn w:val="CommentText"/>
    <w:next w:val="CommentText"/>
    <w:link w:val="CommentSubjectChar"/>
    <w:uiPriority w:val="99"/>
    <w:semiHidden/>
    <w:unhideWhenUsed/>
    <w:rsid w:val="00047214"/>
    <w:rPr>
      <w:b/>
      <w:bCs/>
    </w:rPr>
  </w:style>
  <w:style w:type="character" w:customStyle="1" w:styleId="CommentSubjectChar">
    <w:name w:val="Comment Subject Char"/>
    <w:basedOn w:val="CommentTextChar"/>
    <w:link w:val="CommentSubject"/>
    <w:uiPriority w:val="99"/>
    <w:semiHidden/>
    <w:rsid w:val="00047214"/>
    <w:rPr>
      <w:b/>
      <w:bCs/>
      <w:sz w:val="20"/>
      <w:szCs w:val="20"/>
    </w:rPr>
  </w:style>
  <w:style w:type="character" w:styleId="FollowedHyperlink">
    <w:name w:val="FollowedHyperlink"/>
    <w:basedOn w:val="DefaultParagraphFont"/>
    <w:uiPriority w:val="99"/>
    <w:semiHidden/>
    <w:unhideWhenUsed/>
    <w:rsid w:val="00AD1F5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108490">
      <w:bodyDiv w:val="1"/>
      <w:marLeft w:val="0"/>
      <w:marRight w:val="0"/>
      <w:marTop w:val="0"/>
      <w:marBottom w:val="0"/>
      <w:divBdr>
        <w:top w:val="none" w:sz="0" w:space="0" w:color="auto"/>
        <w:left w:val="none" w:sz="0" w:space="0" w:color="auto"/>
        <w:bottom w:val="none" w:sz="0" w:space="0" w:color="auto"/>
        <w:right w:val="none" w:sz="0" w:space="0" w:color="auto"/>
      </w:divBdr>
      <w:divsChild>
        <w:div w:id="519047341">
          <w:marLeft w:val="1166"/>
          <w:marRight w:val="0"/>
          <w:marTop w:val="86"/>
          <w:marBottom w:val="0"/>
          <w:divBdr>
            <w:top w:val="none" w:sz="0" w:space="0" w:color="auto"/>
            <w:left w:val="none" w:sz="0" w:space="0" w:color="auto"/>
            <w:bottom w:val="none" w:sz="0" w:space="0" w:color="auto"/>
            <w:right w:val="none" w:sz="0" w:space="0" w:color="auto"/>
          </w:divBdr>
        </w:div>
        <w:div w:id="1445610665">
          <w:marLeft w:val="1800"/>
          <w:marRight w:val="0"/>
          <w:marTop w:val="77"/>
          <w:marBottom w:val="0"/>
          <w:divBdr>
            <w:top w:val="none" w:sz="0" w:space="0" w:color="auto"/>
            <w:left w:val="none" w:sz="0" w:space="0" w:color="auto"/>
            <w:bottom w:val="none" w:sz="0" w:space="0" w:color="auto"/>
            <w:right w:val="none" w:sz="0" w:space="0" w:color="auto"/>
          </w:divBdr>
        </w:div>
        <w:div w:id="1906254459">
          <w:marLeft w:val="1166"/>
          <w:marRight w:val="0"/>
          <w:marTop w:val="86"/>
          <w:marBottom w:val="0"/>
          <w:divBdr>
            <w:top w:val="none" w:sz="0" w:space="0" w:color="auto"/>
            <w:left w:val="none" w:sz="0" w:space="0" w:color="auto"/>
            <w:bottom w:val="none" w:sz="0" w:space="0" w:color="auto"/>
            <w:right w:val="none" w:sz="0" w:space="0" w:color="auto"/>
          </w:divBdr>
        </w:div>
        <w:div w:id="111822537">
          <w:marLeft w:val="1800"/>
          <w:marRight w:val="0"/>
          <w:marTop w:val="77"/>
          <w:marBottom w:val="0"/>
          <w:divBdr>
            <w:top w:val="none" w:sz="0" w:space="0" w:color="auto"/>
            <w:left w:val="none" w:sz="0" w:space="0" w:color="auto"/>
            <w:bottom w:val="none" w:sz="0" w:space="0" w:color="auto"/>
            <w:right w:val="none" w:sz="0" w:space="0" w:color="auto"/>
          </w:divBdr>
        </w:div>
        <w:div w:id="1634288335">
          <w:marLeft w:val="1166"/>
          <w:marRight w:val="0"/>
          <w:marTop w:val="86"/>
          <w:marBottom w:val="0"/>
          <w:divBdr>
            <w:top w:val="none" w:sz="0" w:space="0" w:color="auto"/>
            <w:left w:val="none" w:sz="0" w:space="0" w:color="auto"/>
            <w:bottom w:val="none" w:sz="0" w:space="0" w:color="auto"/>
            <w:right w:val="none" w:sz="0" w:space="0" w:color="auto"/>
          </w:divBdr>
        </w:div>
        <w:div w:id="906914500">
          <w:marLeft w:val="1800"/>
          <w:marRight w:val="0"/>
          <w:marTop w:val="77"/>
          <w:marBottom w:val="0"/>
          <w:divBdr>
            <w:top w:val="none" w:sz="0" w:space="0" w:color="auto"/>
            <w:left w:val="none" w:sz="0" w:space="0" w:color="auto"/>
            <w:bottom w:val="none" w:sz="0" w:space="0" w:color="auto"/>
            <w:right w:val="none" w:sz="0" w:space="0" w:color="auto"/>
          </w:divBdr>
        </w:div>
        <w:div w:id="1487819996">
          <w:marLeft w:val="1800"/>
          <w:marRight w:val="0"/>
          <w:marTop w:val="77"/>
          <w:marBottom w:val="0"/>
          <w:divBdr>
            <w:top w:val="none" w:sz="0" w:space="0" w:color="auto"/>
            <w:left w:val="none" w:sz="0" w:space="0" w:color="auto"/>
            <w:bottom w:val="none" w:sz="0" w:space="0" w:color="auto"/>
            <w:right w:val="none" w:sz="0" w:space="0" w:color="auto"/>
          </w:divBdr>
        </w:div>
        <w:div w:id="564150806">
          <w:marLeft w:val="1800"/>
          <w:marRight w:val="0"/>
          <w:marTop w:val="77"/>
          <w:marBottom w:val="0"/>
          <w:divBdr>
            <w:top w:val="none" w:sz="0" w:space="0" w:color="auto"/>
            <w:left w:val="none" w:sz="0" w:space="0" w:color="auto"/>
            <w:bottom w:val="none" w:sz="0" w:space="0" w:color="auto"/>
            <w:right w:val="none" w:sz="0" w:space="0" w:color="auto"/>
          </w:divBdr>
        </w:div>
        <w:div w:id="1027560547">
          <w:marLeft w:val="1800"/>
          <w:marRight w:val="0"/>
          <w:marTop w:val="77"/>
          <w:marBottom w:val="0"/>
          <w:divBdr>
            <w:top w:val="none" w:sz="0" w:space="0" w:color="auto"/>
            <w:left w:val="none" w:sz="0" w:space="0" w:color="auto"/>
            <w:bottom w:val="none" w:sz="0" w:space="0" w:color="auto"/>
            <w:right w:val="none" w:sz="0" w:space="0" w:color="auto"/>
          </w:divBdr>
        </w:div>
        <w:div w:id="2058580877">
          <w:marLeft w:val="1166"/>
          <w:marRight w:val="0"/>
          <w:marTop w:val="86"/>
          <w:marBottom w:val="0"/>
          <w:divBdr>
            <w:top w:val="none" w:sz="0" w:space="0" w:color="auto"/>
            <w:left w:val="none" w:sz="0" w:space="0" w:color="auto"/>
            <w:bottom w:val="none" w:sz="0" w:space="0" w:color="auto"/>
            <w:right w:val="none" w:sz="0" w:space="0" w:color="auto"/>
          </w:divBdr>
        </w:div>
      </w:divsChild>
    </w:div>
    <w:div w:id="348719839">
      <w:bodyDiv w:val="1"/>
      <w:marLeft w:val="0"/>
      <w:marRight w:val="0"/>
      <w:marTop w:val="0"/>
      <w:marBottom w:val="0"/>
      <w:divBdr>
        <w:top w:val="none" w:sz="0" w:space="0" w:color="auto"/>
        <w:left w:val="none" w:sz="0" w:space="0" w:color="auto"/>
        <w:bottom w:val="none" w:sz="0" w:space="0" w:color="auto"/>
        <w:right w:val="none" w:sz="0" w:space="0" w:color="auto"/>
      </w:divBdr>
      <w:divsChild>
        <w:div w:id="164789574">
          <w:marLeft w:val="547"/>
          <w:marRight w:val="0"/>
          <w:marTop w:val="96"/>
          <w:marBottom w:val="0"/>
          <w:divBdr>
            <w:top w:val="none" w:sz="0" w:space="0" w:color="auto"/>
            <w:left w:val="none" w:sz="0" w:space="0" w:color="auto"/>
            <w:bottom w:val="none" w:sz="0" w:space="0" w:color="auto"/>
            <w:right w:val="none" w:sz="0" w:space="0" w:color="auto"/>
          </w:divBdr>
        </w:div>
      </w:divsChild>
    </w:div>
    <w:div w:id="1212613848">
      <w:bodyDiv w:val="1"/>
      <w:marLeft w:val="0"/>
      <w:marRight w:val="0"/>
      <w:marTop w:val="0"/>
      <w:marBottom w:val="0"/>
      <w:divBdr>
        <w:top w:val="none" w:sz="0" w:space="0" w:color="auto"/>
        <w:left w:val="none" w:sz="0" w:space="0" w:color="auto"/>
        <w:bottom w:val="none" w:sz="0" w:space="0" w:color="auto"/>
        <w:right w:val="none" w:sz="0" w:space="0" w:color="auto"/>
      </w:divBdr>
      <w:divsChild>
        <w:div w:id="2076850475">
          <w:marLeft w:val="720"/>
          <w:marRight w:val="0"/>
          <w:marTop w:val="0"/>
          <w:marBottom w:val="0"/>
          <w:divBdr>
            <w:top w:val="none" w:sz="0" w:space="0" w:color="auto"/>
            <w:left w:val="none" w:sz="0" w:space="0" w:color="auto"/>
            <w:bottom w:val="none" w:sz="0" w:space="0" w:color="auto"/>
            <w:right w:val="none" w:sz="0" w:space="0" w:color="auto"/>
          </w:divBdr>
        </w:div>
      </w:divsChild>
    </w:div>
    <w:div w:id="1961065765">
      <w:bodyDiv w:val="1"/>
      <w:marLeft w:val="0"/>
      <w:marRight w:val="0"/>
      <w:marTop w:val="0"/>
      <w:marBottom w:val="0"/>
      <w:divBdr>
        <w:top w:val="none" w:sz="0" w:space="0" w:color="auto"/>
        <w:left w:val="none" w:sz="0" w:space="0" w:color="auto"/>
        <w:bottom w:val="none" w:sz="0" w:space="0" w:color="auto"/>
        <w:right w:val="none" w:sz="0" w:space="0" w:color="auto"/>
      </w:divBdr>
    </w:div>
    <w:div w:id="1972712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n.wikipedia.org/wiki/GSM" TargetMode="External"/><Relationship Id="rId18" Type="http://schemas.openxmlformats.org/officeDocument/2006/relationships/hyperlink" Target="http://www.gsma.com/network2020/wp-content/uploads/2014/04/List-of-current-accreditations-for-Hosted-Solutions-Providers-hosted-solutionsV7.pdf" TargetMode="External"/><Relationship Id="rId26" Type="http://schemas.openxmlformats.org/officeDocument/2006/relationships/hyperlink" Target="http://www.continuaalliance.org/node/213" TargetMode="External"/><Relationship Id="rId3" Type="http://schemas.openxmlformats.org/officeDocument/2006/relationships/styles" Target="styles.xml"/><Relationship Id="rId21" Type="http://schemas.openxmlformats.org/officeDocument/2006/relationships/hyperlink" Target="http://gsma.com/network2020/wp-content/uploads/2013/11/Lists-of-current-accreditations-for-API-based-RCS-products.pdf" TargetMode="External"/><Relationship Id="rId34" Type="http://schemas.openxmlformats.org/officeDocument/2006/relationships/hyperlink" Target="http://www.itu.int/md/T13-SG11-130225-TD-GEN-0118/en" TargetMode="External"/><Relationship Id="rId7" Type="http://schemas.openxmlformats.org/officeDocument/2006/relationships/footnotes" Target="footnotes.xml"/><Relationship Id="rId12" Type="http://schemas.openxmlformats.org/officeDocument/2006/relationships/hyperlink" Target="http://en.wikipedia.org/wiki/Mobile_operators" TargetMode="External"/><Relationship Id="rId17" Type="http://schemas.openxmlformats.org/officeDocument/2006/relationships/hyperlink" Target="http://www.gsma.com/network2020/wp-content/uploads/2014/02/Lists-of-current-accreditations-for-Operators-networksv4.pdf" TargetMode="External"/><Relationship Id="rId25" Type="http://schemas.openxmlformats.org/officeDocument/2006/relationships/hyperlink" Target="http://www.continuaalliance.org/" TargetMode="External"/><Relationship Id="rId33" Type="http://schemas.openxmlformats.org/officeDocument/2006/relationships/hyperlink" Target="http://www.iec.ch" TargetMode="External"/><Relationship Id="rId2" Type="http://schemas.openxmlformats.org/officeDocument/2006/relationships/numbering" Target="numbering.xml"/><Relationship Id="rId16" Type="http://schemas.openxmlformats.org/officeDocument/2006/relationships/hyperlink" Target="http://www.gsma.com/network2020/rcs/interoperability-and-testing/" TargetMode="External"/><Relationship Id="rId20" Type="http://schemas.openxmlformats.org/officeDocument/2006/relationships/hyperlink" Target="http://gsma.com/network2020/wp-content/uploads/2013/11/Lists-of-current-accreditations-for-RCS-secondary-client-manufacturers.pdf" TargetMode="External"/><Relationship Id="rId29" Type="http://schemas.openxmlformats.org/officeDocument/2006/relationships/hyperlink" Target="https://cw.continuaalliance.org/wg/TCWG/document/download/12274"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sma.com/network2020/rcs/" TargetMode="External"/><Relationship Id="rId24" Type="http://schemas.openxmlformats.org/officeDocument/2006/relationships/hyperlink" Target="http://www.gsma.com/network2020/wp-content/uploads/2014/05/joyn-Blackbird-package.zip" TargetMode="External"/><Relationship Id="rId32" Type="http://schemas.openxmlformats.org/officeDocument/2006/relationships/image" Target="media/image1.png"/><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gsma.com/network2020/rcs/interoperability-and-testing/" TargetMode="External"/><Relationship Id="rId23" Type="http://schemas.openxmlformats.org/officeDocument/2006/relationships/hyperlink" Target="http://www.gsma.com/network2020/wp-content/uploads/2014/05/joyn-Blackbird-package.zip" TargetMode="External"/><Relationship Id="rId28" Type="http://schemas.openxmlformats.org/officeDocument/2006/relationships/hyperlink" Target="http://www.continuaalliance.org/products/certification-process" TargetMode="External"/><Relationship Id="rId36" Type="http://schemas.openxmlformats.org/officeDocument/2006/relationships/fontTable" Target="fontTable.xml"/><Relationship Id="rId10" Type="http://schemas.openxmlformats.org/officeDocument/2006/relationships/hyperlink" Target="http://www.gsma.com/aboutus/" TargetMode="External"/><Relationship Id="rId19" Type="http://schemas.openxmlformats.org/officeDocument/2006/relationships/hyperlink" Target="http://www.gsma.com/network2020/wp-content/uploads/2014/05/Lists-of-current-accreditations-for-RCS-client-manufacturers-clientsv13.pdf" TargetMode="External"/><Relationship Id="rId31" Type="http://schemas.openxmlformats.org/officeDocument/2006/relationships/hyperlink" Target="http://www.continuaalliance.org/products-certification-process/certification-experts" TargetMode="External"/><Relationship Id="rId4" Type="http://schemas.microsoft.com/office/2007/relationships/stylesWithEffects" Target="stylesWithEffects.xml"/><Relationship Id="rId9" Type="http://schemas.openxmlformats.org/officeDocument/2006/relationships/hyperlink" Target="mailto:denis.andreev@itu.int" TargetMode="External"/><Relationship Id="rId14" Type="http://schemas.openxmlformats.org/officeDocument/2006/relationships/hyperlink" Target="http://en.wikipedia.org/wiki/Mobile_telephone" TargetMode="External"/><Relationship Id="rId22" Type="http://schemas.openxmlformats.org/officeDocument/2006/relationships/hyperlink" Target="http://www.gsma.com/network2020/wp-content/uploads/2014/02/Lists-of-current-accreditations-for-Operators-networksv4.pdf" TargetMode="External"/><Relationship Id="rId27" Type="http://schemas.openxmlformats.org/officeDocument/2006/relationships/hyperlink" Target="http://www.continuaalliance.org/products-certification-process/continua-test-labs" TargetMode="External"/><Relationship Id="rId30" Type="http://schemas.openxmlformats.org/officeDocument/2006/relationships/hyperlink" Target="https://cw.continuaalliance.org/document/dl/7058" TargetMode="External"/><Relationship Id="rId35" Type="http://schemas.openxmlformats.org/officeDocument/2006/relationships/hyperlink" Target="http://www.iecee.org/Operational_documents/od-cb_inde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7C49A-D2D5-40E2-B09E-B53572410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3872</Words>
  <Characters>22072</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25893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Editor</dc:creator>
  <cp:lastModifiedBy>Editor</cp:lastModifiedBy>
  <cp:revision>2</cp:revision>
  <cp:lastPrinted>2014-05-30T12:36:00Z</cp:lastPrinted>
  <dcterms:created xsi:type="dcterms:W3CDTF">2014-07-07T14:32:00Z</dcterms:created>
  <dcterms:modified xsi:type="dcterms:W3CDTF">2014-07-07T14:32:00Z</dcterms:modified>
</cp:coreProperties>
</file>