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89" w:type="dxa"/>
        <w:tblLayout w:type="fixed"/>
        <w:tblCellMar>
          <w:left w:w="57" w:type="dxa"/>
          <w:right w:w="57" w:type="dxa"/>
        </w:tblCellMar>
        <w:tblLook w:val="0000" w:firstRow="0" w:lastRow="0" w:firstColumn="0" w:lastColumn="0" w:noHBand="0" w:noVBand="0"/>
      </w:tblPr>
      <w:tblGrid>
        <w:gridCol w:w="1549"/>
        <w:gridCol w:w="3753"/>
        <w:gridCol w:w="4187"/>
      </w:tblGrid>
      <w:tr w:rsidR="00626C56" w:rsidRPr="00626C56" w:rsidTr="00F67C33">
        <w:trPr>
          <w:cantSplit/>
        </w:trPr>
        <w:tc>
          <w:tcPr>
            <w:tcW w:w="5302" w:type="dxa"/>
            <w:gridSpan w:val="2"/>
          </w:tcPr>
          <w:p w:rsidR="00626C56" w:rsidRPr="00626C56" w:rsidRDefault="00626C56" w:rsidP="00626C56">
            <w:pPr>
              <w:rPr>
                <w:sz w:val="20"/>
              </w:rPr>
            </w:pPr>
            <w:bookmarkStart w:id="0" w:name="dsg" w:colFirst="1" w:colLast="1"/>
            <w:bookmarkStart w:id="1" w:name="dtableau"/>
            <w:r w:rsidRPr="00626C56">
              <w:rPr>
                <w:sz w:val="20"/>
              </w:rPr>
              <w:t>INTERNATIONAL TELECOMMUNICATION UNION</w:t>
            </w:r>
          </w:p>
        </w:tc>
        <w:tc>
          <w:tcPr>
            <w:tcW w:w="4187" w:type="dxa"/>
          </w:tcPr>
          <w:p w:rsidR="00626C56" w:rsidRPr="00626C56" w:rsidRDefault="00626C56" w:rsidP="00626C56">
            <w:pPr>
              <w:jc w:val="right"/>
              <w:rPr>
                <w:b/>
                <w:bCs/>
                <w:smallCaps/>
                <w:sz w:val="28"/>
              </w:rPr>
            </w:pPr>
            <w:r>
              <w:rPr>
                <w:b/>
                <w:bCs/>
                <w:smallCaps/>
                <w:sz w:val="28"/>
              </w:rPr>
              <w:t xml:space="preserve">Joint Coordination Activity </w:t>
            </w:r>
            <w:r>
              <w:rPr>
                <w:b/>
                <w:bCs/>
                <w:smallCaps/>
                <w:sz w:val="28"/>
              </w:rPr>
              <w:br/>
              <w:t xml:space="preserve"> On Conformance and Interoperability Testing</w:t>
            </w:r>
          </w:p>
        </w:tc>
      </w:tr>
      <w:tr w:rsidR="00626C56" w:rsidRPr="00626C56" w:rsidTr="00F67C33">
        <w:trPr>
          <w:cantSplit/>
          <w:trHeight w:val="461"/>
        </w:trPr>
        <w:tc>
          <w:tcPr>
            <w:tcW w:w="5302" w:type="dxa"/>
            <w:gridSpan w:val="2"/>
            <w:vMerge w:val="restart"/>
            <w:tcBorders>
              <w:bottom w:val="nil"/>
            </w:tcBorders>
          </w:tcPr>
          <w:p w:rsidR="00626C56" w:rsidRPr="00626C56" w:rsidRDefault="00626C56" w:rsidP="00626C56">
            <w:pPr>
              <w:rPr>
                <w:b/>
                <w:bCs/>
                <w:sz w:val="26"/>
              </w:rPr>
            </w:pPr>
            <w:bookmarkStart w:id="2" w:name="dnum" w:colFirst="1" w:colLast="1"/>
            <w:bookmarkEnd w:id="0"/>
            <w:r w:rsidRPr="00626C56">
              <w:rPr>
                <w:b/>
                <w:bCs/>
                <w:sz w:val="26"/>
              </w:rPr>
              <w:t>TELECOMMUNICATION</w:t>
            </w:r>
            <w:r w:rsidRPr="00626C56">
              <w:rPr>
                <w:b/>
                <w:bCs/>
                <w:sz w:val="26"/>
              </w:rPr>
              <w:br/>
              <w:t>STANDARDIZATION SECTOR</w:t>
            </w:r>
          </w:p>
          <w:p w:rsidR="00626C56" w:rsidRPr="00626C56" w:rsidRDefault="00626C56" w:rsidP="00626C56">
            <w:pPr>
              <w:rPr>
                <w:smallCaps/>
                <w:sz w:val="20"/>
              </w:rPr>
            </w:pPr>
            <w:r w:rsidRPr="00626C56">
              <w:rPr>
                <w:sz w:val="20"/>
              </w:rPr>
              <w:t xml:space="preserve">STUDY PERIOD </w:t>
            </w:r>
            <w:r>
              <w:rPr>
                <w:sz w:val="20"/>
              </w:rPr>
              <w:t>2013-2016</w:t>
            </w:r>
          </w:p>
        </w:tc>
        <w:tc>
          <w:tcPr>
            <w:tcW w:w="4187" w:type="dxa"/>
            <w:tcBorders>
              <w:bottom w:val="nil"/>
            </w:tcBorders>
          </w:tcPr>
          <w:p w:rsidR="00626C56" w:rsidRPr="00626C56" w:rsidRDefault="00626C56" w:rsidP="00EE1668">
            <w:pPr>
              <w:pStyle w:val="Docnumber"/>
            </w:pPr>
            <w:r>
              <w:t>JCA-CIT-I-</w:t>
            </w:r>
            <w:r w:rsidR="00496C85" w:rsidRPr="00FA7576">
              <w:t>0</w:t>
            </w:r>
            <w:r w:rsidR="00EE1668">
              <w:t>50</w:t>
            </w:r>
          </w:p>
        </w:tc>
      </w:tr>
      <w:tr w:rsidR="00626C56" w:rsidRPr="00626C56" w:rsidTr="00F67C33">
        <w:trPr>
          <w:cantSplit/>
          <w:trHeight w:val="355"/>
        </w:trPr>
        <w:tc>
          <w:tcPr>
            <w:tcW w:w="5302" w:type="dxa"/>
            <w:gridSpan w:val="2"/>
            <w:vMerge/>
            <w:tcBorders>
              <w:bottom w:val="single" w:sz="12" w:space="0" w:color="auto"/>
            </w:tcBorders>
          </w:tcPr>
          <w:p w:rsidR="00626C56" w:rsidRPr="00626C56" w:rsidRDefault="00626C56" w:rsidP="00626C56">
            <w:pPr>
              <w:rPr>
                <w:b/>
                <w:bCs/>
                <w:sz w:val="26"/>
              </w:rPr>
            </w:pPr>
            <w:bookmarkStart w:id="3" w:name="dorlang" w:colFirst="1" w:colLast="1"/>
            <w:bookmarkEnd w:id="2"/>
          </w:p>
        </w:tc>
        <w:tc>
          <w:tcPr>
            <w:tcW w:w="4187" w:type="dxa"/>
            <w:tcBorders>
              <w:bottom w:val="single" w:sz="12" w:space="0" w:color="auto"/>
            </w:tcBorders>
          </w:tcPr>
          <w:p w:rsidR="00626C56" w:rsidRDefault="00626C56" w:rsidP="00626C56">
            <w:pPr>
              <w:jc w:val="right"/>
              <w:rPr>
                <w:b/>
                <w:bCs/>
                <w:sz w:val="28"/>
              </w:rPr>
            </w:pPr>
            <w:r>
              <w:rPr>
                <w:b/>
                <w:bCs/>
                <w:sz w:val="28"/>
              </w:rPr>
              <w:t>English only</w:t>
            </w:r>
          </w:p>
          <w:p w:rsidR="00626C56" w:rsidRPr="00626C56" w:rsidRDefault="00626C56" w:rsidP="00626C56">
            <w:pPr>
              <w:jc w:val="right"/>
              <w:rPr>
                <w:b/>
                <w:bCs/>
                <w:sz w:val="28"/>
              </w:rPr>
            </w:pPr>
            <w:r>
              <w:rPr>
                <w:b/>
                <w:bCs/>
                <w:sz w:val="28"/>
              </w:rPr>
              <w:t>Original: English</w:t>
            </w:r>
          </w:p>
        </w:tc>
      </w:tr>
      <w:tr w:rsidR="00F67C33" w:rsidRPr="00626C56" w:rsidTr="00F560C6">
        <w:trPr>
          <w:cantSplit/>
          <w:trHeight w:val="357"/>
        </w:trPr>
        <w:tc>
          <w:tcPr>
            <w:tcW w:w="5302" w:type="dxa"/>
            <w:gridSpan w:val="2"/>
          </w:tcPr>
          <w:p w:rsidR="00F67C33" w:rsidRPr="00626C56" w:rsidRDefault="00F67C33" w:rsidP="00626C56">
            <w:bookmarkStart w:id="4" w:name="dmeeting" w:colFirst="2" w:colLast="2"/>
            <w:bookmarkStart w:id="5" w:name="dbluepink" w:colFirst="1" w:colLast="1"/>
            <w:bookmarkEnd w:id="3"/>
          </w:p>
        </w:tc>
        <w:tc>
          <w:tcPr>
            <w:tcW w:w="4187" w:type="dxa"/>
          </w:tcPr>
          <w:p w:rsidR="00F67C33" w:rsidRPr="00626C56" w:rsidRDefault="00F67C33" w:rsidP="00F16931">
            <w:pPr>
              <w:jc w:val="right"/>
            </w:pPr>
            <w:r>
              <w:t xml:space="preserve">Geneva, </w:t>
            </w:r>
            <w:r w:rsidR="00AE4696">
              <w:t>1</w:t>
            </w:r>
            <w:r w:rsidR="00F16931">
              <w:t>1</w:t>
            </w:r>
            <w:r w:rsidRPr="00626C56">
              <w:t xml:space="preserve"> </w:t>
            </w:r>
            <w:r w:rsidR="00F16931">
              <w:t>July</w:t>
            </w:r>
            <w:r w:rsidRPr="00626C56">
              <w:t xml:space="preserve"> 201</w:t>
            </w:r>
            <w:r w:rsidR="00AE4696">
              <w:t>4</w:t>
            </w:r>
          </w:p>
        </w:tc>
      </w:tr>
      <w:tr w:rsidR="00626C56" w:rsidRPr="00626C56" w:rsidTr="00626C56">
        <w:trPr>
          <w:cantSplit/>
          <w:trHeight w:val="357"/>
        </w:trPr>
        <w:tc>
          <w:tcPr>
            <w:tcW w:w="9489" w:type="dxa"/>
            <w:gridSpan w:val="3"/>
          </w:tcPr>
          <w:p w:rsidR="00626C56" w:rsidRPr="00626C56" w:rsidRDefault="00626C56" w:rsidP="00626C56">
            <w:pPr>
              <w:jc w:val="center"/>
              <w:rPr>
                <w:b/>
                <w:bCs/>
              </w:rPr>
            </w:pPr>
            <w:bookmarkStart w:id="6" w:name="dtitle" w:colFirst="0" w:colLast="0"/>
            <w:bookmarkEnd w:id="4"/>
            <w:bookmarkEnd w:id="5"/>
            <w:r w:rsidRPr="00626C56">
              <w:rPr>
                <w:b/>
                <w:bCs/>
              </w:rPr>
              <w:t>DOCUMENT</w:t>
            </w:r>
          </w:p>
        </w:tc>
      </w:tr>
      <w:tr w:rsidR="00626C56" w:rsidRPr="00626C56" w:rsidTr="00626C56">
        <w:trPr>
          <w:cantSplit/>
          <w:trHeight w:val="357"/>
        </w:trPr>
        <w:tc>
          <w:tcPr>
            <w:tcW w:w="1549" w:type="dxa"/>
          </w:tcPr>
          <w:p w:rsidR="00626C56" w:rsidRPr="00626C56" w:rsidRDefault="00626C56" w:rsidP="00626C56">
            <w:pPr>
              <w:rPr>
                <w:b/>
                <w:bCs/>
              </w:rPr>
            </w:pPr>
            <w:bookmarkStart w:id="7" w:name="dsource" w:colFirst="1" w:colLast="1"/>
            <w:bookmarkEnd w:id="6"/>
            <w:r w:rsidRPr="00626C56">
              <w:rPr>
                <w:b/>
                <w:bCs/>
              </w:rPr>
              <w:t>Source:</w:t>
            </w:r>
          </w:p>
        </w:tc>
        <w:tc>
          <w:tcPr>
            <w:tcW w:w="7940" w:type="dxa"/>
            <w:gridSpan w:val="2"/>
          </w:tcPr>
          <w:p w:rsidR="00626C56" w:rsidRPr="00626C56" w:rsidRDefault="00D07F42" w:rsidP="00D07F42">
            <w:r>
              <w:t>Convener of CG (Ghana)</w:t>
            </w:r>
          </w:p>
        </w:tc>
      </w:tr>
      <w:tr w:rsidR="00626C56" w:rsidRPr="00626C56" w:rsidTr="00626C56">
        <w:trPr>
          <w:cantSplit/>
          <w:trHeight w:val="357"/>
        </w:trPr>
        <w:tc>
          <w:tcPr>
            <w:tcW w:w="1549" w:type="dxa"/>
            <w:tcBorders>
              <w:bottom w:val="single" w:sz="12" w:space="0" w:color="auto"/>
            </w:tcBorders>
          </w:tcPr>
          <w:p w:rsidR="00626C56" w:rsidRPr="00626C56" w:rsidRDefault="00626C56" w:rsidP="00626C56">
            <w:pPr>
              <w:spacing w:after="120"/>
            </w:pPr>
            <w:bookmarkStart w:id="8" w:name="dtitle1" w:colFirst="1" w:colLast="1"/>
            <w:bookmarkEnd w:id="7"/>
            <w:r w:rsidRPr="00626C56">
              <w:rPr>
                <w:b/>
                <w:bCs/>
              </w:rPr>
              <w:t>Title:</w:t>
            </w:r>
          </w:p>
        </w:tc>
        <w:tc>
          <w:tcPr>
            <w:tcW w:w="7940" w:type="dxa"/>
            <w:gridSpan w:val="2"/>
            <w:tcBorders>
              <w:bottom w:val="single" w:sz="12" w:space="0" w:color="auto"/>
            </w:tcBorders>
          </w:tcPr>
          <w:p w:rsidR="00626C56" w:rsidRPr="00626C56" w:rsidRDefault="00D07F42" w:rsidP="00722898">
            <w:pPr>
              <w:spacing w:after="120"/>
            </w:pPr>
            <w:r>
              <w:t>Draft Report of the Correspondence Group (C</w:t>
            </w:r>
            <w:r w:rsidR="00EE1668">
              <w:t>G) on Collaboration between ITU</w:t>
            </w:r>
            <w:r w:rsidR="00EE1668">
              <w:noBreakHyphen/>
            </w:r>
            <w:r>
              <w:t>T and testing laboratories for ITU C&amp;I programme; November 2013 to July 2014</w:t>
            </w:r>
          </w:p>
        </w:tc>
      </w:tr>
      <w:bookmarkEnd w:id="1"/>
      <w:bookmarkEnd w:id="8"/>
    </w:tbl>
    <w:p w:rsidR="00B766DE" w:rsidRDefault="00B766DE" w:rsidP="00B766DE">
      <w:pPr>
        <w:pStyle w:val="BodyTextIndent"/>
        <w:spacing w:before="0" w:after="0"/>
        <w:jc w:val="center"/>
        <w:rPr>
          <w:b/>
        </w:rPr>
      </w:pPr>
    </w:p>
    <w:p w:rsidR="00F16931" w:rsidRPr="00F16931" w:rsidRDefault="00D07F42" w:rsidP="00D07F42">
      <w:pPr>
        <w:spacing w:after="120"/>
        <w:ind w:rightChars="38" w:right="91"/>
        <w:jc w:val="both"/>
        <w:rPr>
          <w:rFonts w:asciiTheme="majorBidi" w:hAnsiTheme="majorBidi" w:cstheme="majorBidi"/>
          <w:b/>
          <w:bCs/>
          <w:szCs w:val="24"/>
        </w:rPr>
      </w:pPr>
      <w:r>
        <w:rPr>
          <w:rFonts w:asciiTheme="majorBidi" w:hAnsiTheme="majorBidi" w:cstheme="majorBidi"/>
          <w:b/>
          <w:bCs/>
          <w:szCs w:val="24"/>
        </w:rPr>
        <w:t>TSB notes</w:t>
      </w:r>
    </w:p>
    <w:p w:rsidR="00D07F42" w:rsidRDefault="00722898" w:rsidP="00D07F42">
      <w:pPr>
        <w:spacing w:after="120"/>
        <w:ind w:rightChars="38" w:right="91"/>
        <w:jc w:val="both"/>
      </w:pPr>
      <w:r>
        <w:t xml:space="preserve">This document </w:t>
      </w:r>
      <w:r w:rsidR="00D07F42">
        <w:t>represents</w:t>
      </w:r>
      <w:r>
        <w:t xml:space="preserve"> </w:t>
      </w:r>
      <w:r w:rsidR="00D07F42">
        <w:t xml:space="preserve">the report of the Correspondence Group (CG) on Collaboration between ITU-T and testing laboratories for ITU C&amp;I programme which was submitted to the ITU-T SG11 as a </w:t>
      </w:r>
      <w:hyperlink r:id="rId12" w:history="1">
        <w:r w:rsidR="00D07F42" w:rsidRPr="00D07F42">
          <w:rPr>
            <w:rStyle w:val="Hyperlink"/>
          </w:rPr>
          <w:t>TD 475 (GEN/11)</w:t>
        </w:r>
      </w:hyperlink>
      <w:r w:rsidR="00D07F42">
        <w:t>.</w:t>
      </w:r>
    </w:p>
    <w:p w:rsidR="00F16931" w:rsidRDefault="000E576E" w:rsidP="000E576E">
      <w:pPr>
        <w:spacing w:after="120"/>
        <w:ind w:rightChars="38" w:right="91"/>
        <w:jc w:val="both"/>
        <w:rPr>
          <w:rFonts w:asciiTheme="majorBidi" w:hAnsiTheme="majorBidi" w:cstheme="majorBidi"/>
          <w:szCs w:val="24"/>
        </w:rPr>
      </w:pPr>
      <w:r>
        <w:rPr>
          <w:rFonts w:asciiTheme="majorBidi" w:hAnsiTheme="majorBidi" w:cstheme="majorBidi"/>
          <w:szCs w:val="24"/>
        </w:rPr>
        <w:t>This document is presented at the JCA-CIT meeting for information.</w:t>
      </w:r>
    </w:p>
    <w:p w:rsidR="000E576E" w:rsidRPr="000E576E" w:rsidRDefault="000E576E" w:rsidP="000E576E">
      <w:pPr>
        <w:pStyle w:val="Heading1"/>
        <w:jc w:val="both"/>
        <w:rPr>
          <w:rFonts w:asciiTheme="majorBidi" w:hAnsiTheme="majorBidi" w:cstheme="majorBidi"/>
          <w:szCs w:val="24"/>
        </w:rPr>
      </w:pPr>
      <w:r w:rsidRPr="000E576E">
        <w:rPr>
          <w:rFonts w:asciiTheme="majorBidi" w:hAnsiTheme="majorBidi" w:cstheme="majorBidi"/>
          <w:szCs w:val="24"/>
        </w:rPr>
        <w:t>Executive Summary</w:t>
      </w:r>
    </w:p>
    <w:p w:rsidR="000E576E" w:rsidRPr="000E576E" w:rsidRDefault="000E576E" w:rsidP="000E576E">
      <w:pPr>
        <w:jc w:val="both"/>
        <w:rPr>
          <w:rFonts w:asciiTheme="majorBidi" w:hAnsiTheme="majorBidi" w:cstheme="majorBidi"/>
          <w:szCs w:val="24"/>
        </w:rPr>
      </w:pPr>
      <w:r w:rsidRPr="000E576E">
        <w:rPr>
          <w:rFonts w:asciiTheme="majorBidi" w:hAnsiTheme="majorBidi" w:cstheme="majorBidi"/>
          <w:szCs w:val="24"/>
        </w:rPr>
        <w:t>This report describes the activity of the Correspondence Group (CG) on Collaboration between ITU-T and Testing Laboratory for ITU C&amp;I Programme from November 2013 to July 2014. This CG was created during the Working Party 4/11 meeting in November 2013, as a result of contribution (C</w:t>
      </w:r>
      <w:r w:rsidRPr="000E576E">
        <w:rPr>
          <w:rFonts w:asciiTheme="majorBidi" w:hAnsiTheme="majorBidi" w:cstheme="majorBidi"/>
          <w:szCs w:val="24"/>
        </w:rPr>
        <w:noBreakHyphen/>
        <w:t xml:space="preserve">97) submitted by the Administration of Russia, proposing to </w:t>
      </w:r>
      <w:r w:rsidRPr="000E576E">
        <w:rPr>
          <w:rFonts w:asciiTheme="majorBidi" w:hAnsiTheme="majorBidi" w:cstheme="majorBidi"/>
          <w:szCs w:val="24"/>
          <w:lang w:val="en-US" w:eastAsia="zh-CN"/>
        </w:rPr>
        <w:t>establish an ITU recognition procedure of testing laboratories with competence in ITU-T Recommendations</w:t>
      </w:r>
      <w:r w:rsidRPr="000E576E">
        <w:rPr>
          <w:rFonts w:asciiTheme="majorBidi" w:hAnsiTheme="majorBidi" w:cstheme="majorBidi"/>
          <w:szCs w:val="24"/>
        </w:rPr>
        <w:t xml:space="preserve">. </w:t>
      </w:r>
      <w:hyperlink r:id="rId13" w:history="1">
        <w:r w:rsidRPr="000E576E">
          <w:rPr>
            <w:rStyle w:val="Hyperlink"/>
            <w:rFonts w:asciiTheme="majorBidi" w:hAnsiTheme="majorBidi" w:cstheme="majorBidi"/>
            <w:szCs w:val="24"/>
          </w:rPr>
          <w:t>C-97</w:t>
        </w:r>
      </w:hyperlink>
      <w:r w:rsidRPr="000E576E">
        <w:rPr>
          <w:rFonts w:asciiTheme="majorBidi" w:hAnsiTheme="majorBidi" w:cstheme="majorBidi"/>
          <w:szCs w:val="24"/>
        </w:rPr>
        <w:t xml:space="preserve"> proposed to populate the ITU Product Conformity Database (PCDB) on a trial basis using two approaches, one of which has led to the establishment of this CG. The tasks of the CG was to explore ways for ITU to collaborate with testing labs for its conformity assessment programme, taking into account C&amp;I approaches of other SDOs/Forums and building upon </w:t>
      </w:r>
      <w:hyperlink r:id="rId14" w:history="1">
        <w:r w:rsidRPr="000E576E">
          <w:rPr>
            <w:rStyle w:val="Hyperlink"/>
            <w:rFonts w:asciiTheme="majorBidi" w:hAnsiTheme="majorBidi" w:cstheme="majorBidi"/>
            <w:szCs w:val="24"/>
          </w:rPr>
          <w:t>C-97</w:t>
        </w:r>
      </w:hyperlink>
      <w:r w:rsidRPr="000E576E">
        <w:rPr>
          <w:rFonts w:asciiTheme="majorBidi" w:hAnsiTheme="majorBidi" w:cstheme="majorBidi"/>
          <w:szCs w:val="24"/>
        </w:rPr>
        <w:t xml:space="preserve">, propose an ITU-T approach to select Testing Labs, which would be adopted as baseline draft of the new work item Q.TL-rec-pro </w:t>
      </w:r>
      <w:r w:rsidRPr="000E576E">
        <w:rPr>
          <w:rFonts w:asciiTheme="majorBidi" w:hAnsiTheme="majorBidi" w:cstheme="majorBidi"/>
          <w:i/>
          <w:iCs/>
          <w:szCs w:val="24"/>
        </w:rPr>
        <w:t>“Testing Laboratories recognition procedure”</w:t>
      </w:r>
      <w:r w:rsidRPr="000E576E">
        <w:rPr>
          <w:rFonts w:asciiTheme="majorBidi" w:hAnsiTheme="majorBidi" w:cstheme="majorBidi"/>
          <w:szCs w:val="24"/>
        </w:rPr>
        <w:t>, under Question 11/11 (SG11). The CG was requested to submit a report, an overview on best practices from other SDOs (see ANNEX A) and a proposed update to the baseline text C-97 for ITU</w:t>
      </w:r>
      <w:r w:rsidRPr="000E576E">
        <w:rPr>
          <w:rFonts w:asciiTheme="majorBidi" w:hAnsiTheme="majorBidi" w:cstheme="majorBidi"/>
          <w:szCs w:val="24"/>
        </w:rPr>
        <w:noBreakHyphen/>
        <w:t xml:space="preserve">T Q.TL-rec-pro [see </w:t>
      </w:r>
      <w:hyperlink r:id="rId15" w:history="1">
        <w:r w:rsidRPr="000E576E">
          <w:rPr>
            <w:rStyle w:val="Hyperlink"/>
            <w:rFonts w:asciiTheme="majorBidi" w:hAnsiTheme="majorBidi" w:cstheme="majorBidi"/>
            <w:szCs w:val="24"/>
          </w:rPr>
          <w:t>TD 474 (GEN/11)</w:t>
        </w:r>
      </w:hyperlink>
      <w:r w:rsidRPr="000E576E">
        <w:rPr>
          <w:rFonts w:asciiTheme="majorBidi" w:hAnsiTheme="majorBidi" w:cstheme="majorBidi"/>
          <w:szCs w:val="24"/>
        </w:rPr>
        <w:t xml:space="preserve">], to SG11 meeting in July 2014. Please refer to </w:t>
      </w:r>
      <w:hyperlink r:id="rId16" w:history="1">
        <w:r w:rsidRPr="000E576E">
          <w:rPr>
            <w:rStyle w:val="Hyperlink"/>
            <w:rFonts w:asciiTheme="majorBidi" w:hAnsiTheme="majorBidi" w:cstheme="majorBidi"/>
            <w:szCs w:val="24"/>
          </w:rPr>
          <w:t>TD 294 Rev.1 GEN/11)</w:t>
        </w:r>
      </w:hyperlink>
      <w:r w:rsidRPr="000E576E">
        <w:rPr>
          <w:rFonts w:asciiTheme="majorBidi" w:hAnsiTheme="majorBidi" w:cstheme="majorBidi"/>
          <w:szCs w:val="24"/>
        </w:rPr>
        <w:t xml:space="preserve"> for the CG Terms of Reference (ToR).</w:t>
      </w:r>
    </w:p>
    <w:p w:rsidR="000E576E" w:rsidRPr="000E576E" w:rsidRDefault="000E576E" w:rsidP="000E576E">
      <w:pPr>
        <w:jc w:val="both"/>
        <w:rPr>
          <w:rFonts w:asciiTheme="majorBidi" w:hAnsiTheme="majorBidi" w:cstheme="majorBidi"/>
          <w:szCs w:val="24"/>
        </w:rPr>
      </w:pPr>
      <w:r w:rsidRPr="000E576E">
        <w:rPr>
          <w:rFonts w:asciiTheme="majorBidi" w:hAnsiTheme="majorBidi" w:cstheme="majorBidi"/>
          <w:szCs w:val="24"/>
        </w:rPr>
        <w:t>It is also worth mentioning that the submission of C-97 was driven by the ITU action plan on Conformance and Interoperability (C&amp;I) approved by Council-12 (</w:t>
      </w:r>
      <w:hyperlink r:id="rId17" w:history="1">
        <w:r w:rsidRPr="000E576E">
          <w:rPr>
            <w:rStyle w:val="Hyperlink"/>
            <w:rFonts w:asciiTheme="majorBidi" w:hAnsiTheme="majorBidi" w:cstheme="majorBidi"/>
            <w:szCs w:val="24"/>
          </w:rPr>
          <w:t>C13/24</w:t>
        </w:r>
      </w:hyperlink>
      <w:r w:rsidRPr="000E576E">
        <w:rPr>
          <w:rFonts w:asciiTheme="majorBidi" w:hAnsiTheme="majorBidi" w:cstheme="majorBidi"/>
          <w:szCs w:val="24"/>
        </w:rPr>
        <w:t>) that states that:</w:t>
      </w:r>
    </w:p>
    <w:p w:rsidR="000E576E" w:rsidRPr="000E576E" w:rsidRDefault="000E576E" w:rsidP="000E576E">
      <w:pPr>
        <w:jc w:val="both"/>
        <w:rPr>
          <w:rFonts w:asciiTheme="majorBidi" w:hAnsiTheme="majorBidi" w:cstheme="majorBidi"/>
          <w:i/>
          <w:iCs/>
          <w:szCs w:val="24"/>
          <w:lang w:val="en-US"/>
        </w:rPr>
      </w:pPr>
      <w:r w:rsidRPr="000E576E">
        <w:rPr>
          <w:rFonts w:asciiTheme="majorBidi" w:hAnsiTheme="majorBidi" w:cstheme="majorBidi"/>
          <w:i/>
          <w:iCs/>
          <w:szCs w:val="24"/>
          <w:lang w:val="en-US"/>
        </w:rPr>
        <w:lastRenderedPageBreak/>
        <w:t>“b)</w:t>
      </w:r>
      <w:r w:rsidRPr="000E576E">
        <w:rPr>
          <w:rFonts w:asciiTheme="majorBidi" w:hAnsiTheme="majorBidi" w:cstheme="majorBidi"/>
          <w:i/>
          <w:iCs/>
          <w:szCs w:val="24"/>
          <w:lang w:val="en-US"/>
        </w:rPr>
        <w:tab/>
        <w:t>ITU-T to run a pilot of the conformity assessment programme for key technologies for which there is a market demand for such a programme. A test lab would execute tests. Given a vendor’s agreement, an entry would then be made in the ITU T conformity database.”</w:t>
      </w:r>
    </w:p>
    <w:p w:rsidR="000E576E" w:rsidRPr="000E576E" w:rsidRDefault="000E576E" w:rsidP="000E576E">
      <w:pPr>
        <w:jc w:val="both"/>
        <w:rPr>
          <w:rFonts w:asciiTheme="majorBidi" w:hAnsiTheme="majorBidi" w:cstheme="majorBidi"/>
          <w:i/>
          <w:iCs/>
          <w:szCs w:val="24"/>
          <w:lang w:val="en-US"/>
        </w:rPr>
      </w:pPr>
      <w:r w:rsidRPr="000E576E">
        <w:rPr>
          <w:rFonts w:asciiTheme="majorBidi" w:hAnsiTheme="majorBidi" w:cstheme="majorBidi"/>
          <w:szCs w:val="24"/>
        </w:rPr>
        <w:t>In addition to the above, other recognition procedures of SDOs and forums (including IECEE, GSMA and Continua Health Alliance) were analysed. Those represent organizations for which a recognition procedure has been used as the best way to ensure the credibility of their testing programme.</w:t>
      </w:r>
    </w:p>
    <w:p w:rsidR="000E576E" w:rsidRPr="000E576E" w:rsidRDefault="000E576E" w:rsidP="000E576E">
      <w:pPr>
        <w:jc w:val="both"/>
        <w:rPr>
          <w:rFonts w:asciiTheme="majorBidi" w:hAnsiTheme="majorBidi" w:cstheme="majorBidi"/>
          <w:szCs w:val="24"/>
        </w:rPr>
      </w:pPr>
      <w:r w:rsidRPr="000E576E">
        <w:rPr>
          <w:rFonts w:asciiTheme="majorBidi" w:hAnsiTheme="majorBidi" w:cstheme="majorBidi"/>
          <w:szCs w:val="24"/>
        </w:rPr>
        <w:t xml:space="preserve">The CG mostly conducted its work electronically. It also held face to face (F2F) meetings under Q11/11 rapporteur’s group meetings. </w:t>
      </w:r>
    </w:p>
    <w:p w:rsidR="000E576E" w:rsidRPr="000E576E" w:rsidRDefault="000E576E" w:rsidP="000E576E">
      <w:pPr>
        <w:pStyle w:val="Heading1"/>
        <w:jc w:val="both"/>
        <w:rPr>
          <w:rFonts w:asciiTheme="majorBidi" w:hAnsiTheme="majorBidi" w:cstheme="majorBidi"/>
          <w:szCs w:val="24"/>
        </w:rPr>
      </w:pPr>
      <w:r w:rsidRPr="000E576E">
        <w:rPr>
          <w:rFonts w:asciiTheme="majorBidi" w:hAnsiTheme="majorBidi" w:cstheme="majorBidi"/>
          <w:szCs w:val="24"/>
        </w:rPr>
        <w:t>CG Report</w:t>
      </w:r>
    </w:p>
    <w:p w:rsidR="000E576E" w:rsidRPr="000E576E" w:rsidRDefault="000E576E" w:rsidP="000E576E">
      <w:pPr>
        <w:jc w:val="both"/>
        <w:rPr>
          <w:rFonts w:asciiTheme="majorBidi" w:hAnsiTheme="majorBidi" w:cstheme="majorBidi"/>
          <w:szCs w:val="24"/>
        </w:rPr>
      </w:pPr>
      <w:r w:rsidRPr="000E576E">
        <w:rPr>
          <w:rFonts w:asciiTheme="majorBidi" w:hAnsiTheme="majorBidi" w:cstheme="majorBidi"/>
          <w:szCs w:val="24"/>
        </w:rPr>
        <w:t>The following experts actively participated in the CG meetings; Buty Gilbert (Alcatel-Lucent), Daigele Vladimir (BDT), K.Y. Hong (Cisco), Sebastien Jobert (Iometrix), Magavero Bruno Carlo (Italia, Telecom Italia), Eva Ibarolla (Spain, Basco University), Masahito Kawamori (Japan, vice-chairman of SG16), Hideo Himeno (Japan, NEC), Alexey Borodin (OJSC Rostelecom) and Kevin Belson (ILAC and IAF) and Chris Agius (IECEE)  as invited expert. From TSB, Stefano Polidori, Denis Andreev, Xiaoya Yang and Mizuno Kaoru supported the meetings.</w:t>
      </w:r>
    </w:p>
    <w:p w:rsidR="000E576E" w:rsidRPr="000E576E" w:rsidRDefault="000E576E" w:rsidP="000E576E">
      <w:pPr>
        <w:jc w:val="both"/>
        <w:rPr>
          <w:rFonts w:asciiTheme="majorBidi" w:hAnsiTheme="majorBidi" w:cstheme="majorBidi"/>
          <w:szCs w:val="24"/>
        </w:rPr>
      </w:pPr>
      <w:r w:rsidRPr="000E576E">
        <w:rPr>
          <w:rFonts w:asciiTheme="majorBidi" w:hAnsiTheme="majorBidi" w:cstheme="majorBidi"/>
          <w:szCs w:val="24"/>
        </w:rPr>
        <w:t>An email list was established and used for the CG purposes.</w:t>
      </w:r>
    </w:p>
    <w:p w:rsidR="000E576E" w:rsidRPr="000E576E" w:rsidRDefault="000E576E" w:rsidP="000E576E">
      <w:pPr>
        <w:jc w:val="both"/>
        <w:rPr>
          <w:rFonts w:asciiTheme="majorBidi" w:hAnsiTheme="majorBidi" w:cstheme="majorBidi"/>
          <w:szCs w:val="24"/>
        </w:rPr>
      </w:pPr>
      <w:r w:rsidRPr="000E576E">
        <w:rPr>
          <w:rFonts w:asciiTheme="majorBidi" w:hAnsiTheme="majorBidi" w:cstheme="majorBidi"/>
          <w:szCs w:val="24"/>
        </w:rPr>
        <w:t xml:space="preserve">A F2F meeting was held on 20 February 2014, a report of that meeting was posted as </w:t>
      </w:r>
      <w:hyperlink r:id="rId18" w:history="1">
        <w:r w:rsidRPr="000E576E">
          <w:rPr>
            <w:rStyle w:val="Hyperlink"/>
            <w:rFonts w:asciiTheme="majorBidi" w:hAnsiTheme="majorBidi" w:cstheme="majorBidi"/>
            <w:szCs w:val="24"/>
          </w:rPr>
          <w:t>TD 370 (GEN/11)</w:t>
        </w:r>
      </w:hyperlink>
      <w:r w:rsidRPr="000E576E">
        <w:rPr>
          <w:rFonts w:asciiTheme="majorBidi" w:hAnsiTheme="majorBidi" w:cstheme="majorBidi"/>
          <w:szCs w:val="24"/>
        </w:rPr>
        <w:t>. After, the following electronic meetings were held:</w:t>
      </w:r>
    </w:p>
    <w:p w:rsidR="000E576E" w:rsidRPr="000E576E" w:rsidRDefault="000E576E" w:rsidP="000E576E">
      <w:pPr>
        <w:tabs>
          <w:tab w:val="clear" w:pos="794"/>
          <w:tab w:val="clear" w:pos="1191"/>
          <w:tab w:val="clear" w:pos="1588"/>
          <w:tab w:val="clear" w:pos="1985"/>
        </w:tabs>
        <w:ind w:left="284" w:hanging="284"/>
        <w:jc w:val="both"/>
        <w:rPr>
          <w:rStyle w:val="Hyperlink"/>
          <w:rFonts w:asciiTheme="majorBidi" w:hAnsiTheme="majorBidi" w:cstheme="majorBidi"/>
        </w:rPr>
      </w:pPr>
      <w:r w:rsidRPr="000E576E">
        <w:rPr>
          <w:rFonts w:asciiTheme="majorBidi" w:hAnsiTheme="majorBidi" w:cstheme="majorBidi"/>
          <w:szCs w:val="24"/>
        </w:rPr>
        <w:t>-</w:t>
      </w:r>
      <w:r w:rsidRPr="000E576E">
        <w:rPr>
          <w:rFonts w:asciiTheme="majorBidi" w:hAnsiTheme="majorBidi" w:cstheme="majorBidi"/>
          <w:szCs w:val="24"/>
        </w:rPr>
        <w:tab/>
        <w:t xml:space="preserve">10 April 2014 – documents at: </w:t>
      </w:r>
      <w:hyperlink r:id="rId19" w:history="1">
        <w:r w:rsidRPr="000E576E">
          <w:rPr>
            <w:rStyle w:val="Hyperlink"/>
            <w:rFonts w:asciiTheme="majorBidi" w:hAnsiTheme="majorBidi" w:cstheme="majorBidi"/>
            <w:szCs w:val="24"/>
          </w:rPr>
          <w:t>http://ifa.itu.int/t/2013/sg11/exchange/wp4/q11/2014-04-09_CG/</w:t>
        </w:r>
      </w:hyperlink>
      <w:r w:rsidRPr="000E576E">
        <w:rPr>
          <w:rFonts w:asciiTheme="majorBidi" w:hAnsiTheme="majorBidi" w:cstheme="majorBidi"/>
          <w:szCs w:val="24"/>
        </w:rPr>
        <w:t xml:space="preserve"> </w:t>
      </w:r>
    </w:p>
    <w:p w:rsidR="000E576E" w:rsidRPr="000E576E" w:rsidRDefault="000E576E" w:rsidP="000E576E">
      <w:pPr>
        <w:tabs>
          <w:tab w:val="clear" w:pos="794"/>
          <w:tab w:val="clear" w:pos="1191"/>
          <w:tab w:val="clear" w:pos="1588"/>
          <w:tab w:val="clear" w:pos="1985"/>
        </w:tabs>
        <w:ind w:left="284" w:hanging="284"/>
        <w:jc w:val="both"/>
        <w:rPr>
          <w:rFonts w:asciiTheme="majorBidi" w:hAnsiTheme="majorBidi" w:cstheme="majorBidi"/>
          <w:szCs w:val="24"/>
        </w:rPr>
      </w:pPr>
      <w:r w:rsidRPr="000E576E">
        <w:rPr>
          <w:rFonts w:asciiTheme="majorBidi" w:hAnsiTheme="majorBidi" w:cstheme="majorBidi"/>
          <w:szCs w:val="24"/>
        </w:rPr>
        <w:t>-</w:t>
      </w:r>
      <w:r w:rsidRPr="000E576E">
        <w:rPr>
          <w:rFonts w:asciiTheme="majorBidi" w:hAnsiTheme="majorBidi" w:cstheme="majorBidi"/>
          <w:szCs w:val="24"/>
        </w:rPr>
        <w:tab/>
        <w:t xml:space="preserve">14 May 2014 – documents at: </w:t>
      </w:r>
      <w:hyperlink r:id="rId20" w:history="1">
        <w:r w:rsidRPr="000E576E">
          <w:rPr>
            <w:rStyle w:val="Hyperlink"/>
            <w:rFonts w:asciiTheme="majorBidi" w:hAnsiTheme="majorBidi" w:cstheme="majorBidi"/>
            <w:szCs w:val="24"/>
          </w:rPr>
          <w:t>http://ifa.itu.int/t/2013/sg11/exchange/wp4/q11/2014-05-14_CG/</w:t>
        </w:r>
      </w:hyperlink>
    </w:p>
    <w:p w:rsidR="000E576E" w:rsidRPr="000E576E" w:rsidRDefault="000E576E" w:rsidP="000E576E">
      <w:pPr>
        <w:tabs>
          <w:tab w:val="clear" w:pos="794"/>
          <w:tab w:val="clear" w:pos="1191"/>
          <w:tab w:val="clear" w:pos="1588"/>
          <w:tab w:val="clear" w:pos="1985"/>
        </w:tabs>
        <w:ind w:left="284" w:hanging="284"/>
        <w:jc w:val="both"/>
        <w:rPr>
          <w:rFonts w:asciiTheme="majorBidi" w:hAnsiTheme="majorBidi" w:cstheme="majorBidi"/>
          <w:szCs w:val="24"/>
        </w:rPr>
      </w:pPr>
      <w:r w:rsidRPr="000E576E">
        <w:rPr>
          <w:rFonts w:asciiTheme="majorBidi" w:hAnsiTheme="majorBidi" w:cstheme="majorBidi"/>
          <w:szCs w:val="24"/>
        </w:rPr>
        <w:t>-</w:t>
      </w:r>
      <w:r w:rsidRPr="000E576E">
        <w:rPr>
          <w:rFonts w:asciiTheme="majorBidi" w:hAnsiTheme="majorBidi" w:cstheme="majorBidi"/>
          <w:szCs w:val="24"/>
        </w:rPr>
        <w:tab/>
        <w:t xml:space="preserve">11 June 2014 – documents at: </w:t>
      </w:r>
      <w:hyperlink r:id="rId21" w:history="1">
        <w:r w:rsidRPr="000E576E">
          <w:rPr>
            <w:rStyle w:val="Hyperlink"/>
            <w:rFonts w:asciiTheme="majorBidi" w:hAnsiTheme="majorBidi" w:cstheme="majorBidi"/>
            <w:szCs w:val="24"/>
          </w:rPr>
          <w:t>http://ifa.itu.int/t/2013/sg11/exchange/wp4/q11/2014-06-11_CG/</w:t>
        </w:r>
      </w:hyperlink>
    </w:p>
    <w:p w:rsidR="000E576E" w:rsidRPr="000E576E" w:rsidRDefault="000E576E" w:rsidP="000E576E">
      <w:pPr>
        <w:tabs>
          <w:tab w:val="clear" w:pos="794"/>
          <w:tab w:val="clear" w:pos="1191"/>
          <w:tab w:val="clear" w:pos="1588"/>
          <w:tab w:val="clear" w:pos="1985"/>
        </w:tabs>
        <w:ind w:left="284" w:hanging="284"/>
        <w:jc w:val="both"/>
        <w:rPr>
          <w:rFonts w:asciiTheme="majorBidi" w:hAnsiTheme="majorBidi" w:cstheme="majorBidi"/>
          <w:szCs w:val="24"/>
        </w:rPr>
      </w:pPr>
      <w:r w:rsidRPr="000E576E">
        <w:rPr>
          <w:rFonts w:asciiTheme="majorBidi" w:hAnsiTheme="majorBidi" w:cstheme="majorBidi"/>
          <w:szCs w:val="24"/>
        </w:rPr>
        <w:t>-</w:t>
      </w:r>
      <w:r w:rsidRPr="000E576E">
        <w:rPr>
          <w:rFonts w:asciiTheme="majorBidi" w:hAnsiTheme="majorBidi" w:cstheme="majorBidi"/>
          <w:szCs w:val="24"/>
        </w:rPr>
        <w:tab/>
        <w:t xml:space="preserve">02 July 2014 – documents at: </w:t>
      </w:r>
      <w:hyperlink r:id="rId22" w:history="1">
        <w:r w:rsidRPr="000E576E">
          <w:rPr>
            <w:rStyle w:val="Hyperlink"/>
            <w:rFonts w:asciiTheme="majorBidi" w:hAnsiTheme="majorBidi" w:cstheme="majorBidi"/>
            <w:szCs w:val="24"/>
          </w:rPr>
          <w:t>http://ifa.itu.int/t/2013/sg11/exchange/wp4/q11/2014-07-02_CG/</w:t>
        </w:r>
      </w:hyperlink>
    </w:p>
    <w:p w:rsidR="000E576E" w:rsidRPr="000E576E" w:rsidRDefault="000E576E" w:rsidP="000E576E">
      <w:pPr>
        <w:jc w:val="both"/>
        <w:rPr>
          <w:rFonts w:asciiTheme="majorBidi" w:hAnsiTheme="majorBidi" w:cstheme="majorBidi"/>
          <w:szCs w:val="24"/>
        </w:rPr>
      </w:pPr>
      <w:r w:rsidRPr="000E576E">
        <w:rPr>
          <w:rFonts w:asciiTheme="majorBidi" w:hAnsiTheme="majorBidi" w:cstheme="majorBidi"/>
          <w:szCs w:val="24"/>
        </w:rPr>
        <w:t xml:space="preserve">During the electronic meetings the participants discussed proposal submitted as working documents (WDs) and developed reports and action documents stored in the above FTP folders for your reference. This is the report that is submitted to SG11 for further consideration of this work. </w:t>
      </w:r>
    </w:p>
    <w:p w:rsidR="000E576E" w:rsidRPr="000E576E" w:rsidRDefault="000E576E" w:rsidP="000E576E">
      <w:pPr>
        <w:jc w:val="both"/>
        <w:rPr>
          <w:rFonts w:asciiTheme="majorBidi" w:hAnsiTheme="majorBidi" w:cstheme="majorBidi"/>
          <w:szCs w:val="24"/>
        </w:rPr>
      </w:pPr>
      <w:r w:rsidRPr="000E576E">
        <w:rPr>
          <w:rFonts w:asciiTheme="majorBidi" w:hAnsiTheme="majorBidi" w:cstheme="majorBidi"/>
          <w:szCs w:val="24"/>
        </w:rPr>
        <w:t xml:space="preserve">In summary, as result from the contributions submitted by participants, the views and discussions expressed during the CG meetings show that there is the need for ITU to </w:t>
      </w:r>
      <w:r w:rsidRPr="000E576E">
        <w:rPr>
          <w:rFonts w:asciiTheme="majorBidi" w:hAnsiTheme="majorBidi" w:cstheme="majorBidi"/>
          <w:szCs w:val="24"/>
          <w:lang w:val="en-US"/>
        </w:rPr>
        <w:t xml:space="preserve">establish a recognition procedure for testing laboratories with competence in ITU-T Recommendations. Also, the </w:t>
      </w:r>
      <w:r w:rsidRPr="000E576E">
        <w:rPr>
          <w:rFonts w:asciiTheme="majorBidi" w:hAnsiTheme="majorBidi" w:cstheme="majorBidi"/>
          <w:szCs w:val="24"/>
        </w:rPr>
        <w:t xml:space="preserve">proposed approach to develop a new work item Q.TL-rec-pro </w:t>
      </w:r>
      <w:r w:rsidRPr="000E576E">
        <w:rPr>
          <w:rFonts w:asciiTheme="majorBidi" w:hAnsiTheme="majorBidi" w:cstheme="majorBidi"/>
          <w:i/>
          <w:iCs/>
          <w:szCs w:val="24"/>
        </w:rPr>
        <w:t>“Testing Laboratories recognition procedure”,</w:t>
      </w:r>
      <w:r w:rsidRPr="000E576E">
        <w:rPr>
          <w:rFonts w:asciiTheme="majorBidi" w:hAnsiTheme="majorBidi" w:cstheme="majorBidi"/>
          <w:szCs w:val="24"/>
        </w:rPr>
        <w:t xml:space="preserve"> under the auspices of Question 11/11, was supported and advanced, see</w:t>
      </w:r>
      <w:r w:rsidRPr="000E576E">
        <w:rPr>
          <w:rFonts w:asciiTheme="majorBidi" w:hAnsiTheme="majorBidi" w:cstheme="majorBidi"/>
          <w:szCs w:val="24"/>
          <w:lang w:val="en-US"/>
        </w:rPr>
        <w:t xml:space="preserve"> </w:t>
      </w:r>
      <w:hyperlink r:id="rId23" w:history="1">
        <w:r w:rsidRPr="000E576E">
          <w:rPr>
            <w:rStyle w:val="Hyperlink"/>
            <w:rFonts w:asciiTheme="majorBidi" w:hAnsiTheme="majorBidi" w:cstheme="majorBidi"/>
            <w:szCs w:val="24"/>
            <w:lang w:val="en-US"/>
          </w:rPr>
          <w:t>TD 474 (GEN/11)</w:t>
        </w:r>
      </w:hyperlink>
      <w:r w:rsidRPr="000E576E">
        <w:rPr>
          <w:rFonts w:asciiTheme="majorBidi" w:hAnsiTheme="majorBidi" w:cstheme="majorBidi"/>
          <w:szCs w:val="24"/>
        </w:rPr>
        <w:t>.</w:t>
      </w:r>
    </w:p>
    <w:p w:rsidR="000E576E" w:rsidRPr="000E576E" w:rsidRDefault="000E576E" w:rsidP="000E576E">
      <w:pPr>
        <w:jc w:val="both"/>
        <w:rPr>
          <w:rFonts w:asciiTheme="majorBidi" w:hAnsiTheme="majorBidi" w:cstheme="majorBidi"/>
          <w:szCs w:val="24"/>
        </w:rPr>
      </w:pPr>
      <w:r w:rsidRPr="000E576E">
        <w:rPr>
          <w:rFonts w:asciiTheme="majorBidi" w:hAnsiTheme="majorBidi" w:cstheme="majorBidi"/>
          <w:szCs w:val="24"/>
        </w:rPr>
        <w:t>The CG’s work is provided for consideration by Question 11/11 pursuant to the group’s terms of reference. This report was prepared by Isaac Boateng, as Convener of the CG, who is also Vice-Chairman of ITU-T SG11 and Rapporteur for Q8/11.</w:t>
      </w:r>
    </w:p>
    <w:p w:rsidR="000E576E" w:rsidRPr="000E576E" w:rsidRDefault="000E576E" w:rsidP="000E576E">
      <w:pPr>
        <w:pStyle w:val="Heading1"/>
        <w:jc w:val="both"/>
        <w:rPr>
          <w:rFonts w:asciiTheme="majorBidi" w:hAnsiTheme="majorBidi" w:cstheme="majorBidi"/>
          <w:szCs w:val="24"/>
        </w:rPr>
      </w:pPr>
      <w:r w:rsidRPr="000E576E">
        <w:rPr>
          <w:rFonts w:asciiTheme="majorBidi" w:hAnsiTheme="majorBidi" w:cstheme="majorBidi"/>
          <w:szCs w:val="24"/>
        </w:rPr>
        <w:t>1</w:t>
      </w:r>
      <w:r w:rsidRPr="000E576E">
        <w:rPr>
          <w:rFonts w:asciiTheme="majorBidi" w:hAnsiTheme="majorBidi" w:cstheme="majorBidi"/>
          <w:szCs w:val="24"/>
        </w:rPr>
        <w:tab/>
        <w:t>Activities of the Correspondence Group</w:t>
      </w:r>
    </w:p>
    <w:p w:rsidR="000E576E" w:rsidRPr="000E576E" w:rsidRDefault="000E576E" w:rsidP="000E576E">
      <w:pPr>
        <w:spacing w:after="120"/>
        <w:jc w:val="both"/>
        <w:rPr>
          <w:rFonts w:asciiTheme="majorBidi" w:hAnsiTheme="majorBidi" w:cstheme="majorBidi"/>
          <w:szCs w:val="24"/>
        </w:rPr>
      </w:pPr>
      <w:r w:rsidRPr="000E576E">
        <w:rPr>
          <w:rFonts w:asciiTheme="majorBidi" w:hAnsiTheme="majorBidi" w:cstheme="majorBidi"/>
          <w:b/>
          <w:bCs/>
          <w:szCs w:val="24"/>
        </w:rPr>
        <w:t>1.1</w:t>
      </w:r>
      <w:r w:rsidRPr="000E576E">
        <w:rPr>
          <w:rFonts w:asciiTheme="majorBidi" w:hAnsiTheme="majorBidi" w:cstheme="majorBidi"/>
          <w:szCs w:val="24"/>
        </w:rPr>
        <w:tab/>
        <w:t>Email list subscribers</w:t>
      </w:r>
    </w:p>
    <w:p w:rsidR="000E576E" w:rsidRPr="000E576E" w:rsidRDefault="000E576E" w:rsidP="000E576E">
      <w:pPr>
        <w:spacing w:after="120"/>
        <w:jc w:val="both"/>
        <w:rPr>
          <w:rFonts w:asciiTheme="majorBidi" w:hAnsiTheme="majorBidi" w:cstheme="majorBidi"/>
          <w:szCs w:val="24"/>
        </w:rPr>
      </w:pPr>
      <w:r w:rsidRPr="000E576E">
        <w:rPr>
          <w:rFonts w:asciiTheme="majorBidi" w:hAnsiTheme="majorBidi" w:cstheme="majorBidi"/>
          <w:szCs w:val="24"/>
        </w:rPr>
        <w:t xml:space="preserve">As of 11 June 2014, the Group had 39 members listed in the following emailing list: </w:t>
      </w:r>
      <w:r w:rsidRPr="000E576E">
        <w:rPr>
          <w:rFonts w:asciiTheme="majorBidi" w:hAnsiTheme="majorBidi" w:cstheme="majorBidi"/>
          <w:szCs w:val="24"/>
        </w:rPr>
        <w:br/>
        <w:t xml:space="preserve">( </w:t>
      </w:r>
      <w:hyperlink r:id="rId24" w:history="1">
        <w:r w:rsidRPr="000E576E">
          <w:rPr>
            <w:rStyle w:val="Hyperlink"/>
            <w:rFonts w:asciiTheme="majorBidi" w:hAnsiTheme="majorBidi" w:cstheme="majorBidi"/>
            <w:szCs w:val="24"/>
          </w:rPr>
          <w:t>t13sg11cgtl@lists.itu.int</w:t>
        </w:r>
      </w:hyperlink>
      <w:r w:rsidRPr="000E576E">
        <w:rPr>
          <w:rFonts w:asciiTheme="majorBidi" w:hAnsiTheme="majorBidi" w:cstheme="majorBidi"/>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1887"/>
        <w:gridCol w:w="6318"/>
      </w:tblGrid>
      <w:tr w:rsidR="000E576E" w:rsidRPr="000E576E" w:rsidTr="00BD2FBA">
        <w:trPr>
          <w:trHeight w:val="315"/>
        </w:trPr>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b/>
                <w:bCs/>
                <w:color w:val="00008B"/>
                <w:sz w:val="22"/>
                <w:szCs w:val="22"/>
                <w:lang w:val="en-US" w:eastAsia="zh-CN"/>
              </w:rPr>
            </w:pPr>
            <w:r w:rsidRPr="000E576E">
              <w:rPr>
                <w:rFonts w:asciiTheme="majorBidi" w:hAnsiTheme="majorBidi" w:cstheme="majorBidi"/>
                <w:b/>
                <w:bCs/>
                <w:color w:val="00008B"/>
                <w:sz w:val="22"/>
                <w:szCs w:val="22"/>
                <w:lang w:val="en-US" w:eastAsia="zh-CN"/>
              </w:rPr>
              <w:t>First name</w:t>
            </w:r>
          </w:p>
        </w:tc>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b/>
                <w:bCs/>
                <w:color w:val="00008B"/>
                <w:sz w:val="22"/>
                <w:szCs w:val="22"/>
                <w:lang w:val="en-US" w:eastAsia="zh-CN"/>
              </w:rPr>
            </w:pPr>
            <w:r w:rsidRPr="000E576E">
              <w:rPr>
                <w:rFonts w:asciiTheme="majorBidi" w:hAnsiTheme="majorBidi" w:cstheme="majorBidi"/>
                <w:b/>
                <w:bCs/>
                <w:color w:val="00008B"/>
                <w:sz w:val="22"/>
                <w:szCs w:val="22"/>
                <w:lang w:val="en-US" w:eastAsia="zh-CN"/>
              </w:rPr>
              <w:t>Last name</w:t>
            </w:r>
          </w:p>
        </w:tc>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b/>
                <w:bCs/>
                <w:color w:val="00008B"/>
                <w:sz w:val="22"/>
                <w:szCs w:val="22"/>
                <w:lang w:val="en-US" w:eastAsia="zh-CN"/>
              </w:rPr>
            </w:pPr>
            <w:r w:rsidRPr="000E576E">
              <w:rPr>
                <w:rFonts w:asciiTheme="majorBidi" w:hAnsiTheme="majorBidi" w:cstheme="majorBidi"/>
                <w:b/>
                <w:bCs/>
                <w:color w:val="00008B"/>
                <w:sz w:val="22"/>
                <w:szCs w:val="22"/>
                <w:lang w:val="en-US" w:eastAsia="zh-CN"/>
              </w:rPr>
              <w:t>Entity</w:t>
            </w:r>
          </w:p>
        </w:tc>
      </w:tr>
      <w:tr w:rsidR="000E576E" w:rsidRPr="000E576E" w:rsidTr="00BD2FBA">
        <w:trPr>
          <w:trHeight w:val="300"/>
        </w:trPr>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guo</w:t>
            </w:r>
          </w:p>
        </w:tc>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aipeng</w:t>
            </w:r>
          </w:p>
        </w:tc>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China Unicom</w:t>
            </w:r>
          </w:p>
        </w:tc>
      </w:tr>
      <w:tr w:rsidR="000E576E" w:rsidRPr="000E576E" w:rsidTr="00BD2FBA">
        <w:trPr>
          <w:trHeight w:val="300"/>
        </w:trPr>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Abdullah</w:t>
            </w:r>
          </w:p>
        </w:tc>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ALMubadal</w:t>
            </w:r>
          </w:p>
        </w:tc>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Communications and Information Technology Commission (CITC)</w:t>
            </w:r>
          </w:p>
        </w:tc>
      </w:tr>
      <w:tr w:rsidR="000E576E" w:rsidRPr="000E576E" w:rsidTr="00BD2FBA">
        <w:trPr>
          <w:trHeight w:val="300"/>
        </w:trPr>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lastRenderedPageBreak/>
              <w:t>Denis</w:t>
            </w:r>
          </w:p>
        </w:tc>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Andreev</w:t>
            </w:r>
          </w:p>
        </w:tc>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International Telecommunication Union</w:t>
            </w:r>
          </w:p>
        </w:tc>
      </w:tr>
      <w:tr w:rsidR="000E576E" w:rsidRPr="000E576E" w:rsidTr="00BD2FBA">
        <w:trPr>
          <w:trHeight w:val="300"/>
        </w:trPr>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kaoru</w:t>
            </w:r>
          </w:p>
        </w:tc>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banno</w:t>
            </w:r>
          </w:p>
        </w:tc>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International Telecommunication Union</w:t>
            </w:r>
          </w:p>
        </w:tc>
      </w:tr>
      <w:tr w:rsidR="000E576E" w:rsidRPr="00EE1668" w:rsidTr="00BD2FBA">
        <w:trPr>
          <w:trHeight w:val="300"/>
        </w:trPr>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Celio</w:t>
            </w:r>
          </w:p>
        </w:tc>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Barbosa</w:t>
            </w:r>
          </w:p>
        </w:tc>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s-ES_tradnl" w:eastAsia="zh-CN"/>
              </w:rPr>
            </w:pPr>
            <w:r w:rsidRPr="000E576E">
              <w:rPr>
                <w:rFonts w:asciiTheme="majorBidi" w:hAnsiTheme="majorBidi" w:cstheme="majorBidi"/>
                <w:sz w:val="22"/>
                <w:szCs w:val="22"/>
                <w:lang w:val="es-ES_tradnl" w:eastAsia="zh-CN"/>
              </w:rPr>
              <w:t>Agência Nacional de Telecomunicações - ANATEL</w:t>
            </w:r>
          </w:p>
        </w:tc>
      </w:tr>
      <w:tr w:rsidR="000E576E" w:rsidRPr="00EE1668" w:rsidTr="00BD2FBA">
        <w:trPr>
          <w:trHeight w:val="300"/>
        </w:trPr>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Vladimir Daigele</w:t>
            </w:r>
          </w:p>
        </w:tc>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Barbosa</w:t>
            </w:r>
          </w:p>
        </w:tc>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s-ES_tradnl" w:eastAsia="zh-CN"/>
              </w:rPr>
            </w:pPr>
            <w:r w:rsidRPr="000E576E">
              <w:rPr>
                <w:rFonts w:asciiTheme="majorBidi" w:hAnsiTheme="majorBidi" w:cstheme="majorBidi"/>
                <w:sz w:val="22"/>
                <w:szCs w:val="22"/>
                <w:lang w:val="es-ES_tradnl" w:eastAsia="zh-CN"/>
              </w:rPr>
              <w:t>Agência Nacional de Telecomunicações - ANATEL</w:t>
            </w:r>
          </w:p>
        </w:tc>
      </w:tr>
      <w:tr w:rsidR="000E576E" w:rsidRPr="000E576E" w:rsidTr="00BD2FBA">
        <w:trPr>
          <w:trHeight w:val="300"/>
        </w:trPr>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Isaac</w:t>
            </w:r>
          </w:p>
        </w:tc>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Boateng</w:t>
            </w:r>
          </w:p>
        </w:tc>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National Communications Authority (NCA)</w:t>
            </w:r>
          </w:p>
        </w:tc>
      </w:tr>
      <w:tr w:rsidR="000E576E" w:rsidRPr="000E576E" w:rsidTr="00BD2FBA">
        <w:trPr>
          <w:trHeight w:val="300"/>
        </w:trPr>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Aleksey</w:t>
            </w:r>
          </w:p>
        </w:tc>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Borodin</w:t>
            </w:r>
          </w:p>
        </w:tc>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Ministry of Telecom and Mass Communications of the Russian Federation</w:t>
            </w:r>
          </w:p>
        </w:tc>
      </w:tr>
      <w:tr w:rsidR="000E576E" w:rsidRPr="000E576E" w:rsidTr="00BD2FBA">
        <w:trPr>
          <w:trHeight w:val="300"/>
        </w:trPr>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Martin</w:t>
            </w:r>
          </w:p>
        </w:tc>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Brand</w:t>
            </w:r>
          </w:p>
        </w:tc>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A1 Telekom Austria AG</w:t>
            </w:r>
          </w:p>
        </w:tc>
      </w:tr>
      <w:tr w:rsidR="000E576E" w:rsidRPr="000E576E" w:rsidTr="00BD2FBA">
        <w:trPr>
          <w:trHeight w:val="300"/>
        </w:trPr>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Gilbert</w:t>
            </w:r>
          </w:p>
        </w:tc>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Buty</w:t>
            </w:r>
          </w:p>
        </w:tc>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Alcatel-Lucent International</w:t>
            </w:r>
          </w:p>
        </w:tc>
      </w:tr>
      <w:tr w:rsidR="000E576E" w:rsidRPr="000E576E" w:rsidTr="00BD2FBA">
        <w:trPr>
          <w:trHeight w:val="300"/>
        </w:trPr>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Nan</w:t>
            </w:r>
          </w:p>
        </w:tc>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CHEN</w:t>
            </w:r>
          </w:p>
        </w:tc>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China Telecommunications Corporation</w:t>
            </w:r>
          </w:p>
        </w:tc>
      </w:tr>
      <w:tr w:rsidR="000E576E" w:rsidRPr="000E576E" w:rsidTr="00BD2FBA">
        <w:trPr>
          <w:trHeight w:val="300"/>
        </w:trPr>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Vladimir</w:t>
            </w:r>
          </w:p>
        </w:tc>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Daigele</w:t>
            </w:r>
          </w:p>
        </w:tc>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I.T.U. - Internal</w:t>
            </w:r>
          </w:p>
        </w:tc>
      </w:tr>
      <w:tr w:rsidR="000E576E" w:rsidRPr="000E576E" w:rsidTr="00BD2FBA">
        <w:trPr>
          <w:trHeight w:val="300"/>
        </w:trPr>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Nebojsa</w:t>
            </w:r>
          </w:p>
        </w:tc>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Dikic</w:t>
            </w:r>
          </w:p>
        </w:tc>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Telefon AB - LM Ericsson</w:t>
            </w:r>
          </w:p>
        </w:tc>
      </w:tr>
      <w:tr w:rsidR="000E576E" w:rsidRPr="000E576E" w:rsidTr="00BD2FBA">
        <w:trPr>
          <w:trHeight w:val="300"/>
        </w:trPr>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Mohannad</w:t>
            </w:r>
          </w:p>
        </w:tc>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El-Megharbel</w:t>
            </w:r>
          </w:p>
        </w:tc>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National Telecommunication Regulatory Authority (NTRA)</w:t>
            </w:r>
          </w:p>
        </w:tc>
      </w:tr>
      <w:tr w:rsidR="000E576E" w:rsidRPr="000E576E" w:rsidTr="00BD2FBA">
        <w:trPr>
          <w:trHeight w:val="300"/>
        </w:trPr>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Wei</w:t>
            </w:r>
          </w:p>
        </w:tc>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Feng</w:t>
            </w:r>
          </w:p>
        </w:tc>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Huawei Technologies Co. Ltd.</w:t>
            </w:r>
          </w:p>
        </w:tc>
      </w:tr>
      <w:tr w:rsidR="000E576E" w:rsidRPr="000E576E" w:rsidTr="00BD2FBA">
        <w:trPr>
          <w:trHeight w:val="300"/>
        </w:trPr>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Masanori</w:t>
            </w:r>
          </w:p>
        </w:tc>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Goto</w:t>
            </w:r>
          </w:p>
        </w:tc>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OKI Electric Industry Company Ltd. (OKI)</w:t>
            </w:r>
          </w:p>
        </w:tc>
      </w:tr>
      <w:tr w:rsidR="000E576E" w:rsidRPr="000E576E" w:rsidTr="00BD2FBA">
        <w:trPr>
          <w:trHeight w:val="300"/>
        </w:trPr>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HIDEO</w:t>
            </w:r>
          </w:p>
        </w:tc>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HIMENO</w:t>
            </w:r>
          </w:p>
        </w:tc>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NEC Corporation</w:t>
            </w:r>
          </w:p>
        </w:tc>
      </w:tr>
      <w:tr w:rsidR="000E576E" w:rsidRPr="000E576E" w:rsidTr="00BD2FBA">
        <w:trPr>
          <w:trHeight w:val="300"/>
        </w:trPr>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Kyung-Yeop</w:t>
            </w:r>
          </w:p>
        </w:tc>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Hong</w:t>
            </w:r>
          </w:p>
        </w:tc>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Cisco Systems, Inc.</w:t>
            </w:r>
          </w:p>
        </w:tc>
      </w:tr>
      <w:tr w:rsidR="000E576E" w:rsidRPr="000E576E" w:rsidTr="00BD2FBA">
        <w:trPr>
          <w:trHeight w:val="300"/>
        </w:trPr>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kai</w:t>
            </w:r>
          </w:p>
        </w:tc>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hu</w:t>
            </w:r>
          </w:p>
        </w:tc>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Huawei Technologies Co. Ltd.</w:t>
            </w:r>
          </w:p>
        </w:tc>
      </w:tr>
      <w:tr w:rsidR="000E576E" w:rsidRPr="000E576E" w:rsidTr="00BD2FBA">
        <w:trPr>
          <w:trHeight w:val="300"/>
        </w:trPr>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Eva</w:t>
            </w:r>
          </w:p>
        </w:tc>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Ibarrola Armendariz</w:t>
            </w:r>
          </w:p>
        </w:tc>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Universidad Del País Vasco</w:t>
            </w:r>
          </w:p>
        </w:tc>
      </w:tr>
      <w:tr w:rsidR="000E576E" w:rsidRPr="000E576E" w:rsidTr="00BD2FBA">
        <w:trPr>
          <w:trHeight w:val="300"/>
        </w:trPr>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Sebastien</w:t>
            </w:r>
          </w:p>
        </w:tc>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JOBERT</w:t>
            </w:r>
          </w:p>
        </w:tc>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Orange</w:t>
            </w:r>
          </w:p>
        </w:tc>
      </w:tr>
      <w:tr w:rsidR="000E576E" w:rsidRPr="000E576E" w:rsidTr="00BD2FBA">
        <w:trPr>
          <w:trHeight w:val="300"/>
        </w:trPr>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Masahito</w:t>
            </w:r>
          </w:p>
        </w:tc>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Kawamori</w:t>
            </w:r>
          </w:p>
        </w:tc>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Nippon Telegraph and Telephone Corporation (NTT)</w:t>
            </w:r>
          </w:p>
        </w:tc>
      </w:tr>
      <w:tr w:rsidR="000E576E" w:rsidRPr="000E576E" w:rsidTr="00BD2FBA">
        <w:trPr>
          <w:trHeight w:val="300"/>
        </w:trPr>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Kaoru</w:t>
            </w:r>
          </w:p>
        </w:tc>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Kenyoshi</w:t>
            </w:r>
          </w:p>
        </w:tc>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NEC Corporation</w:t>
            </w:r>
          </w:p>
        </w:tc>
      </w:tr>
      <w:tr w:rsidR="000E576E" w:rsidRPr="000E576E" w:rsidTr="00BD2FBA">
        <w:trPr>
          <w:trHeight w:val="300"/>
        </w:trPr>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MINAH</w:t>
            </w:r>
          </w:p>
        </w:tc>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LEE</w:t>
            </w:r>
          </w:p>
        </w:tc>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Korea Communications Commission (KCC)</w:t>
            </w:r>
          </w:p>
        </w:tc>
      </w:tr>
      <w:tr w:rsidR="000E576E" w:rsidRPr="00EE1668" w:rsidTr="00BD2FBA">
        <w:trPr>
          <w:trHeight w:val="300"/>
        </w:trPr>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carlo</w:t>
            </w:r>
          </w:p>
        </w:tc>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mogavero</w:t>
            </w:r>
          </w:p>
        </w:tc>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s-ES_tradnl" w:eastAsia="zh-CN"/>
              </w:rPr>
            </w:pPr>
            <w:r w:rsidRPr="000E576E">
              <w:rPr>
                <w:rFonts w:asciiTheme="majorBidi" w:hAnsiTheme="majorBidi" w:cstheme="majorBidi"/>
                <w:sz w:val="22"/>
                <w:szCs w:val="22"/>
                <w:lang w:val="es-ES_tradnl" w:eastAsia="zh-CN"/>
              </w:rPr>
              <w:t>Telecom Italia S.p.A.</w:t>
            </w:r>
          </w:p>
        </w:tc>
      </w:tr>
      <w:tr w:rsidR="000E576E" w:rsidRPr="000E576E" w:rsidTr="00BD2FBA">
        <w:trPr>
          <w:trHeight w:val="300"/>
        </w:trPr>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Pablo</w:t>
            </w:r>
          </w:p>
        </w:tc>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Palacios</w:t>
            </w:r>
          </w:p>
        </w:tc>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International Telecommunication Union</w:t>
            </w:r>
          </w:p>
        </w:tc>
      </w:tr>
      <w:tr w:rsidR="000E576E" w:rsidRPr="000E576E" w:rsidTr="00BD2FBA">
        <w:trPr>
          <w:trHeight w:val="300"/>
        </w:trPr>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Janusz</w:t>
            </w:r>
          </w:p>
        </w:tc>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Pieczerak</w:t>
            </w:r>
          </w:p>
        </w:tc>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Orange Polska S.A.</w:t>
            </w:r>
          </w:p>
        </w:tc>
      </w:tr>
      <w:tr w:rsidR="000E576E" w:rsidRPr="000E576E" w:rsidTr="00BD2FBA">
        <w:trPr>
          <w:trHeight w:val="300"/>
        </w:trPr>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Stefano</w:t>
            </w:r>
          </w:p>
        </w:tc>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Polidori</w:t>
            </w:r>
          </w:p>
        </w:tc>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International Telecommunication Union</w:t>
            </w:r>
          </w:p>
        </w:tc>
      </w:tr>
      <w:tr w:rsidR="000E576E" w:rsidRPr="000E576E" w:rsidTr="00BD2FBA">
        <w:trPr>
          <w:trHeight w:val="300"/>
        </w:trPr>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Joachim</w:t>
            </w:r>
          </w:p>
        </w:tc>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Pomy</w:t>
            </w:r>
          </w:p>
        </w:tc>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Avaya Inc.</w:t>
            </w:r>
          </w:p>
        </w:tc>
      </w:tr>
      <w:tr w:rsidR="000E576E" w:rsidRPr="000E576E" w:rsidTr="00BD2FBA">
        <w:trPr>
          <w:trHeight w:val="300"/>
        </w:trPr>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David</w:t>
            </w:r>
          </w:p>
        </w:tc>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Rogers</w:t>
            </w:r>
          </w:p>
        </w:tc>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Department for Culture, Media and Sport (DCMS)</w:t>
            </w:r>
          </w:p>
        </w:tc>
      </w:tr>
      <w:tr w:rsidR="000E576E" w:rsidRPr="000E576E" w:rsidTr="00BD2FBA">
        <w:trPr>
          <w:trHeight w:val="300"/>
        </w:trPr>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Anthony Michael</w:t>
            </w:r>
          </w:p>
        </w:tc>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Rutkowski</w:t>
            </w:r>
          </w:p>
        </w:tc>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International Communications and Information Policy (CIP)</w:t>
            </w:r>
          </w:p>
        </w:tc>
      </w:tr>
      <w:tr w:rsidR="000E576E" w:rsidRPr="00EE1668" w:rsidTr="00BD2FBA">
        <w:trPr>
          <w:trHeight w:val="300"/>
        </w:trPr>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Pablo Hernán</w:t>
            </w:r>
          </w:p>
        </w:tc>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SALAS</w:t>
            </w:r>
          </w:p>
        </w:tc>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s-ES_tradnl" w:eastAsia="zh-CN"/>
              </w:rPr>
            </w:pPr>
            <w:r w:rsidRPr="000E576E">
              <w:rPr>
                <w:rFonts w:asciiTheme="majorBidi" w:hAnsiTheme="majorBidi" w:cstheme="majorBidi"/>
                <w:sz w:val="22"/>
                <w:szCs w:val="22"/>
                <w:lang w:val="es-ES_tradnl" w:eastAsia="zh-CN"/>
              </w:rPr>
              <w:t>Comisión Nacional de Comunicaciones (CNC)</w:t>
            </w:r>
          </w:p>
        </w:tc>
      </w:tr>
      <w:tr w:rsidR="000E576E" w:rsidRPr="000E576E" w:rsidTr="00BD2FBA">
        <w:trPr>
          <w:trHeight w:val="300"/>
        </w:trPr>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Georges</w:t>
            </w:r>
          </w:p>
        </w:tc>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Sebek</w:t>
            </w:r>
          </w:p>
        </w:tc>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International Telecommunication Union</w:t>
            </w:r>
          </w:p>
        </w:tc>
      </w:tr>
      <w:tr w:rsidR="000E576E" w:rsidRPr="000E576E" w:rsidTr="00BD2FBA">
        <w:trPr>
          <w:trHeight w:val="300"/>
        </w:trPr>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Damian</w:t>
            </w:r>
          </w:p>
        </w:tc>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Soto</w:t>
            </w:r>
          </w:p>
        </w:tc>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International Telecommunication Union</w:t>
            </w:r>
          </w:p>
        </w:tc>
      </w:tr>
      <w:tr w:rsidR="000E576E" w:rsidRPr="000E576E" w:rsidTr="00BD2FBA">
        <w:trPr>
          <w:trHeight w:val="300"/>
        </w:trPr>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Dmitry</w:t>
            </w:r>
          </w:p>
        </w:tc>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Tarasov</w:t>
            </w:r>
          </w:p>
        </w:tc>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Ministry of Telecom and Mass Communications of the Russian Federation</w:t>
            </w:r>
          </w:p>
        </w:tc>
      </w:tr>
      <w:tr w:rsidR="000E576E" w:rsidRPr="000E576E" w:rsidTr="00BD2FBA">
        <w:trPr>
          <w:trHeight w:val="300"/>
        </w:trPr>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Hans</w:t>
            </w:r>
          </w:p>
        </w:tc>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von Geldern</w:t>
            </w:r>
          </w:p>
        </w:tc>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Rohde &amp; Schwarz GmbH &amp; Co. KG</w:t>
            </w:r>
          </w:p>
        </w:tc>
      </w:tr>
      <w:tr w:rsidR="000E576E" w:rsidRPr="000E576E" w:rsidTr="00BD2FBA">
        <w:trPr>
          <w:trHeight w:val="300"/>
        </w:trPr>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Xiaoya</w:t>
            </w:r>
          </w:p>
        </w:tc>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Yang</w:t>
            </w:r>
          </w:p>
        </w:tc>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ITU TIES REMOVED ACCOUNTS</w:t>
            </w:r>
          </w:p>
        </w:tc>
      </w:tr>
      <w:tr w:rsidR="000E576E" w:rsidRPr="000E576E" w:rsidTr="00BD2FBA">
        <w:trPr>
          <w:trHeight w:val="300"/>
        </w:trPr>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Dong-Ji</w:t>
            </w:r>
          </w:p>
        </w:tc>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Yang</w:t>
            </w:r>
          </w:p>
        </w:tc>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KT Corporation</w:t>
            </w:r>
          </w:p>
        </w:tc>
      </w:tr>
      <w:tr w:rsidR="000E576E" w:rsidRPr="000E576E" w:rsidTr="00BD2FBA">
        <w:trPr>
          <w:trHeight w:val="300"/>
        </w:trPr>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Xiaoya</w:t>
            </w:r>
          </w:p>
        </w:tc>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Yang</w:t>
            </w:r>
          </w:p>
        </w:tc>
        <w:tc>
          <w:tcPr>
            <w:tcW w:w="0" w:type="auto"/>
            <w:shd w:val="clear" w:color="auto" w:fill="auto"/>
            <w:noWrap/>
            <w:vAlign w:val="bottom"/>
            <w:hideMark/>
          </w:tcPr>
          <w:p w:rsidR="000E576E" w:rsidRPr="000E576E" w:rsidRDefault="000E576E" w:rsidP="00BD2FBA">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sz w:val="22"/>
                <w:szCs w:val="22"/>
                <w:lang w:val="en-US" w:eastAsia="zh-CN"/>
              </w:rPr>
            </w:pPr>
            <w:r w:rsidRPr="000E576E">
              <w:rPr>
                <w:rFonts w:asciiTheme="majorBidi" w:hAnsiTheme="majorBidi" w:cstheme="majorBidi"/>
                <w:sz w:val="22"/>
                <w:szCs w:val="22"/>
                <w:lang w:val="en-US" w:eastAsia="zh-CN"/>
              </w:rPr>
              <w:t>International Telecommunication Union</w:t>
            </w:r>
          </w:p>
        </w:tc>
      </w:tr>
    </w:tbl>
    <w:p w:rsidR="000E576E" w:rsidRPr="000E576E" w:rsidRDefault="000E576E" w:rsidP="000E576E">
      <w:pPr>
        <w:keepNext/>
        <w:keepLines/>
        <w:spacing w:before="240" w:after="120"/>
        <w:ind w:left="792" w:hanging="792"/>
        <w:jc w:val="both"/>
        <w:outlineLvl w:val="1"/>
        <w:rPr>
          <w:rFonts w:asciiTheme="majorBidi" w:hAnsiTheme="majorBidi" w:cstheme="majorBidi"/>
          <w:b/>
          <w:szCs w:val="24"/>
        </w:rPr>
      </w:pPr>
      <w:r w:rsidRPr="000E576E">
        <w:rPr>
          <w:rFonts w:asciiTheme="majorBidi" w:hAnsiTheme="majorBidi" w:cstheme="majorBidi"/>
          <w:b/>
          <w:szCs w:val="24"/>
        </w:rPr>
        <w:lastRenderedPageBreak/>
        <w:t>1.2</w:t>
      </w:r>
      <w:r w:rsidRPr="000E576E">
        <w:rPr>
          <w:rFonts w:asciiTheme="majorBidi" w:hAnsiTheme="majorBidi" w:cstheme="majorBidi"/>
          <w:b/>
          <w:szCs w:val="24"/>
        </w:rPr>
        <w:tab/>
        <w:t xml:space="preserve">Teleconferences &amp; F2F Meetings. </w:t>
      </w:r>
    </w:p>
    <w:p w:rsidR="000E576E" w:rsidRPr="000E576E" w:rsidRDefault="000E576E" w:rsidP="000E576E">
      <w:pPr>
        <w:keepNext/>
        <w:keepLines/>
        <w:spacing w:before="240" w:after="120"/>
        <w:ind w:left="792" w:hanging="792"/>
        <w:jc w:val="both"/>
        <w:outlineLvl w:val="1"/>
        <w:rPr>
          <w:rFonts w:asciiTheme="majorBidi" w:hAnsiTheme="majorBidi" w:cstheme="majorBidi"/>
          <w:szCs w:val="24"/>
        </w:rPr>
      </w:pPr>
      <w:r w:rsidRPr="000E576E">
        <w:rPr>
          <w:rFonts w:asciiTheme="majorBidi" w:hAnsiTheme="majorBidi" w:cstheme="majorBidi"/>
          <w:szCs w:val="24"/>
        </w:rPr>
        <w:t>Three (3) electronic and two (2) F2F meetings were held on:</w:t>
      </w:r>
    </w:p>
    <w:p w:rsidR="000E576E" w:rsidRPr="000E576E" w:rsidRDefault="000E576E" w:rsidP="000E576E">
      <w:pPr>
        <w:keepNext/>
        <w:keepLines/>
        <w:tabs>
          <w:tab w:val="clear" w:pos="794"/>
          <w:tab w:val="clear" w:pos="1191"/>
          <w:tab w:val="clear" w:pos="1588"/>
          <w:tab w:val="clear" w:pos="1985"/>
        </w:tabs>
        <w:spacing w:before="240" w:after="120"/>
        <w:jc w:val="both"/>
        <w:outlineLvl w:val="1"/>
        <w:rPr>
          <w:rFonts w:asciiTheme="majorBidi" w:hAnsiTheme="majorBidi" w:cstheme="majorBidi"/>
          <w:b/>
          <w:szCs w:val="24"/>
        </w:rPr>
      </w:pPr>
      <w:r w:rsidRPr="000E576E">
        <w:rPr>
          <w:rFonts w:asciiTheme="majorBidi" w:hAnsiTheme="majorBidi" w:cstheme="majorBidi"/>
          <w:b/>
          <w:szCs w:val="24"/>
        </w:rPr>
        <w:t xml:space="preserve">Electronic meetings: </w:t>
      </w:r>
    </w:p>
    <w:tbl>
      <w:tblPr>
        <w:tblStyle w:val="TableGrid"/>
        <w:tblW w:w="10188" w:type="dxa"/>
        <w:tblLayout w:type="fixed"/>
        <w:tblLook w:val="04A0" w:firstRow="1" w:lastRow="0" w:firstColumn="1" w:lastColumn="0" w:noHBand="0" w:noVBand="1"/>
      </w:tblPr>
      <w:tblGrid>
        <w:gridCol w:w="1278"/>
        <w:gridCol w:w="5670"/>
        <w:gridCol w:w="3240"/>
      </w:tblGrid>
      <w:tr w:rsidR="000E576E" w:rsidRPr="000E576E" w:rsidTr="00BD2FBA">
        <w:tc>
          <w:tcPr>
            <w:tcW w:w="1278" w:type="dxa"/>
          </w:tcPr>
          <w:p w:rsidR="000E576E" w:rsidRPr="000E576E" w:rsidRDefault="000E576E" w:rsidP="00BD2FBA">
            <w:pPr>
              <w:jc w:val="both"/>
              <w:rPr>
                <w:rFonts w:asciiTheme="majorBidi" w:hAnsiTheme="majorBidi" w:cstheme="majorBidi"/>
                <w:b/>
                <w:szCs w:val="24"/>
              </w:rPr>
            </w:pPr>
            <w:r w:rsidRPr="000E576E">
              <w:rPr>
                <w:rFonts w:asciiTheme="majorBidi" w:hAnsiTheme="majorBidi" w:cstheme="majorBidi"/>
                <w:b/>
                <w:szCs w:val="24"/>
              </w:rPr>
              <w:t>Date/2014</w:t>
            </w:r>
          </w:p>
        </w:tc>
        <w:tc>
          <w:tcPr>
            <w:tcW w:w="5670" w:type="dxa"/>
          </w:tcPr>
          <w:p w:rsidR="000E576E" w:rsidRPr="000E576E" w:rsidRDefault="000E576E" w:rsidP="00BD2FBA">
            <w:pPr>
              <w:jc w:val="both"/>
              <w:rPr>
                <w:rFonts w:asciiTheme="majorBidi" w:hAnsiTheme="majorBidi" w:cstheme="majorBidi"/>
                <w:b/>
                <w:szCs w:val="24"/>
              </w:rPr>
            </w:pPr>
            <w:r w:rsidRPr="000E576E">
              <w:rPr>
                <w:rFonts w:asciiTheme="majorBidi" w:hAnsiTheme="majorBidi" w:cstheme="majorBidi"/>
                <w:b/>
                <w:szCs w:val="24"/>
              </w:rPr>
              <w:t>Participants</w:t>
            </w:r>
          </w:p>
        </w:tc>
        <w:tc>
          <w:tcPr>
            <w:tcW w:w="3240" w:type="dxa"/>
          </w:tcPr>
          <w:p w:rsidR="000E576E" w:rsidRPr="000E576E" w:rsidRDefault="000E576E" w:rsidP="00BD2FBA">
            <w:pPr>
              <w:jc w:val="both"/>
              <w:rPr>
                <w:rFonts w:asciiTheme="majorBidi" w:hAnsiTheme="majorBidi" w:cstheme="majorBidi"/>
                <w:b/>
                <w:szCs w:val="24"/>
              </w:rPr>
            </w:pPr>
            <w:r w:rsidRPr="000E576E">
              <w:rPr>
                <w:rFonts w:asciiTheme="majorBidi" w:hAnsiTheme="majorBidi" w:cstheme="majorBidi"/>
                <w:b/>
                <w:szCs w:val="24"/>
              </w:rPr>
              <w:t>Notes and Meeting reports</w:t>
            </w:r>
          </w:p>
        </w:tc>
      </w:tr>
      <w:tr w:rsidR="000E576E" w:rsidRPr="000E576E" w:rsidTr="00BD2FBA">
        <w:tc>
          <w:tcPr>
            <w:tcW w:w="1278" w:type="dxa"/>
          </w:tcPr>
          <w:p w:rsidR="000E576E" w:rsidRPr="000E576E" w:rsidRDefault="000E576E" w:rsidP="00BD2FBA">
            <w:pPr>
              <w:jc w:val="both"/>
              <w:rPr>
                <w:rFonts w:asciiTheme="majorBidi" w:hAnsiTheme="majorBidi" w:cstheme="majorBidi"/>
                <w:szCs w:val="24"/>
              </w:rPr>
            </w:pPr>
            <w:r w:rsidRPr="000E576E">
              <w:rPr>
                <w:rFonts w:asciiTheme="majorBidi" w:hAnsiTheme="majorBidi" w:cstheme="majorBidi"/>
                <w:szCs w:val="24"/>
              </w:rPr>
              <w:t>10</w:t>
            </w:r>
            <w:r w:rsidRPr="000E576E">
              <w:rPr>
                <w:rFonts w:asciiTheme="majorBidi" w:hAnsiTheme="majorBidi" w:cstheme="majorBidi"/>
                <w:szCs w:val="24"/>
                <w:vertAlign w:val="superscript"/>
              </w:rPr>
              <w:t>th</w:t>
            </w:r>
            <w:r w:rsidRPr="000E576E">
              <w:rPr>
                <w:rFonts w:asciiTheme="majorBidi" w:hAnsiTheme="majorBidi" w:cstheme="majorBidi"/>
                <w:szCs w:val="24"/>
              </w:rPr>
              <w:t xml:space="preserve"> April, </w:t>
            </w:r>
          </w:p>
        </w:tc>
        <w:tc>
          <w:tcPr>
            <w:tcW w:w="5670" w:type="dxa"/>
          </w:tcPr>
          <w:p w:rsidR="000E576E" w:rsidRPr="000E576E" w:rsidRDefault="000E576E" w:rsidP="00BD2FBA">
            <w:pPr>
              <w:tabs>
                <w:tab w:val="clear" w:pos="794"/>
                <w:tab w:val="clear" w:pos="1191"/>
                <w:tab w:val="clear" w:pos="1588"/>
                <w:tab w:val="clear" w:pos="1985"/>
              </w:tabs>
              <w:overflowPunct/>
              <w:autoSpaceDE/>
              <w:autoSpaceDN/>
              <w:adjustRightInd/>
              <w:spacing w:before="0" w:after="200" w:line="276" w:lineRule="auto"/>
              <w:contextualSpacing/>
              <w:jc w:val="both"/>
              <w:textAlignment w:val="auto"/>
              <w:rPr>
                <w:rFonts w:asciiTheme="majorBidi" w:eastAsia="SimSun" w:hAnsiTheme="majorBidi" w:cstheme="majorBidi"/>
                <w:szCs w:val="24"/>
                <w:lang w:val="en-US" w:eastAsia="zh-CN"/>
              </w:rPr>
            </w:pPr>
            <w:r w:rsidRPr="000E576E">
              <w:rPr>
                <w:rFonts w:asciiTheme="majorBidi" w:eastAsia="SimSun" w:hAnsiTheme="majorBidi" w:cstheme="majorBidi"/>
                <w:szCs w:val="24"/>
                <w:lang w:val="en-US" w:eastAsia="zh-CN"/>
              </w:rPr>
              <w:t xml:space="preserve">Isaac Boateng (Ghana, vice-chairman of SG11); Buty Gilbert (Alcatel-Lucent), Daigele Vladimir (BDT), K.Y. Hong (Cisco), Mizuno Kaoru (TSB), Sebastien Jobert (Iometrix), </w:t>
            </w:r>
            <w:r w:rsidRPr="000E576E">
              <w:rPr>
                <w:rFonts w:asciiTheme="majorBidi" w:eastAsia="SimSun" w:hAnsiTheme="majorBidi" w:cstheme="majorBidi"/>
                <w:szCs w:val="24"/>
                <w:lang w:eastAsia="zh-CN"/>
              </w:rPr>
              <w:t>Magavero Bruno Carlo (Italia, Telecom Italia)</w:t>
            </w:r>
            <w:r w:rsidRPr="000E576E">
              <w:rPr>
                <w:rFonts w:asciiTheme="majorBidi" w:eastAsia="SimSun" w:hAnsiTheme="majorBidi" w:cstheme="majorBidi"/>
                <w:szCs w:val="24"/>
                <w:lang w:val="en-US" w:eastAsia="zh-CN"/>
              </w:rPr>
              <w:t xml:space="preserve">, </w:t>
            </w:r>
            <w:r w:rsidRPr="000E576E">
              <w:rPr>
                <w:rFonts w:asciiTheme="majorBidi" w:eastAsia="SimSun" w:hAnsiTheme="majorBidi" w:cstheme="majorBidi"/>
                <w:szCs w:val="24"/>
                <w:lang w:eastAsia="zh-CN"/>
              </w:rPr>
              <w:t>Denis Andreev (TSB)</w:t>
            </w:r>
            <w:r w:rsidRPr="000E576E">
              <w:rPr>
                <w:rFonts w:asciiTheme="majorBidi" w:eastAsia="SimSun" w:hAnsiTheme="majorBidi" w:cstheme="majorBidi"/>
                <w:szCs w:val="24"/>
                <w:lang w:val="en-US" w:eastAsia="zh-CN"/>
              </w:rPr>
              <w:t xml:space="preserve">, </w:t>
            </w:r>
            <w:r w:rsidRPr="000E576E">
              <w:rPr>
                <w:rFonts w:asciiTheme="majorBidi" w:eastAsia="SimSun" w:hAnsiTheme="majorBidi" w:cstheme="majorBidi"/>
                <w:szCs w:val="24"/>
                <w:lang w:eastAsia="zh-CN"/>
              </w:rPr>
              <w:t>Stefano Polidori (TSB)</w:t>
            </w:r>
            <w:r w:rsidRPr="000E576E">
              <w:rPr>
                <w:rFonts w:asciiTheme="majorBidi" w:eastAsia="SimSun" w:hAnsiTheme="majorBidi" w:cstheme="majorBidi"/>
                <w:szCs w:val="24"/>
                <w:lang w:val="en-US" w:eastAsia="zh-CN"/>
              </w:rPr>
              <w:t xml:space="preserve">, </w:t>
            </w:r>
            <w:r w:rsidRPr="000E576E">
              <w:rPr>
                <w:rFonts w:asciiTheme="majorBidi" w:eastAsia="SimSun" w:hAnsiTheme="majorBidi" w:cstheme="majorBidi"/>
                <w:szCs w:val="24"/>
                <w:lang w:eastAsia="zh-CN"/>
              </w:rPr>
              <w:t>Eva Ibarolla (Spain, Basco University)</w:t>
            </w:r>
            <w:r w:rsidRPr="000E576E">
              <w:rPr>
                <w:rFonts w:asciiTheme="majorBidi" w:eastAsia="SimSun" w:hAnsiTheme="majorBidi" w:cstheme="majorBidi"/>
                <w:szCs w:val="24"/>
                <w:lang w:val="en-US" w:eastAsia="zh-CN"/>
              </w:rPr>
              <w:t xml:space="preserve">, Masahito Kawamori (Japan, vice-chairman of SG16), </w:t>
            </w:r>
            <w:r w:rsidRPr="000E576E">
              <w:rPr>
                <w:rFonts w:asciiTheme="majorBidi" w:eastAsia="SimSun" w:hAnsiTheme="majorBidi" w:cstheme="majorBidi"/>
                <w:szCs w:val="24"/>
                <w:lang w:eastAsia="zh-CN"/>
              </w:rPr>
              <w:t>Hideo Himeno (Japan, NEC)</w:t>
            </w:r>
          </w:p>
          <w:p w:rsidR="000E576E" w:rsidRPr="000E576E" w:rsidRDefault="000E576E" w:rsidP="00BD2FBA">
            <w:pPr>
              <w:jc w:val="both"/>
              <w:rPr>
                <w:rFonts w:asciiTheme="majorBidi" w:hAnsiTheme="majorBidi" w:cstheme="majorBidi"/>
                <w:b/>
                <w:szCs w:val="24"/>
              </w:rPr>
            </w:pPr>
          </w:p>
        </w:tc>
        <w:tc>
          <w:tcPr>
            <w:tcW w:w="3240" w:type="dxa"/>
          </w:tcPr>
          <w:p w:rsidR="000E576E" w:rsidRPr="000E576E" w:rsidRDefault="00AA1CFD" w:rsidP="00BD2FBA">
            <w:pPr>
              <w:jc w:val="both"/>
              <w:rPr>
                <w:rFonts w:asciiTheme="majorBidi" w:hAnsiTheme="majorBidi" w:cstheme="majorBidi"/>
                <w:szCs w:val="24"/>
              </w:rPr>
            </w:pPr>
            <w:hyperlink r:id="rId25" w:history="1">
              <w:r w:rsidR="000E576E" w:rsidRPr="000E576E">
                <w:rPr>
                  <w:rStyle w:val="Hyperlink"/>
                  <w:rFonts w:asciiTheme="majorBidi" w:hAnsiTheme="majorBidi" w:cstheme="majorBidi"/>
                  <w:szCs w:val="24"/>
                </w:rPr>
                <w:t>WD4 Rev2</w:t>
              </w:r>
            </w:hyperlink>
          </w:p>
        </w:tc>
      </w:tr>
      <w:tr w:rsidR="000E576E" w:rsidRPr="000E576E" w:rsidTr="00BD2FBA">
        <w:tc>
          <w:tcPr>
            <w:tcW w:w="1278" w:type="dxa"/>
          </w:tcPr>
          <w:p w:rsidR="000E576E" w:rsidRPr="000E576E" w:rsidRDefault="000E576E" w:rsidP="00BD2FBA">
            <w:pPr>
              <w:jc w:val="both"/>
              <w:rPr>
                <w:rFonts w:asciiTheme="majorBidi" w:hAnsiTheme="majorBidi" w:cstheme="majorBidi"/>
                <w:szCs w:val="24"/>
              </w:rPr>
            </w:pPr>
            <w:r w:rsidRPr="000E576E">
              <w:rPr>
                <w:rFonts w:asciiTheme="majorBidi" w:hAnsiTheme="majorBidi" w:cstheme="majorBidi"/>
                <w:szCs w:val="24"/>
              </w:rPr>
              <w:t>15</w:t>
            </w:r>
            <w:r w:rsidRPr="000E576E">
              <w:rPr>
                <w:rFonts w:asciiTheme="majorBidi" w:hAnsiTheme="majorBidi" w:cstheme="majorBidi"/>
                <w:szCs w:val="24"/>
                <w:vertAlign w:val="superscript"/>
              </w:rPr>
              <w:t>th</w:t>
            </w:r>
            <w:r w:rsidRPr="000E576E">
              <w:rPr>
                <w:rFonts w:asciiTheme="majorBidi" w:hAnsiTheme="majorBidi" w:cstheme="majorBidi"/>
                <w:szCs w:val="24"/>
              </w:rPr>
              <w:t xml:space="preserve"> May</w:t>
            </w:r>
          </w:p>
        </w:tc>
        <w:tc>
          <w:tcPr>
            <w:tcW w:w="5670" w:type="dxa"/>
          </w:tcPr>
          <w:p w:rsidR="000E576E" w:rsidRPr="000E576E" w:rsidRDefault="000E576E" w:rsidP="00BD2FBA">
            <w:pPr>
              <w:jc w:val="both"/>
              <w:rPr>
                <w:rFonts w:asciiTheme="majorBidi" w:hAnsiTheme="majorBidi" w:cstheme="majorBidi"/>
                <w:szCs w:val="24"/>
                <w:lang w:val="en-US"/>
              </w:rPr>
            </w:pPr>
            <w:r w:rsidRPr="000E576E">
              <w:rPr>
                <w:rFonts w:asciiTheme="majorBidi" w:hAnsiTheme="majorBidi" w:cstheme="majorBidi"/>
                <w:szCs w:val="24"/>
                <w:lang w:val="en-US"/>
              </w:rPr>
              <w:t xml:space="preserve">Isaac Boateng (Ghana, vice-chairman of SG11); Buty Gilbert (Alcatel-Lucent), Daigele Vladimir (BDT), K.Y. Hong (Cisco), Mizuno Kaoru (TSB), Sebastien Jobert (Iometrix), </w:t>
            </w:r>
            <w:r w:rsidRPr="000E576E">
              <w:rPr>
                <w:rFonts w:asciiTheme="majorBidi" w:hAnsiTheme="majorBidi" w:cstheme="majorBidi"/>
                <w:szCs w:val="24"/>
              </w:rPr>
              <w:t>Magavero Bruno Carlo (Italia, Telecom Italia)</w:t>
            </w:r>
            <w:r w:rsidRPr="000E576E">
              <w:rPr>
                <w:rFonts w:asciiTheme="majorBidi" w:hAnsiTheme="majorBidi" w:cstheme="majorBidi"/>
                <w:szCs w:val="24"/>
                <w:lang w:val="en-US"/>
              </w:rPr>
              <w:t xml:space="preserve">, </w:t>
            </w:r>
            <w:r w:rsidRPr="000E576E">
              <w:rPr>
                <w:rFonts w:asciiTheme="majorBidi" w:hAnsiTheme="majorBidi" w:cstheme="majorBidi"/>
                <w:szCs w:val="24"/>
              </w:rPr>
              <w:t>Denis Andreev (TSB)</w:t>
            </w:r>
            <w:r w:rsidRPr="000E576E">
              <w:rPr>
                <w:rFonts w:asciiTheme="majorBidi" w:hAnsiTheme="majorBidi" w:cstheme="majorBidi"/>
                <w:szCs w:val="24"/>
                <w:lang w:val="en-US"/>
              </w:rPr>
              <w:t xml:space="preserve">, </w:t>
            </w:r>
            <w:r w:rsidRPr="000E576E">
              <w:rPr>
                <w:rFonts w:asciiTheme="majorBidi" w:hAnsiTheme="majorBidi" w:cstheme="majorBidi"/>
                <w:szCs w:val="24"/>
              </w:rPr>
              <w:t>Stefano Polidori (TSB)</w:t>
            </w:r>
            <w:r w:rsidRPr="000E576E">
              <w:rPr>
                <w:rFonts w:asciiTheme="majorBidi" w:hAnsiTheme="majorBidi" w:cstheme="majorBidi"/>
                <w:szCs w:val="24"/>
                <w:lang w:val="en-US"/>
              </w:rPr>
              <w:t xml:space="preserve">, </w:t>
            </w:r>
            <w:r w:rsidRPr="000E576E">
              <w:rPr>
                <w:rFonts w:asciiTheme="majorBidi" w:hAnsiTheme="majorBidi" w:cstheme="majorBidi"/>
                <w:szCs w:val="24"/>
              </w:rPr>
              <w:t>Eva Ibarolla (Spain, Basco University)</w:t>
            </w:r>
            <w:r w:rsidRPr="000E576E">
              <w:rPr>
                <w:rFonts w:asciiTheme="majorBidi" w:hAnsiTheme="majorBidi" w:cstheme="majorBidi"/>
                <w:szCs w:val="24"/>
                <w:lang w:val="en-US"/>
              </w:rPr>
              <w:t xml:space="preserve">, Masahito Kawamori (Japan, vice-chairman of SG16), </w:t>
            </w:r>
            <w:r w:rsidRPr="000E576E">
              <w:rPr>
                <w:rFonts w:asciiTheme="majorBidi" w:hAnsiTheme="majorBidi" w:cstheme="majorBidi"/>
                <w:szCs w:val="24"/>
              </w:rPr>
              <w:t>Hideo Himeno (Japan, NEC)</w:t>
            </w:r>
          </w:p>
          <w:p w:rsidR="000E576E" w:rsidRPr="000E576E" w:rsidRDefault="000E576E" w:rsidP="00BD2FBA">
            <w:pPr>
              <w:jc w:val="both"/>
              <w:rPr>
                <w:rFonts w:asciiTheme="majorBidi" w:hAnsiTheme="majorBidi" w:cstheme="majorBidi"/>
                <w:szCs w:val="24"/>
              </w:rPr>
            </w:pPr>
          </w:p>
        </w:tc>
        <w:tc>
          <w:tcPr>
            <w:tcW w:w="3240" w:type="dxa"/>
          </w:tcPr>
          <w:p w:rsidR="000E576E" w:rsidRPr="000E576E" w:rsidRDefault="00AA1CFD" w:rsidP="00BD2FBA">
            <w:pPr>
              <w:jc w:val="both"/>
              <w:rPr>
                <w:rFonts w:asciiTheme="majorBidi" w:hAnsiTheme="majorBidi" w:cstheme="majorBidi"/>
                <w:szCs w:val="24"/>
              </w:rPr>
            </w:pPr>
            <w:hyperlink r:id="rId26" w:history="1">
              <w:r w:rsidR="000E576E" w:rsidRPr="000E576E">
                <w:rPr>
                  <w:rStyle w:val="Hyperlink"/>
                  <w:rFonts w:asciiTheme="majorBidi" w:hAnsiTheme="majorBidi" w:cstheme="majorBidi"/>
                  <w:szCs w:val="24"/>
                </w:rPr>
                <w:t>WD6</w:t>
              </w:r>
            </w:hyperlink>
          </w:p>
        </w:tc>
      </w:tr>
      <w:tr w:rsidR="000E576E" w:rsidRPr="000E576E" w:rsidTr="00BD2FBA">
        <w:tc>
          <w:tcPr>
            <w:tcW w:w="1278" w:type="dxa"/>
          </w:tcPr>
          <w:p w:rsidR="000E576E" w:rsidRPr="000E576E" w:rsidRDefault="000E576E" w:rsidP="00BD2FBA">
            <w:pPr>
              <w:jc w:val="both"/>
              <w:rPr>
                <w:rFonts w:asciiTheme="majorBidi" w:hAnsiTheme="majorBidi" w:cstheme="majorBidi"/>
                <w:szCs w:val="24"/>
              </w:rPr>
            </w:pPr>
            <w:r w:rsidRPr="000E576E">
              <w:rPr>
                <w:rFonts w:asciiTheme="majorBidi" w:hAnsiTheme="majorBidi" w:cstheme="majorBidi"/>
                <w:szCs w:val="24"/>
              </w:rPr>
              <w:t>11</w:t>
            </w:r>
            <w:r w:rsidRPr="000E576E">
              <w:rPr>
                <w:rFonts w:asciiTheme="majorBidi" w:hAnsiTheme="majorBidi" w:cstheme="majorBidi"/>
                <w:szCs w:val="24"/>
                <w:vertAlign w:val="superscript"/>
              </w:rPr>
              <w:t>th</w:t>
            </w:r>
            <w:r w:rsidRPr="000E576E">
              <w:rPr>
                <w:rFonts w:asciiTheme="majorBidi" w:hAnsiTheme="majorBidi" w:cstheme="majorBidi"/>
                <w:szCs w:val="24"/>
              </w:rPr>
              <w:t xml:space="preserve"> June </w:t>
            </w:r>
          </w:p>
        </w:tc>
        <w:tc>
          <w:tcPr>
            <w:tcW w:w="5670" w:type="dxa"/>
          </w:tcPr>
          <w:p w:rsidR="000E576E" w:rsidRPr="000E576E" w:rsidRDefault="000E576E" w:rsidP="00BD2FBA">
            <w:pPr>
              <w:jc w:val="both"/>
              <w:rPr>
                <w:rFonts w:asciiTheme="majorBidi" w:hAnsiTheme="majorBidi" w:cstheme="majorBidi"/>
                <w:szCs w:val="24"/>
                <w:lang w:val="en-US"/>
              </w:rPr>
            </w:pPr>
            <w:r w:rsidRPr="000E576E">
              <w:rPr>
                <w:rFonts w:asciiTheme="majorBidi" w:hAnsiTheme="majorBidi" w:cstheme="majorBidi"/>
                <w:szCs w:val="24"/>
              </w:rPr>
              <w:t>Isaac Boateng (Convener of CG; Ghana), Gilbert Buti (Alcatel Lucent), KY Hong (Cisco), Eva Ibarrola (University Spain), Sebastien Jobert (Iometrix), Kaoru Kenyoshi (Nec, Japan), Martin Brand (Austria Telecom), Janusz Pieczerak (Orange Polska), Chris Agius (IECEE), Alexey Borodin (Rostelecom, Russia), Michael Kirwan (Continua Health Alliance), Kevin Belson (ILAC), Xiaoya Yang (TSB), Denis Andreev (TSB), Stefano Polidori (TSB)</w:t>
            </w:r>
          </w:p>
        </w:tc>
        <w:tc>
          <w:tcPr>
            <w:tcW w:w="3240" w:type="dxa"/>
          </w:tcPr>
          <w:p w:rsidR="000E576E" w:rsidRPr="000E576E" w:rsidRDefault="00AA1CFD" w:rsidP="00BD2FBA">
            <w:pPr>
              <w:jc w:val="both"/>
              <w:rPr>
                <w:rFonts w:asciiTheme="majorBidi" w:hAnsiTheme="majorBidi" w:cstheme="majorBidi"/>
                <w:szCs w:val="24"/>
              </w:rPr>
            </w:pPr>
            <w:hyperlink r:id="rId27" w:history="1">
              <w:r w:rsidR="000E576E" w:rsidRPr="000E576E">
                <w:rPr>
                  <w:rStyle w:val="Hyperlink"/>
                  <w:rFonts w:asciiTheme="majorBidi" w:hAnsiTheme="majorBidi" w:cstheme="majorBidi"/>
                  <w:szCs w:val="24"/>
                </w:rPr>
                <w:t>WD12</w:t>
              </w:r>
            </w:hyperlink>
          </w:p>
        </w:tc>
      </w:tr>
      <w:tr w:rsidR="000E576E" w:rsidRPr="000E576E" w:rsidTr="00BD2FBA">
        <w:tc>
          <w:tcPr>
            <w:tcW w:w="1278" w:type="dxa"/>
          </w:tcPr>
          <w:p w:rsidR="000E576E" w:rsidRPr="000E576E" w:rsidRDefault="000E576E" w:rsidP="00BD2FBA">
            <w:pPr>
              <w:jc w:val="both"/>
              <w:rPr>
                <w:rFonts w:asciiTheme="majorBidi" w:hAnsiTheme="majorBidi" w:cstheme="majorBidi"/>
                <w:szCs w:val="24"/>
              </w:rPr>
            </w:pPr>
            <w:r w:rsidRPr="000E576E">
              <w:rPr>
                <w:rFonts w:asciiTheme="majorBidi" w:hAnsiTheme="majorBidi" w:cstheme="majorBidi"/>
                <w:szCs w:val="24"/>
              </w:rPr>
              <w:t>2</w:t>
            </w:r>
            <w:r w:rsidRPr="000E576E">
              <w:rPr>
                <w:rFonts w:asciiTheme="majorBidi" w:hAnsiTheme="majorBidi" w:cstheme="majorBidi"/>
                <w:szCs w:val="24"/>
                <w:vertAlign w:val="superscript"/>
              </w:rPr>
              <w:t>nd</w:t>
            </w:r>
            <w:r w:rsidRPr="000E576E">
              <w:rPr>
                <w:rFonts w:asciiTheme="majorBidi" w:hAnsiTheme="majorBidi" w:cstheme="majorBidi"/>
                <w:szCs w:val="24"/>
              </w:rPr>
              <w:t xml:space="preserve"> July</w:t>
            </w:r>
          </w:p>
        </w:tc>
        <w:tc>
          <w:tcPr>
            <w:tcW w:w="5670" w:type="dxa"/>
          </w:tcPr>
          <w:p w:rsidR="000E576E" w:rsidRPr="000E576E" w:rsidRDefault="000E576E" w:rsidP="00BD2FBA">
            <w:pPr>
              <w:jc w:val="both"/>
              <w:rPr>
                <w:rFonts w:asciiTheme="majorBidi" w:hAnsiTheme="majorBidi" w:cstheme="majorBidi"/>
                <w:szCs w:val="24"/>
              </w:rPr>
            </w:pPr>
            <w:r w:rsidRPr="000E576E">
              <w:rPr>
                <w:rFonts w:asciiTheme="majorBidi" w:hAnsiTheme="majorBidi" w:cstheme="majorBidi"/>
                <w:szCs w:val="24"/>
              </w:rPr>
              <w:t xml:space="preserve">Isaac Boateng (Convener of CG; Ghana), Gilbert Buti (Alcatel Lucent), KY Hong (Cisco), Sebastien Jobert (Iometrix), Kevin Belson (ILAC), </w:t>
            </w:r>
            <w:r w:rsidRPr="000E576E">
              <w:rPr>
                <w:rFonts w:asciiTheme="majorBidi" w:hAnsiTheme="majorBidi" w:cstheme="majorBidi"/>
                <w:szCs w:val="24"/>
                <w:lang w:val="en-US"/>
              </w:rPr>
              <w:t xml:space="preserve">Daigele Vladimir (BDT), </w:t>
            </w:r>
            <w:r w:rsidRPr="000E576E">
              <w:rPr>
                <w:rFonts w:asciiTheme="majorBidi" w:hAnsiTheme="majorBidi" w:cstheme="majorBidi"/>
                <w:szCs w:val="24"/>
              </w:rPr>
              <w:t>Xiaoya Yang (TSB), Denis Andreev (TSB), Stefano Polidori (TSB)</w:t>
            </w:r>
          </w:p>
        </w:tc>
        <w:tc>
          <w:tcPr>
            <w:tcW w:w="3240" w:type="dxa"/>
          </w:tcPr>
          <w:p w:rsidR="000E576E" w:rsidRPr="000E576E" w:rsidRDefault="000E576E" w:rsidP="00BD2FBA">
            <w:pPr>
              <w:jc w:val="both"/>
              <w:rPr>
                <w:rFonts w:asciiTheme="majorBidi" w:hAnsiTheme="majorBidi" w:cstheme="majorBidi"/>
                <w:szCs w:val="24"/>
              </w:rPr>
            </w:pPr>
            <w:r w:rsidRPr="000E576E">
              <w:rPr>
                <w:rFonts w:asciiTheme="majorBidi" w:hAnsiTheme="majorBidi" w:cstheme="majorBidi"/>
                <w:szCs w:val="24"/>
              </w:rPr>
              <w:t>WD14</w:t>
            </w:r>
          </w:p>
        </w:tc>
      </w:tr>
    </w:tbl>
    <w:p w:rsidR="000E576E" w:rsidRPr="000E576E" w:rsidRDefault="000E576E" w:rsidP="000E576E">
      <w:pPr>
        <w:keepNext/>
        <w:keepLines/>
        <w:spacing w:before="240"/>
        <w:ind w:left="794" w:hanging="794"/>
        <w:jc w:val="both"/>
        <w:outlineLvl w:val="1"/>
        <w:rPr>
          <w:rFonts w:asciiTheme="majorBidi" w:hAnsiTheme="majorBidi" w:cstheme="majorBidi"/>
          <w:b/>
          <w:szCs w:val="24"/>
        </w:rPr>
      </w:pPr>
    </w:p>
    <w:p w:rsidR="000E576E" w:rsidRPr="000E576E" w:rsidRDefault="000E576E" w:rsidP="000E576E">
      <w:pPr>
        <w:keepNext/>
        <w:keepLines/>
        <w:spacing w:before="240"/>
        <w:ind w:left="794" w:hanging="794"/>
        <w:jc w:val="both"/>
        <w:outlineLvl w:val="1"/>
        <w:rPr>
          <w:rFonts w:asciiTheme="majorBidi" w:hAnsiTheme="majorBidi" w:cstheme="majorBidi"/>
          <w:b/>
          <w:szCs w:val="24"/>
        </w:rPr>
      </w:pPr>
      <w:r w:rsidRPr="000E576E">
        <w:rPr>
          <w:rFonts w:asciiTheme="majorBidi" w:hAnsiTheme="majorBidi" w:cstheme="majorBidi"/>
          <w:b/>
          <w:szCs w:val="24"/>
        </w:rPr>
        <w:t>F2F meetings</w:t>
      </w:r>
    </w:p>
    <w:tbl>
      <w:tblPr>
        <w:tblStyle w:val="TableGrid"/>
        <w:tblW w:w="10188" w:type="dxa"/>
        <w:tblLayout w:type="fixed"/>
        <w:tblLook w:val="04A0" w:firstRow="1" w:lastRow="0" w:firstColumn="1" w:lastColumn="0" w:noHBand="0" w:noVBand="1"/>
      </w:tblPr>
      <w:tblGrid>
        <w:gridCol w:w="1278"/>
        <w:gridCol w:w="5670"/>
        <w:gridCol w:w="3240"/>
      </w:tblGrid>
      <w:tr w:rsidR="000E576E" w:rsidRPr="000E576E" w:rsidTr="00BD2FBA">
        <w:tc>
          <w:tcPr>
            <w:tcW w:w="1278" w:type="dxa"/>
          </w:tcPr>
          <w:p w:rsidR="000E576E" w:rsidRPr="000E576E" w:rsidRDefault="000E576E" w:rsidP="00BD2FBA">
            <w:pPr>
              <w:jc w:val="both"/>
              <w:rPr>
                <w:rFonts w:asciiTheme="majorBidi" w:hAnsiTheme="majorBidi" w:cstheme="majorBidi"/>
                <w:b/>
                <w:szCs w:val="24"/>
              </w:rPr>
            </w:pPr>
            <w:r w:rsidRPr="000E576E">
              <w:rPr>
                <w:rFonts w:asciiTheme="majorBidi" w:hAnsiTheme="majorBidi" w:cstheme="majorBidi"/>
                <w:b/>
                <w:szCs w:val="24"/>
              </w:rPr>
              <w:t>Date/2014</w:t>
            </w:r>
          </w:p>
        </w:tc>
        <w:tc>
          <w:tcPr>
            <w:tcW w:w="5670" w:type="dxa"/>
          </w:tcPr>
          <w:p w:rsidR="000E576E" w:rsidRPr="000E576E" w:rsidRDefault="000E576E" w:rsidP="00BD2FBA">
            <w:pPr>
              <w:jc w:val="both"/>
              <w:rPr>
                <w:rFonts w:asciiTheme="majorBidi" w:hAnsiTheme="majorBidi" w:cstheme="majorBidi"/>
                <w:b/>
                <w:szCs w:val="24"/>
              </w:rPr>
            </w:pPr>
            <w:r w:rsidRPr="000E576E">
              <w:rPr>
                <w:rFonts w:asciiTheme="majorBidi" w:hAnsiTheme="majorBidi" w:cstheme="majorBidi"/>
                <w:b/>
                <w:szCs w:val="24"/>
              </w:rPr>
              <w:t>Participants</w:t>
            </w:r>
          </w:p>
        </w:tc>
        <w:tc>
          <w:tcPr>
            <w:tcW w:w="3240" w:type="dxa"/>
          </w:tcPr>
          <w:p w:rsidR="000E576E" w:rsidRPr="000E576E" w:rsidRDefault="000E576E" w:rsidP="00BD2FBA">
            <w:pPr>
              <w:jc w:val="both"/>
              <w:rPr>
                <w:rFonts w:asciiTheme="majorBidi" w:hAnsiTheme="majorBidi" w:cstheme="majorBidi"/>
                <w:b/>
                <w:szCs w:val="24"/>
              </w:rPr>
            </w:pPr>
            <w:r w:rsidRPr="000E576E">
              <w:rPr>
                <w:rFonts w:asciiTheme="majorBidi" w:hAnsiTheme="majorBidi" w:cstheme="majorBidi"/>
                <w:b/>
                <w:szCs w:val="24"/>
              </w:rPr>
              <w:t>Notes and Meeting reports</w:t>
            </w:r>
          </w:p>
        </w:tc>
      </w:tr>
      <w:tr w:rsidR="000E576E" w:rsidRPr="000E576E" w:rsidTr="00BD2FBA">
        <w:tc>
          <w:tcPr>
            <w:tcW w:w="1278" w:type="dxa"/>
          </w:tcPr>
          <w:p w:rsidR="000E576E" w:rsidRPr="000E576E" w:rsidRDefault="000E576E" w:rsidP="00BD2FBA">
            <w:pPr>
              <w:jc w:val="both"/>
              <w:rPr>
                <w:rFonts w:asciiTheme="majorBidi" w:hAnsiTheme="majorBidi" w:cstheme="majorBidi"/>
                <w:szCs w:val="24"/>
              </w:rPr>
            </w:pPr>
            <w:r w:rsidRPr="000E576E">
              <w:rPr>
                <w:rFonts w:asciiTheme="majorBidi" w:hAnsiTheme="majorBidi" w:cstheme="majorBidi"/>
                <w:szCs w:val="24"/>
              </w:rPr>
              <w:t>20 February</w:t>
            </w:r>
          </w:p>
        </w:tc>
        <w:tc>
          <w:tcPr>
            <w:tcW w:w="5670" w:type="dxa"/>
          </w:tcPr>
          <w:p w:rsidR="000E576E" w:rsidRPr="000E576E" w:rsidRDefault="000E576E" w:rsidP="00BD2FBA">
            <w:pPr>
              <w:tabs>
                <w:tab w:val="clear" w:pos="794"/>
                <w:tab w:val="clear" w:pos="1191"/>
                <w:tab w:val="clear" w:pos="1588"/>
                <w:tab w:val="clear" w:pos="1985"/>
              </w:tabs>
              <w:overflowPunct/>
              <w:autoSpaceDE/>
              <w:autoSpaceDN/>
              <w:adjustRightInd/>
              <w:spacing w:before="0" w:after="200" w:line="276" w:lineRule="auto"/>
              <w:contextualSpacing/>
              <w:jc w:val="both"/>
              <w:textAlignment w:val="auto"/>
              <w:rPr>
                <w:rFonts w:asciiTheme="majorBidi" w:eastAsia="SimSun" w:hAnsiTheme="majorBidi" w:cstheme="majorBidi"/>
                <w:szCs w:val="24"/>
                <w:lang w:val="en-US" w:eastAsia="zh-CN"/>
              </w:rPr>
            </w:pPr>
            <w:r w:rsidRPr="000E576E">
              <w:rPr>
                <w:rFonts w:asciiTheme="majorBidi" w:eastAsia="SimSun" w:hAnsiTheme="majorBidi" w:cstheme="majorBidi"/>
                <w:szCs w:val="24"/>
                <w:lang w:val="en-US" w:eastAsia="zh-CN"/>
              </w:rPr>
              <w:t xml:space="preserve">Isaac Boateng (Ghana, vice-chairman of SG11); Buty Gilbert (Alcatel-Lucent), Daigele Vladimir (BDT), K.Y. Hong (Cisco), Mizuno Kaoru (TSB), Sebastien Jobert </w:t>
            </w:r>
            <w:r w:rsidRPr="000E576E">
              <w:rPr>
                <w:rFonts w:asciiTheme="majorBidi" w:eastAsia="SimSun" w:hAnsiTheme="majorBidi" w:cstheme="majorBidi"/>
                <w:szCs w:val="24"/>
                <w:lang w:val="en-US" w:eastAsia="zh-CN"/>
              </w:rPr>
              <w:lastRenderedPageBreak/>
              <w:t xml:space="preserve">(Iometrix), </w:t>
            </w:r>
            <w:r w:rsidRPr="000E576E">
              <w:rPr>
                <w:rFonts w:asciiTheme="majorBidi" w:eastAsia="SimSun" w:hAnsiTheme="majorBidi" w:cstheme="majorBidi"/>
                <w:szCs w:val="24"/>
                <w:lang w:eastAsia="zh-CN"/>
              </w:rPr>
              <w:t>Denis Andreev (TSB)</w:t>
            </w:r>
            <w:r w:rsidRPr="000E576E">
              <w:rPr>
                <w:rFonts w:asciiTheme="majorBidi" w:eastAsia="SimSun" w:hAnsiTheme="majorBidi" w:cstheme="majorBidi"/>
                <w:szCs w:val="24"/>
                <w:lang w:val="en-US" w:eastAsia="zh-CN"/>
              </w:rPr>
              <w:t xml:space="preserve">, </w:t>
            </w:r>
            <w:r w:rsidRPr="000E576E">
              <w:rPr>
                <w:rFonts w:asciiTheme="majorBidi" w:eastAsia="SimSun" w:hAnsiTheme="majorBidi" w:cstheme="majorBidi"/>
                <w:szCs w:val="24"/>
                <w:lang w:eastAsia="zh-CN"/>
              </w:rPr>
              <w:t>Stefano Polidori (TSB)</w:t>
            </w:r>
            <w:r w:rsidRPr="000E576E">
              <w:rPr>
                <w:rFonts w:asciiTheme="majorBidi" w:eastAsia="SimSun" w:hAnsiTheme="majorBidi" w:cstheme="majorBidi"/>
                <w:szCs w:val="24"/>
                <w:lang w:val="en-US" w:eastAsia="zh-CN"/>
              </w:rPr>
              <w:t xml:space="preserve">, </w:t>
            </w:r>
            <w:r w:rsidRPr="000E576E">
              <w:rPr>
                <w:rFonts w:asciiTheme="majorBidi" w:eastAsia="SimSun" w:hAnsiTheme="majorBidi" w:cstheme="majorBidi"/>
                <w:szCs w:val="24"/>
                <w:lang w:eastAsia="zh-CN"/>
              </w:rPr>
              <w:t>Eva Ibarolla (Spain, Basco University)</w:t>
            </w:r>
            <w:r w:rsidRPr="000E576E">
              <w:rPr>
                <w:rFonts w:asciiTheme="majorBidi" w:eastAsia="SimSun" w:hAnsiTheme="majorBidi" w:cstheme="majorBidi"/>
                <w:szCs w:val="24"/>
                <w:lang w:val="en-US" w:eastAsia="zh-CN"/>
              </w:rPr>
              <w:t xml:space="preserve">, Masahito Kawamori (Japan, vice-chairman of SG16), </w:t>
            </w:r>
            <w:r w:rsidRPr="000E576E">
              <w:rPr>
                <w:rFonts w:asciiTheme="majorBidi" w:eastAsia="SimSun" w:hAnsiTheme="majorBidi" w:cstheme="majorBidi"/>
                <w:szCs w:val="24"/>
                <w:lang w:eastAsia="zh-CN"/>
              </w:rPr>
              <w:t>Hideo Himeno (Japan, NEC)</w:t>
            </w:r>
          </w:p>
          <w:p w:rsidR="000E576E" w:rsidRPr="000E576E" w:rsidRDefault="000E576E" w:rsidP="00BD2FBA">
            <w:pPr>
              <w:jc w:val="both"/>
              <w:rPr>
                <w:rFonts w:asciiTheme="majorBidi" w:hAnsiTheme="majorBidi" w:cstheme="majorBidi"/>
                <w:b/>
                <w:szCs w:val="24"/>
              </w:rPr>
            </w:pPr>
          </w:p>
        </w:tc>
        <w:tc>
          <w:tcPr>
            <w:tcW w:w="3240" w:type="dxa"/>
          </w:tcPr>
          <w:p w:rsidR="000E576E" w:rsidRPr="000E576E" w:rsidRDefault="00AA1CFD" w:rsidP="00BD2FBA">
            <w:pPr>
              <w:jc w:val="both"/>
              <w:rPr>
                <w:rFonts w:asciiTheme="majorBidi" w:hAnsiTheme="majorBidi" w:cstheme="majorBidi"/>
                <w:szCs w:val="24"/>
              </w:rPr>
            </w:pPr>
            <w:hyperlink r:id="rId28" w:history="1">
              <w:r w:rsidR="000E576E" w:rsidRPr="000E576E">
                <w:rPr>
                  <w:rStyle w:val="Hyperlink"/>
                  <w:rFonts w:asciiTheme="majorBidi" w:hAnsiTheme="majorBidi" w:cstheme="majorBidi"/>
                  <w:szCs w:val="24"/>
                </w:rPr>
                <w:t>TD 370 (GEN/11)</w:t>
              </w:r>
            </w:hyperlink>
          </w:p>
        </w:tc>
      </w:tr>
      <w:tr w:rsidR="000E576E" w:rsidRPr="000E576E" w:rsidTr="00BD2FBA">
        <w:tc>
          <w:tcPr>
            <w:tcW w:w="1278" w:type="dxa"/>
          </w:tcPr>
          <w:p w:rsidR="000E576E" w:rsidRPr="000E576E" w:rsidRDefault="000E576E" w:rsidP="00BD2FBA">
            <w:pPr>
              <w:rPr>
                <w:rFonts w:asciiTheme="majorBidi" w:hAnsiTheme="majorBidi" w:cstheme="majorBidi"/>
                <w:szCs w:val="24"/>
              </w:rPr>
            </w:pPr>
            <w:r w:rsidRPr="000E576E">
              <w:rPr>
                <w:rFonts w:asciiTheme="majorBidi" w:hAnsiTheme="majorBidi" w:cstheme="majorBidi"/>
                <w:szCs w:val="24"/>
              </w:rPr>
              <w:lastRenderedPageBreak/>
              <w:t>10 July (Session4)</w:t>
            </w:r>
          </w:p>
        </w:tc>
        <w:tc>
          <w:tcPr>
            <w:tcW w:w="5670" w:type="dxa"/>
          </w:tcPr>
          <w:p w:rsidR="000E576E" w:rsidRPr="000E576E" w:rsidRDefault="000E576E" w:rsidP="00BD2FBA">
            <w:pPr>
              <w:jc w:val="both"/>
              <w:rPr>
                <w:rFonts w:asciiTheme="majorBidi" w:hAnsiTheme="majorBidi" w:cstheme="majorBidi"/>
                <w:szCs w:val="24"/>
                <w:lang w:val="en-US"/>
              </w:rPr>
            </w:pPr>
            <w:r w:rsidRPr="000E576E">
              <w:rPr>
                <w:rFonts w:asciiTheme="majorBidi" w:hAnsiTheme="majorBidi" w:cstheme="majorBidi"/>
                <w:szCs w:val="24"/>
                <w:lang w:val="en-US"/>
              </w:rPr>
              <w:t>Will be included</w:t>
            </w:r>
          </w:p>
        </w:tc>
        <w:tc>
          <w:tcPr>
            <w:tcW w:w="3240" w:type="dxa"/>
          </w:tcPr>
          <w:p w:rsidR="000E576E" w:rsidRPr="000E576E" w:rsidRDefault="000E576E" w:rsidP="00BD2FBA">
            <w:pPr>
              <w:jc w:val="both"/>
              <w:rPr>
                <w:rFonts w:asciiTheme="majorBidi" w:hAnsiTheme="majorBidi" w:cstheme="majorBidi"/>
                <w:szCs w:val="24"/>
              </w:rPr>
            </w:pPr>
            <w:r w:rsidRPr="000E576E">
              <w:rPr>
                <w:rFonts w:asciiTheme="majorBidi" w:hAnsiTheme="majorBidi" w:cstheme="majorBidi"/>
                <w:szCs w:val="24"/>
              </w:rPr>
              <w:t xml:space="preserve">To be provided </w:t>
            </w:r>
          </w:p>
        </w:tc>
      </w:tr>
    </w:tbl>
    <w:p w:rsidR="000E576E" w:rsidRPr="000E576E" w:rsidRDefault="000E576E" w:rsidP="000E576E">
      <w:pPr>
        <w:keepNext/>
        <w:keepLines/>
        <w:spacing w:before="240"/>
        <w:ind w:left="794" w:hanging="794"/>
        <w:jc w:val="both"/>
        <w:outlineLvl w:val="1"/>
        <w:rPr>
          <w:rFonts w:asciiTheme="majorBidi" w:hAnsiTheme="majorBidi" w:cstheme="majorBidi"/>
          <w:b/>
          <w:szCs w:val="24"/>
        </w:rPr>
      </w:pPr>
      <w:r w:rsidRPr="000E576E">
        <w:rPr>
          <w:rFonts w:asciiTheme="majorBidi" w:hAnsiTheme="majorBidi" w:cstheme="majorBidi"/>
          <w:b/>
          <w:szCs w:val="24"/>
        </w:rPr>
        <w:t>1.3</w:t>
      </w:r>
      <w:r w:rsidRPr="000E576E">
        <w:rPr>
          <w:rFonts w:asciiTheme="majorBidi" w:hAnsiTheme="majorBidi" w:cstheme="majorBidi"/>
          <w:b/>
          <w:szCs w:val="24"/>
        </w:rPr>
        <w:tab/>
        <w:t>Informal FTP document archive</w:t>
      </w:r>
    </w:p>
    <w:p w:rsidR="000E576E" w:rsidRPr="000E576E" w:rsidRDefault="000E576E" w:rsidP="000E576E">
      <w:pPr>
        <w:snapToGrid w:val="0"/>
        <w:spacing w:after="240"/>
        <w:jc w:val="both"/>
        <w:rPr>
          <w:rFonts w:asciiTheme="majorBidi" w:hAnsiTheme="majorBidi" w:cstheme="majorBidi"/>
          <w:szCs w:val="24"/>
        </w:rPr>
      </w:pPr>
      <w:r w:rsidRPr="000E576E">
        <w:rPr>
          <w:rFonts w:asciiTheme="majorBidi" w:hAnsiTheme="majorBidi" w:cstheme="majorBidi"/>
          <w:szCs w:val="24"/>
        </w:rPr>
        <w:t>The following twenty seven (20) documents, plus eventual revisions, were placed in the FTP archive during this period including:</w:t>
      </w:r>
    </w:p>
    <w:tbl>
      <w:tblPr>
        <w:tblStyle w:val="TableGrid"/>
        <w:tblW w:w="0" w:type="auto"/>
        <w:tblLayout w:type="fixed"/>
        <w:tblLook w:val="04A0" w:firstRow="1" w:lastRow="0" w:firstColumn="1" w:lastColumn="0" w:noHBand="0" w:noVBand="1"/>
      </w:tblPr>
      <w:tblGrid>
        <w:gridCol w:w="534"/>
        <w:gridCol w:w="1573"/>
        <w:gridCol w:w="2286"/>
        <w:gridCol w:w="5133"/>
      </w:tblGrid>
      <w:tr w:rsidR="000E576E" w:rsidRPr="000E576E" w:rsidTr="00BD2FBA">
        <w:tc>
          <w:tcPr>
            <w:tcW w:w="534" w:type="dxa"/>
          </w:tcPr>
          <w:p w:rsidR="000E576E" w:rsidRPr="000E576E" w:rsidRDefault="000E576E" w:rsidP="00BD2FBA">
            <w:pPr>
              <w:jc w:val="both"/>
              <w:rPr>
                <w:rFonts w:asciiTheme="majorBidi" w:hAnsiTheme="majorBidi" w:cstheme="majorBidi"/>
                <w:sz w:val="22"/>
              </w:rPr>
            </w:pPr>
            <w:r w:rsidRPr="000E576E">
              <w:rPr>
                <w:rFonts w:asciiTheme="majorBidi" w:hAnsiTheme="majorBidi" w:cstheme="majorBidi"/>
                <w:sz w:val="22"/>
              </w:rPr>
              <w:t>#</w:t>
            </w:r>
          </w:p>
        </w:tc>
        <w:tc>
          <w:tcPr>
            <w:tcW w:w="1573" w:type="dxa"/>
          </w:tcPr>
          <w:p w:rsidR="000E576E" w:rsidRPr="000E576E" w:rsidRDefault="000E576E" w:rsidP="00BD2FBA">
            <w:pPr>
              <w:jc w:val="both"/>
              <w:rPr>
                <w:rFonts w:asciiTheme="majorBidi" w:hAnsiTheme="majorBidi" w:cstheme="majorBidi"/>
                <w:b/>
                <w:bCs/>
                <w:sz w:val="22"/>
              </w:rPr>
            </w:pPr>
            <w:r w:rsidRPr="000E576E">
              <w:rPr>
                <w:rFonts w:asciiTheme="majorBidi" w:hAnsiTheme="majorBidi" w:cstheme="majorBidi"/>
                <w:b/>
                <w:bCs/>
                <w:sz w:val="22"/>
              </w:rPr>
              <w:t>WD</w:t>
            </w:r>
          </w:p>
        </w:tc>
        <w:tc>
          <w:tcPr>
            <w:tcW w:w="2286" w:type="dxa"/>
          </w:tcPr>
          <w:p w:rsidR="000E576E" w:rsidRPr="000E576E" w:rsidRDefault="000E576E" w:rsidP="00BD2FBA">
            <w:pPr>
              <w:jc w:val="both"/>
              <w:rPr>
                <w:rFonts w:asciiTheme="majorBidi" w:hAnsiTheme="majorBidi" w:cstheme="majorBidi"/>
                <w:b/>
                <w:bCs/>
                <w:sz w:val="22"/>
              </w:rPr>
            </w:pPr>
            <w:r w:rsidRPr="000E576E">
              <w:rPr>
                <w:rFonts w:asciiTheme="majorBidi" w:hAnsiTheme="majorBidi" w:cstheme="majorBidi"/>
                <w:b/>
                <w:bCs/>
                <w:sz w:val="22"/>
              </w:rPr>
              <w:t>Source</w:t>
            </w:r>
          </w:p>
        </w:tc>
        <w:tc>
          <w:tcPr>
            <w:tcW w:w="5133" w:type="dxa"/>
          </w:tcPr>
          <w:p w:rsidR="000E576E" w:rsidRPr="000E576E" w:rsidRDefault="000E576E" w:rsidP="00BD2FBA">
            <w:pPr>
              <w:jc w:val="both"/>
              <w:rPr>
                <w:rFonts w:asciiTheme="majorBidi" w:hAnsiTheme="majorBidi" w:cstheme="majorBidi"/>
                <w:b/>
                <w:bCs/>
                <w:sz w:val="22"/>
              </w:rPr>
            </w:pPr>
            <w:r w:rsidRPr="000E576E">
              <w:rPr>
                <w:rFonts w:asciiTheme="majorBidi" w:hAnsiTheme="majorBidi" w:cstheme="majorBidi"/>
                <w:b/>
                <w:bCs/>
                <w:sz w:val="22"/>
              </w:rPr>
              <w:t>Title</w:t>
            </w:r>
          </w:p>
        </w:tc>
      </w:tr>
      <w:tr w:rsidR="000E576E" w:rsidRPr="000E576E" w:rsidTr="00BD2FBA">
        <w:tc>
          <w:tcPr>
            <w:tcW w:w="534" w:type="dxa"/>
          </w:tcPr>
          <w:p w:rsidR="000E576E" w:rsidRPr="000E576E" w:rsidRDefault="000E576E" w:rsidP="000E576E">
            <w:pPr>
              <w:pStyle w:val="ListParagraph"/>
              <w:numPr>
                <w:ilvl w:val="0"/>
                <w:numId w:val="35"/>
              </w:numPr>
              <w:spacing w:before="120" w:after="0" w:line="240" w:lineRule="auto"/>
              <w:ind w:left="425" w:hanging="425"/>
              <w:contextualSpacing w:val="0"/>
              <w:jc w:val="both"/>
              <w:rPr>
                <w:rFonts w:asciiTheme="majorBidi" w:hAnsiTheme="majorBidi" w:cstheme="majorBidi"/>
              </w:rPr>
            </w:pPr>
          </w:p>
        </w:tc>
        <w:tc>
          <w:tcPr>
            <w:tcW w:w="1573" w:type="dxa"/>
          </w:tcPr>
          <w:p w:rsidR="000E576E" w:rsidRPr="000E576E" w:rsidRDefault="00AA1CFD" w:rsidP="00BD2FBA">
            <w:pPr>
              <w:jc w:val="both"/>
              <w:rPr>
                <w:rFonts w:asciiTheme="majorBidi" w:hAnsiTheme="majorBidi" w:cstheme="majorBidi"/>
                <w:sz w:val="22"/>
              </w:rPr>
            </w:pPr>
            <w:hyperlink r:id="rId29" w:history="1">
              <w:r w:rsidR="000E576E" w:rsidRPr="000E576E">
                <w:rPr>
                  <w:rStyle w:val="Hyperlink"/>
                  <w:rFonts w:asciiTheme="majorBidi" w:hAnsiTheme="majorBidi" w:cstheme="majorBidi"/>
                  <w:sz w:val="22"/>
                </w:rPr>
                <w:t>C-97 (SG11)</w:t>
              </w:r>
            </w:hyperlink>
          </w:p>
        </w:tc>
        <w:tc>
          <w:tcPr>
            <w:tcW w:w="2286" w:type="dxa"/>
          </w:tcPr>
          <w:p w:rsidR="000E576E" w:rsidRPr="000E576E" w:rsidRDefault="000E576E" w:rsidP="00BD2FBA">
            <w:pPr>
              <w:jc w:val="both"/>
              <w:rPr>
                <w:rFonts w:asciiTheme="majorBidi" w:hAnsiTheme="majorBidi" w:cstheme="majorBidi"/>
                <w:sz w:val="22"/>
              </w:rPr>
            </w:pPr>
            <w:r w:rsidRPr="000E576E">
              <w:rPr>
                <w:rFonts w:asciiTheme="majorBidi" w:hAnsiTheme="majorBidi" w:cstheme="majorBidi"/>
                <w:sz w:val="22"/>
              </w:rPr>
              <w:t>Russia</w:t>
            </w:r>
          </w:p>
        </w:tc>
        <w:tc>
          <w:tcPr>
            <w:tcW w:w="5133" w:type="dxa"/>
          </w:tcPr>
          <w:p w:rsidR="000E576E" w:rsidRPr="000E576E" w:rsidRDefault="000E576E" w:rsidP="00BD2FBA">
            <w:pPr>
              <w:jc w:val="both"/>
              <w:rPr>
                <w:rFonts w:asciiTheme="majorBidi" w:hAnsiTheme="majorBidi" w:cstheme="majorBidi"/>
                <w:sz w:val="22"/>
              </w:rPr>
            </w:pPr>
            <w:r w:rsidRPr="000E576E">
              <w:rPr>
                <w:rFonts w:asciiTheme="majorBidi" w:hAnsiTheme="majorBidi" w:cstheme="majorBidi"/>
                <w:sz w:val="22"/>
              </w:rPr>
              <w:t>Proposal to establish an ITU recognition procedure of testing laboratories with competence in ITU-T Recommendations</w:t>
            </w:r>
          </w:p>
        </w:tc>
      </w:tr>
      <w:tr w:rsidR="000E576E" w:rsidRPr="000E576E" w:rsidTr="00BD2FBA">
        <w:tc>
          <w:tcPr>
            <w:tcW w:w="534" w:type="dxa"/>
          </w:tcPr>
          <w:p w:rsidR="000E576E" w:rsidRPr="000E576E" w:rsidRDefault="000E576E" w:rsidP="000E576E">
            <w:pPr>
              <w:pStyle w:val="ListParagraph"/>
              <w:numPr>
                <w:ilvl w:val="0"/>
                <w:numId w:val="35"/>
              </w:numPr>
              <w:spacing w:before="120" w:after="0" w:line="240" w:lineRule="auto"/>
              <w:ind w:left="425" w:hanging="425"/>
              <w:contextualSpacing w:val="0"/>
              <w:jc w:val="both"/>
              <w:rPr>
                <w:rFonts w:asciiTheme="majorBidi" w:hAnsiTheme="majorBidi" w:cstheme="majorBidi"/>
              </w:rPr>
            </w:pPr>
          </w:p>
        </w:tc>
        <w:tc>
          <w:tcPr>
            <w:tcW w:w="1573" w:type="dxa"/>
          </w:tcPr>
          <w:p w:rsidR="000E576E" w:rsidRPr="000E576E" w:rsidRDefault="00AA1CFD" w:rsidP="00BD2FBA">
            <w:pPr>
              <w:jc w:val="both"/>
              <w:rPr>
                <w:rFonts w:asciiTheme="majorBidi" w:hAnsiTheme="majorBidi" w:cstheme="majorBidi"/>
                <w:sz w:val="22"/>
              </w:rPr>
            </w:pPr>
            <w:hyperlink r:id="rId30" w:history="1">
              <w:r w:rsidR="000E576E" w:rsidRPr="000E576E">
                <w:rPr>
                  <w:rStyle w:val="Hyperlink"/>
                  <w:rFonts w:asciiTheme="majorBidi" w:hAnsiTheme="majorBidi" w:cstheme="majorBidi"/>
                  <w:sz w:val="22"/>
                </w:rPr>
                <w:t>C13/24</w:t>
              </w:r>
            </w:hyperlink>
            <w:r w:rsidR="000E576E" w:rsidRPr="000E576E">
              <w:rPr>
                <w:rStyle w:val="Hyperlink"/>
                <w:rFonts w:asciiTheme="majorBidi" w:hAnsiTheme="majorBidi" w:cstheme="majorBidi"/>
                <w:sz w:val="22"/>
              </w:rPr>
              <w:t xml:space="preserve"> </w:t>
            </w:r>
            <w:r w:rsidR="000E576E" w:rsidRPr="000E576E">
              <w:rPr>
                <w:rFonts w:asciiTheme="majorBidi" w:hAnsiTheme="majorBidi" w:cstheme="majorBidi"/>
                <w:sz w:val="22"/>
              </w:rPr>
              <w:t>Rev.1</w:t>
            </w:r>
          </w:p>
        </w:tc>
        <w:tc>
          <w:tcPr>
            <w:tcW w:w="2286" w:type="dxa"/>
          </w:tcPr>
          <w:p w:rsidR="000E576E" w:rsidRPr="000E576E" w:rsidRDefault="000E576E" w:rsidP="00BD2FBA">
            <w:pPr>
              <w:jc w:val="both"/>
              <w:rPr>
                <w:rFonts w:asciiTheme="majorBidi" w:hAnsiTheme="majorBidi" w:cstheme="majorBidi"/>
                <w:sz w:val="22"/>
              </w:rPr>
            </w:pPr>
            <w:r w:rsidRPr="000E576E">
              <w:rPr>
                <w:rFonts w:asciiTheme="majorBidi" w:hAnsiTheme="majorBidi" w:cstheme="majorBidi"/>
                <w:sz w:val="22"/>
              </w:rPr>
              <w:t>Council</w:t>
            </w:r>
          </w:p>
        </w:tc>
        <w:tc>
          <w:tcPr>
            <w:tcW w:w="5133" w:type="dxa"/>
          </w:tcPr>
          <w:p w:rsidR="000E576E" w:rsidRPr="000E576E" w:rsidRDefault="000E576E" w:rsidP="00BD2FBA">
            <w:pPr>
              <w:jc w:val="both"/>
              <w:rPr>
                <w:rFonts w:asciiTheme="majorBidi" w:hAnsiTheme="majorBidi" w:cstheme="majorBidi"/>
                <w:sz w:val="22"/>
              </w:rPr>
            </w:pPr>
            <w:r w:rsidRPr="000E576E">
              <w:rPr>
                <w:rFonts w:asciiTheme="majorBidi" w:hAnsiTheme="majorBidi" w:cstheme="majorBidi"/>
                <w:sz w:val="22"/>
                <w:lang w:val="en-US"/>
              </w:rPr>
              <w:t>Conformance and interoperability PROGRAMME</w:t>
            </w:r>
            <w:r w:rsidRPr="000E576E">
              <w:rPr>
                <w:rFonts w:asciiTheme="majorBidi" w:hAnsiTheme="majorBidi" w:cstheme="majorBidi"/>
                <w:sz w:val="22"/>
                <w:lang w:val="en-US"/>
              </w:rPr>
              <w:br/>
              <w:t>status reporT and ACtion PLan</w:t>
            </w:r>
          </w:p>
        </w:tc>
      </w:tr>
      <w:tr w:rsidR="000E576E" w:rsidRPr="000E576E" w:rsidTr="00BD2FBA">
        <w:tc>
          <w:tcPr>
            <w:tcW w:w="534" w:type="dxa"/>
          </w:tcPr>
          <w:p w:rsidR="000E576E" w:rsidRPr="000E576E" w:rsidRDefault="000E576E" w:rsidP="000E576E">
            <w:pPr>
              <w:pStyle w:val="ListParagraph"/>
              <w:numPr>
                <w:ilvl w:val="0"/>
                <w:numId w:val="35"/>
              </w:numPr>
              <w:spacing w:before="120" w:after="0" w:line="240" w:lineRule="auto"/>
              <w:ind w:left="425" w:hanging="425"/>
              <w:contextualSpacing w:val="0"/>
              <w:jc w:val="both"/>
              <w:rPr>
                <w:rFonts w:asciiTheme="majorBidi" w:hAnsiTheme="majorBidi" w:cstheme="majorBidi"/>
              </w:rPr>
            </w:pPr>
          </w:p>
        </w:tc>
        <w:tc>
          <w:tcPr>
            <w:tcW w:w="1573" w:type="dxa"/>
          </w:tcPr>
          <w:p w:rsidR="000E576E" w:rsidRPr="000E576E" w:rsidRDefault="00AA1CFD" w:rsidP="00BD2FBA">
            <w:pPr>
              <w:jc w:val="both"/>
              <w:rPr>
                <w:rFonts w:asciiTheme="majorBidi" w:hAnsiTheme="majorBidi" w:cstheme="majorBidi"/>
                <w:sz w:val="22"/>
              </w:rPr>
            </w:pPr>
            <w:hyperlink r:id="rId31" w:history="1">
              <w:r w:rsidR="000E576E" w:rsidRPr="000E576E">
                <w:rPr>
                  <w:rStyle w:val="Hyperlink"/>
                  <w:rFonts w:asciiTheme="majorBidi" w:hAnsiTheme="majorBidi" w:cstheme="majorBidi"/>
                  <w:sz w:val="22"/>
                </w:rPr>
                <w:t>WD0</w:t>
              </w:r>
            </w:hyperlink>
          </w:p>
        </w:tc>
        <w:tc>
          <w:tcPr>
            <w:tcW w:w="2286" w:type="dxa"/>
          </w:tcPr>
          <w:p w:rsidR="000E576E" w:rsidRPr="000E576E" w:rsidRDefault="000E576E" w:rsidP="00BD2FBA">
            <w:pPr>
              <w:jc w:val="both"/>
              <w:rPr>
                <w:rFonts w:asciiTheme="majorBidi" w:hAnsiTheme="majorBidi" w:cstheme="majorBidi"/>
                <w:sz w:val="22"/>
              </w:rPr>
            </w:pPr>
            <w:r w:rsidRPr="000E576E">
              <w:rPr>
                <w:rFonts w:asciiTheme="majorBidi" w:hAnsiTheme="majorBidi" w:cstheme="majorBidi"/>
                <w:sz w:val="22"/>
              </w:rPr>
              <w:t>Convener</w:t>
            </w:r>
          </w:p>
        </w:tc>
        <w:tc>
          <w:tcPr>
            <w:tcW w:w="5133" w:type="dxa"/>
          </w:tcPr>
          <w:p w:rsidR="000E576E" w:rsidRPr="000E576E" w:rsidRDefault="000E576E" w:rsidP="00BD2FBA">
            <w:pPr>
              <w:jc w:val="both"/>
              <w:rPr>
                <w:rFonts w:asciiTheme="majorBidi" w:hAnsiTheme="majorBidi" w:cstheme="majorBidi"/>
                <w:sz w:val="22"/>
              </w:rPr>
            </w:pPr>
            <w:r w:rsidRPr="000E576E">
              <w:rPr>
                <w:rFonts w:asciiTheme="majorBidi" w:hAnsiTheme="majorBidi" w:cstheme="majorBidi"/>
                <w:sz w:val="22"/>
              </w:rPr>
              <w:t>Draft CG meeting agenda, 20 February 2014</w:t>
            </w:r>
          </w:p>
        </w:tc>
      </w:tr>
      <w:tr w:rsidR="000E576E" w:rsidRPr="000E576E" w:rsidTr="00BD2FBA">
        <w:tc>
          <w:tcPr>
            <w:tcW w:w="534" w:type="dxa"/>
          </w:tcPr>
          <w:p w:rsidR="000E576E" w:rsidRPr="000E576E" w:rsidRDefault="000E576E" w:rsidP="000E576E">
            <w:pPr>
              <w:pStyle w:val="ListParagraph"/>
              <w:numPr>
                <w:ilvl w:val="0"/>
                <w:numId w:val="35"/>
              </w:numPr>
              <w:spacing w:before="120" w:after="0" w:line="240" w:lineRule="auto"/>
              <w:ind w:left="425" w:hanging="425"/>
              <w:contextualSpacing w:val="0"/>
              <w:jc w:val="both"/>
              <w:rPr>
                <w:rFonts w:asciiTheme="majorBidi" w:hAnsiTheme="majorBidi" w:cstheme="majorBidi"/>
              </w:rPr>
            </w:pPr>
          </w:p>
        </w:tc>
        <w:tc>
          <w:tcPr>
            <w:tcW w:w="1573" w:type="dxa"/>
          </w:tcPr>
          <w:p w:rsidR="000E576E" w:rsidRPr="000E576E" w:rsidRDefault="00AA1CFD" w:rsidP="00BD2FBA">
            <w:pPr>
              <w:jc w:val="both"/>
              <w:rPr>
                <w:rFonts w:asciiTheme="majorBidi" w:hAnsiTheme="majorBidi" w:cstheme="majorBidi"/>
                <w:sz w:val="22"/>
              </w:rPr>
            </w:pPr>
            <w:hyperlink r:id="rId32" w:history="1">
              <w:r w:rsidR="000E576E" w:rsidRPr="000E576E">
                <w:rPr>
                  <w:rStyle w:val="Hyperlink"/>
                  <w:rFonts w:asciiTheme="majorBidi" w:hAnsiTheme="majorBidi" w:cstheme="majorBidi"/>
                  <w:sz w:val="22"/>
                </w:rPr>
                <w:t>TD370</w:t>
              </w:r>
            </w:hyperlink>
            <w:r w:rsidR="000E576E" w:rsidRPr="000E576E">
              <w:rPr>
                <w:rFonts w:asciiTheme="majorBidi" w:hAnsiTheme="majorBidi" w:cstheme="majorBidi"/>
                <w:sz w:val="22"/>
              </w:rPr>
              <w:t xml:space="preserve"> (GEN/11)</w:t>
            </w:r>
          </w:p>
        </w:tc>
        <w:tc>
          <w:tcPr>
            <w:tcW w:w="2286" w:type="dxa"/>
          </w:tcPr>
          <w:p w:rsidR="000E576E" w:rsidRPr="000E576E" w:rsidRDefault="000E576E" w:rsidP="00BD2FBA">
            <w:pPr>
              <w:jc w:val="both"/>
              <w:rPr>
                <w:rFonts w:asciiTheme="majorBidi" w:hAnsiTheme="majorBidi" w:cstheme="majorBidi"/>
                <w:sz w:val="22"/>
              </w:rPr>
            </w:pPr>
            <w:r w:rsidRPr="000E576E">
              <w:rPr>
                <w:rFonts w:asciiTheme="majorBidi" w:hAnsiTheme="majorBidi" w:cstheme="majorBidi"/>
                <w:sz w:val="22"/>
              </w:rPr>
              <w:t>Convener</w:t>
            </w:r>
          </w:p>
        </w:tc>
        <w:tc>
          <w:tcPr>
            <w:tcW w:w="5133" w:type="dxa"/>
          </w:tcPr>
          <w:p w:rsidR="000E576E" w:rsidRPr="000E576E" w:rsidRDefault="000E576E" w:rsidP="00BD2FBA">
            <w:pPr>
              <w:jc w:val="both"/>
              <w:rPr>
                <w:rFonts w:asciiTheme="majorBidi" w:hAnsiTheme="majorBidi" w:cstheme="majorBidi"/>
                <w:sz w:val="22"/>
              </w:rPr>
            </w:pPr>
            <w:r w:rsidRPr="000E576E">
              <w:rPr>
                <w:rFonts w:asciiTheme="majorBidi" w:hAnsiTheme="majorBidi" w:cstheme="majorBidi"/>
                <w:sz w:val="22"/>
              </w:rPr>
              <w:t>Draft CG meeting Report (20 February 2014)</w:t>
            </w:r>
          </w:p>
        </w:tc>
      </w:tr>
      <w:tr w:rsidR="000E576E" w:rsidRPr="000E576E" w:rsidTr="00BD2FBA">
        <w:tc>
          <w:tcPr>
            <w:tcW w:w="534" w:type="dxa"/>
          </w:tcPr>
          <w:p w:rsidR="000E576E" w:rsidRPr="000E576E" w:rsidRDefault="000E576E" w:rsidP="000E576E">
            <w:pPr>
              <w:pStyle w:val="ListParagraph"/>
              <w:numPr>
                <w:ilvl w:val="0"/>
                <w:numId w:val="35"/>
              </w:numPr>
              <w:spacing w:before="120" w:after="0" w:line="240" w:lineRule="auto"/>
              <w:ind w:left="425" w:hanging="425"/>
              <w:contextualSpacing w:val="0"/>
              <w:jc w:val="both"/>
              <w:rPr>
                <w:rFonts w:asciiTheme="majorBidi" w:hAnsiTheme="majorBidi" w:cstheme="majorBidi"/>
              </w:rPr>
            </w:pPr>
          </w:p>
        </w:tc>
        <w:tc>
          <w:tcPr>
            <w:tcW w:w="1573" w:type="dxa"/>
          </w:tcPr>
          <w:p w:rsidR="000E576E" w:rsidRPr="000E576E" w:rsidRDefault="00AA1CFD" w:rsidP="00BD2FBA">
            <w:pPr>
              <w:jc w:val="both"/>
              <w:rPr>
                <w:rFonts w:asciiTheme="majorBidi" w:hAnsiTheme="majorBidi" w:cstheme="majorBidi"/>
                <w:sz w:val="22"/>
              </w:rPr>
            </w:pPr>
            <w:hyperlink r:id="rId33" w:history="1">
              <w:r w:rsidR="000E576E" w:rsidRPr="000E576E">
                <w:rPr>
                  <w:rStyle w:val="Hyperlink"/>
                  <w:rFonts w:asciiTheme="majorBidi" w:hAnsiTheme="majorBidi" w:cstheme="majorBidi"/>
                  <w:sz w:val="22"/>
                </w:rPr>
                <w:t>TD294 Rev.1</w:t>
              </w:r>
            </w:hyperlink>
            <w:r w:rsidR="000E576E" w:rsidRPr="000E576E">
              <w:rPr>
                <w:rFonts w:asciiTheme="majorBidi" w:hAnsiTheme="majorBidi" w:cstheme="majorBidi"/>
                <w:sz w:val="22"/>
              </w:rPr>
              <w:t xml:space="preserve"> (GEN/11)</w:t>
            </w:r>
          </w:p>
        </w:tc>
        <w:tc>
          <w:tcPr>
            <w:tcW w:w="2286" w:type="dxa"/>
          </w:tcPr>
          <w:p w:rsidR="000E576E" w:rsidRPr="000E576E" w:rsidRDefault="000E576E" w:rsidP="00BD2FBA">
            <w:pPr>
              <w:jc w:val="both"/>
              <w:rPr>
                <w:rFonts w:asciiTheme="majorBidi" w:hAnsiTheme="majorBidi" w:cstheme="majorBidi"/>
                <w:sz w:val="22"/>
              </w:rPr>
            </w:pPr>
            <w:r w:rsidRPr="000E576E">
              <w:rPr>
                <w:rFonts w:asciiTheme="majorBidi" w:hAnsiTheme="majorBidi" w:cstheme="majorBidi"/>
                <w:sz w:val="22"/>
              </w:rPr>
              <w:t>Rapporteur Q11/11</w:t>
            </w:r>
          </w:p>
        </w:tc>
        <w:tc>
          <w:tcPr>
            <w:tcW w:w="5133" w:type="dxa"/>
          </w:tcPr>
          <w:p w:rsidR="000E576E" w:rsidRPr="000E576E" w:rsidRDefault="000E576E" w:rsidP="00BD2FBA">
            <w:pPr>
              <w:jc w:val="both"/>
              <w:rPr>
                <w:rFonts w:asciiTheme="majorBidi" w:hAnsiTheme="majorBidi" w:cstheme="majorBidi"/>
                <w:sz w:val="22"/>
              </w:rPr>
            </w:pPr>
            <w:r w:rsidRPr="000E576E">
              <w:rPr>
                <w:rFonts w:asciiTheme="majorBidi" w:hAnsiTheme="majorBidi" w:cstheme="majorBidi"/>
                <w:sz w:val="22"/>
              </w:rPr>
              <w:t>Output – ToR for Correspondence Group (CG) on collaboration between ITU-T and testing laboratories for ITU C&amp;I programme</w:t>
            </w:r>
          </w:p>
        </w:tc>
      </w:tr>
      <w:tr w:rsidR="000E576E" w:rsidRPr="000E576E" w:rsidTr="00BD2FBA">
        <w:tc>
          <w:tcPr>
            <w:tcW w:w="534" w:type="dxa"/>
          </w:tcPr>
          <w:p w:rsidR="000E576E" w:rsidRPr="000E576E" w:rsidRDefault="000E576E" w:rsidP="000E576E">
            <w:pPr>
              <w:pStyle w:val="ListParagraph"/>
              <w:numPr>
                <w:ilvl w:val="0"/>
                <w:numId w:val="35"/>
              </w:numPr>
              <w:spacing w:before="120" w:after="0" w:line="240" w:lineRule="auto"/>
              <w:ind w:left="425" w:hanging="425"/>
              <w:contextualSpacing w:val="0"/>
              <w:jc w:val="both"/>
              <w:rPr>
                <w:rFonts w:asciiTheme="majorBidi" w:hAnsiTheme="majorBidi" w:cstheme="majorBidi"/>
              </w:rPr>
            </w:pPr>
          </w:p>
        </w:tc>
        <w:tc>
          <w:tcPr>
            <w:tcW w:w="1573" w:type="dxa"/>
          </w:tcPr>
          <w:p w:rsidR="000E576E" w:rsidRPr="000E576E" w:rsidRDefault="00AA1CFD" w:rsidP="00BD2FBA">
            <w:pPr>
              <w:jc w:val="both"/>
              <w:rPr>
                <w:rFonts w:asciiTheme="majorBidi" w:hAnsiTheme="majorBidi" w:cstheme="majorBidi"/>
                <w:sz w:val="22"/>
              </w:rPr>
            </w:pPr>
            <w:hyperlink r:id="rId34" w:history="1">
              <w:r w:rsidR="000E576E" w:rsidRPr="000E576E">
                <w:rPr>
                  <w:rStyle w:val="Hyperlink"/>
                  <w:rFonts w:asciiTheme="majorBidi" w:hAnsiTheme="majorBidi" w:cstheme="majorBidi"/>
                  <w:sz w:val="22"/>
                </w:rPr>
                <w:t>WD1</w:t>
              </w:r>
            </w:hyperlink>
          </w:p>
        </w:tc>
        <w:tc>
          <w:tcPr>
            <w:tcW w:w="2286" w:type="dxa"/>
          </w:tcPr>
          <w:p w:rsidR="000E576E" w:rsidRPr="000E576E" w:rsidRDefault="000E576E" w:rsidP="00BD2FBA">
            <w:pPr>
              <w:jc w:val="both"/>
              <w:rPr>
                <w:rFonts w:asciiTheme="majorBidi" w:hAnsiTheme="majorBidi" w:cstheme="majorBidi"/>
                <w:sz w:val="22"/>
              </w:rPr>
            </w:pPr>
            <w:r w:rsidRPr="000E576E">
              <w:rPr>
                <w:rFonts w:asciiTheme="majorBidi" w:hAnsiTheme="majorBidi" w:cstheme="majorBidi"/>
                <w:sz w:val="22"/>
              </w:rPr>
              <w:t>Alcatel Lucent</w:t>
            </w:r>
          </w:p>
        </w:tc>
        <w:tc>
          <w:tcPr>
            <w:tcW w:w="5133" w:type="dxa"/>
          </w:tcPr>
          <w:p w:rsidR="000E576E" w:rsidRPr="000E576E" w:rsidRDefault="000E576E" w:rsidP="00BD2FBA">
            <w:pPr>
              <w:jc w:val="both"/>
              <w:rPr>
                <w:rFonts w:asciiTheme="majorBidi" w:hAnsiTheme="majorBidi" w:cstheme="majorBidi"/>
                <w:sz w:val="22"/>
              </w:rPr>
            </w:pPr>
            <w:r w:rsidRPr="000E576E">
              <w:rPr>
                <w:rFonts w:asciiTheme="majorBidi" w:hAnsiTheme="majorBidi" w:cstheme="majorBidi"/>
                <w:sz w:val="22"/>
              </w:rPr>
              <w:t>Comments to the “Proposal to establish an ITU recognition procedure of testing laboratories with competence in ITU-T Recommendations” from the Russian Federation.</w:t>
            </w:r>
          </w:p>
        </w:tc>
      </w:tr>
      <w:tr w:rsidR="000E576E" w:rsidRPr="000E576E" w:rsidTr="00BD2FBA">
        <w:tc>
          <w:tcPr>
            <w:tcW w:w="534" w:type="dxa"/>
          </w:tcPr>
          <w:p w:rsidR="000E576E" w:rsidRPr="000E576E" w:rsidRDefault="000E576E" w:rsidP="000E576E">
            <w:pPr>
              <w:pStyle w:val="ListParagraph"/>
              <w:numPr>
                <w:ilvl w:val="0"/>
                <w:numId w:val="35"/>
              </w:numPr>
              <w:spacing w:before="120" w:after="0" w:line="240" w:lineRule="auto"/>
              <w:ind w:left="425" w:hanging="425"/>
              <w:contextualSpacing w:val="0"/>
              <w:jc w:val="both"/>
              <w:rPr>
                <w:rFonts w:asciiTheme="majorBidi" w:hAnsiTheme="majorBidi" w:cstheme="majorBidi"/>
              </w:rPr>
            </w:pPr>
          </w:p>
        </w:tc>
        <w:tc>
          <w:tcPr>
            <w:tcW w:w="1573" w:type="dxa"/>
          </w:tcPr>
          <w:p w:rsidR="000E576E" w:rsidRPr="000E576E" w:rsidRDefault="00AA1CFD" w:rsidP="00BD2FBA">
            <w:pPr>
              <w:jc w:val="both"/>
              <w:rPr>
                <w:rFonts w:asciiTheme="majorBidi" w:hAnsiTheme="majorBidi" w:cstheme="majorBidi"/>
                <w:sz w:val="22"/>
              </w:rPr>
            </w:pPr>
            <w:hyperlink r:id="rId35" w:history="1">
              <w:r w:rsidR="000E576E" w:rsidRPr="000E576E">
                <w:rPr>
                  <w:rStyle w:val="Hyperlink"/>
                  <w:rFonts w:asciiTheme="majorBidi" w:hAnsiTheme="majorBidi" w:cstheme="majorBidi"/>
                  <w:sz w:val="22"/>
                </w:rPr>
                <w:t>WD2</w:t>
              </w:r>
            </w:hyperlink>
          </w:p>
        </w:tc>
        <w:tc>
          <w:tcPr>
            <w:tcW w:w="2286" w:type="dxa"/>
          </w:tcPr>
          <w:p w:rsidR="000E576E" w:rsidRPr="000E576E" w:rsidRDefault="000E576E" w:rsidP="00BD2FBA">
            <w:pPr>
              <w:jc w:val="both"/>
              <w:rPr>
                <w:rFonts w:asciiTheme="majorBidi" w:hAnsiTheme="majorBidi" w:cstheme="majorBidi"/>
                <w:sz w:val="22"/>
              </w:rPr>
            </w:pPr>
            <w:r w:rsidRPr="000E576E">
              <w:rPr>
                <w:rFonts w:asciiTheme="majorBidi" w:hAnsiTheme="majorBidi" w:cstheme="majorBidi"/>
                <w:sz w:val="22"/>
              </w:rPr>
              <w:t>Ghana</w:t>
            </w:r>
          </w:p>
        </w:tc>
        <w:tc>
          <w:tcPr>
            <w:tcW w:w="5133" w:type="dxa"/>
          </w:tcPr>
          <w:p w:rsidR="000E576E" w:rsidRPr="000E576E" w:rsidRDefault="000E576E" w:rsidP="00BD2FBA">
            <w:pPr>
              <w:jc w:val="both"/>
              <w:rPr>
                <w:rFonts w:asciiTheme="majorBidi" w:hAnsiTheme="majorBidi" w:cstheme="majorBidi"/>
                <w:sz w:val="22"/>
              </w:rPr>
            </w:pPr>
            <w:r w:rsidRPr="000E576E">
              <w:rPr>
                <w:rFonts w:asciiTheme="majorBidi" w:hAnsiTheme="majorBidi" w:cstheme="majorBidi"/>
                <w:sz w:val="22"/>
              </w:rPr>
              <w:t xml:space="preserve">Comments on Alcatel Lucent proposal to be found in </w:t>
            </w:r>
            <w:hyperlink r:id="rId36" w:history="1">
              <w:r w:rsidRPr="000E576E">
                <w:rPr>
                  <w:rStyle w:val="Hyperlink"/>
                  <w:rFonts w:asciiTheme="majorBidi" w:hAnsiTheme="majorBidi" w:cstheme="majorBidi"/>
                  <w:sz w:val="22"/>
                </w:rPr>
                <w:t>WD1</w:t>
              </w:r>
            </w:hyperlink>
          </w:p>
        </w:tc>
      </w:tr>
      <w:tr w:rsidR="000E576E" w:rsidRPr="000E576E" w:rsidTr="00BD2FBA">
        <w:tc>
          <w:tcPr>
            <w:tcW w:w="534" w:type="dxa"/>
          </w:tcPr>
          <w:p w:rsidR="000E576E" w:rsidRPr="000E576E" w:rsidRDefault="000E576E" w:rsidP="000E576E">
            <w:pPr>
              <w:pStyle w:val="ListParagraph"/>
              <w:numPr>
                <w:ilvl w:val="0"/>
                <w:numId w:val="35"/>
              </w:numPr>
              <w:spacing w:before="120" w:after="0" w:line="240" w:lineRule="auto"/>
              <w:ind w:left="425" w:hanging="425"/>
              <w:contextualSpacing w:val="0"/>
              <w:jc w:val="both"/>
              <w:rPr>
                <w:rFonts w:asciiTheme="majorBidi" w:hAnsiTheme="majorBidi" w:cstheme="majorBidi"/>
              </w:rPr>
            </w:pPr>
          </w:p>
        </w:tc>
        <w:tc>
          <w:tcPr>
            <w:tcW w:w="1573" w:type="dxa"/>
          </w:tcPr>
          <w:p w:rsidR="000E576E" w:rsidRPr="000E576E" w:rsidRDefault="00AA1CFD" w:rsidP="00BD2FBA">
            <w:pPr>
              <w:jc w:val="both"/>
              <w:rPr>
                <w:rFonts w:asciiTheme="majorBidi" w:hAnsiTheme="majorBidi" w:cstheme="majorBidi"/>
                <w:sz w:val="22"/>
              </w:rPr>
            </w:pPr>
            <w:hyperlink r:id="rId37" w:history="1">
              <w:r w:rsidR="000E576E" w:rsidRPr="000E576E">
                <w:rPr>
                  <w:rStyle w:val="Hyperlink"/>
                  <w:rFonts w:asciiTheme="majorBidi" w:hAnsiTheme="majorBidi" w:cstheme="majorBidi"/>
                  <w:sz w:val="22"/>
                </w:rPr>
                <w:t>WD3</w:t>
              </w:r>
            </w:hyperlink>
          </w:p>
        </w:tc>
        <w:tc>
          <w:tcPr>
            <w:tcW w:w="2286" w:type="dxa"/>
          </w:tcPr>
          <w:p w:rsidR="000E576E" w:rsidRPr="000E576E" w:rsidRDefault="000E576E" w:rsidP="00BD2FBA">
            <w:pPr>
              <w:jc w:val="both"/>
              <w:rPr>
                <w:rFonts w:asciiTheme="majorBidi" w:hAnsiTheme="majorBidi" w:cstheme="majorBidi"/>
                <w:sz w:val="22"/>
              </w:rPr>
            </w:pPr>
            <w:r w:rsidRPr="000E576E">
              <w:rPr>
                <w:rFonts w:asciiTheme="majorBidi" w:hAnsiTheme="majorBidi" w:cstheme="majorBidi"/>
                <w:sz w:val="22"/>
              </w:rPr>
              <w:t>Convener</w:t>
            </w:r>
          </w:p>
        </w:tc>
        <w:tc>
          <w:tcPr>
            <w:tcW w:w="5133" w:type="dxa"/>
          </w:tcPr>
          <w:p w:rsidR="000E576E" w:rsidRPr="000E576E" w:rsidRDefault="000E576E" w:rsidP="00BD2FBA">
            <w:pPr>
              <w:jc w:val="both"/>
              <w:rPr>
                <w:rFonts w:asciiTheme="majorBidi" w:hAnsiTheme="majorBidi" w:cstheme="majorBidi"/>
                <w:sz w:val="22"/>
              </w:rPr>
            </w:pPr>
            <w:r w:rsidRPr="000E576E">
              <w:rPr>
                <w:rFonts w:asciiTheme="majorBidi" w:hAnsiTheme="majorBidi" w:cstheme="majorBidi"/>
                <w:sz w:val="22"/>
              </w:rPr>
              <w:t>Draft Agenda – CG emeeting (9 April 2014)</w:t>
            </w:r>
          </w:p>
        </w:tc>
      </w:tr>
      <w:tr w:rsidR="000E576E" w:rsidRPr="000E576E" w:rsidTr="00BD2FBA">
        <w:tc>
          <w:tcPr>
            <w:tcW w:w="534" w:type="dxa"/>
          </w:tcPr>
          <w:p w:rsidR="000E576E" w:rsidRPr="000E576E" w:rsidRDefault="000E576E" w:rsidP="000E576E">
            <w:pPr>
              <w:pStyle w:val="ListParagraph"/>
              <w:numPr>
                <w:ilvl w:val="0"/>
                <w:numId w:val="35"/>
              </w:numPr>
              <w:spacing w:before="120" w:after="0" w:line="240" w:lineRule="auto"/>
              <w:ind w:left="425" w:hanging="425"/>
              <w:contextualSpacing w:val="0"/>
              <w:jc w:val="both"/>
              <w:rPr>
                <w:rFonts w:asciiTheme="majorBidi" w:hAnsiTheme="majorBidi" w:cstheme="majorBidi"/>
              </w:rPr>
            </w:pPr>
          </w:p>
        </w:tc>
        <w:tc>
          <w:tcPr>
            <w:tcW w:w="1573" w:type="dxa"/>
          </w:tcPr>
          <w:p w:rsidR="000E576E" w:rsidRPr="000E576E" w:rsidRDefault="00AA1CFD" w:rsidP="00BD2FBA">
            <w:pPr>
              <w:jc w:val="both"/>
              <w:rPr>
                <w:rFonts w:asciiTheme="majorBidi" w:hAnsiTheme="majorBidi" w:cstheme="majorBidi"/>
                <w:sz w:val="22"/>
              </w:rPr>
            </w:pPr>
            <w:hyperlink r:id="rId38" w:history="1">
              <w:r w:rsidR="000E576E" w:rsidRPr="000E576E">
                <w:rPr>
                  <w:rStyle w:val="Hyperlink"/>
                  <w:rFonts w:asciiTheme="majorBidi" w:hAnsiTheme="majorBidi" w:cstheme="majorBidi"/>
                  <w:sz w:val="22"/>
                </w:rPr>
                <w:t>WD4</w:t>
              </w:r>
            </w:hyperlink>
          </w:p>
        </w:tc>
        <w:tc>
          <w:tcPr>
            <w:tcW w:w="2286" w:type="dxa"/>
          </w:tcPr>
          <w:p w:rsidR="000E576E" w:rsidRPr="000E576E" w:rsidRDefault="000E576E" w:rsidP="00BD2FBA">
            <w:pPr>
              <w:jc w:val="both"/>
              <w:rPr>
                <w:rFonts w:asciiTheme="majorBidi" w:hAnsiTheme="majorBidi" w:cstheme="majorBidi"/>
                <w:sz w:val="22"/>
              </w:rPr>
            </w:pPr>
            <w:r w:rsidRPr="000E576E">
              <w:rPr>
                <w:rFonts w:asciiTheme="majorBidi" w:hAnsiTheme="majorBidi" w:cstheme="majorBidi"/>
                <w:sz w:val="22"/>
              </w:rPr>
              <w:t>Convener</w:t>
            </w:r>
          </w:p>
        </w:tc>
        <w:tc>
          <w:tcPr>
            <w:tcW w:w="5133" w:type="dxa"/>
          </w:tcPr>
          <w:p w:rsidR="000E576E" w:rsidRPr="000E576E" w:rsidRDefault="000E576E" w:rsidP="00BD2FBA">
            <w:pPr>
              <w:jc w:val="both"/>
              <w:rPr>
                <w:rFonts w:asciiTheme="majorBidi" w:hAnsiTheme="majorBidi" w:cstheme="majorBidi"/>
                <w:sz w:val="22"/>
              </w:rPr>
            </w:pPr>
            <w:r w:rsidRPr="000E576E">
              <w:rPr>
                <w:rFonts w:asciiTheme="majorBidi" w:hAnsiTheme="majorBidi" w:cstheme="majorBidi"/>
                <w:sz w:val="22"/>
              </w:rPr>
              <w:t>Report of the CG e-meeting, 10 April 2014</w:t>
            </w:r>
          </w:p>
        </w:tc>
      </w:tr>
      <w:tr w:rsidR="000E576E" w:rsidRPr="000E576E" w:rsidTr="00BD2FBA">
        <w:tc>
          <w:tcPr>
            <w:tcW w:w="534" w:type="dxa"/>
          </w:tcPr>
          <w:p w:rsidR="000E576E" w:rsidRPr="000E576E" w:rsidRDefault="000E576E" w:rsidP="000E576E">
            <w:pPr>
              <w:pStyle w:val="ListParagraph"/>
              <w:numPr>
                <w:ilvl w:val="0"/>
                <w:numId w:val="35"/>
              </w:numPr>
              <w:spacing w:before="120" w:after="0" w:line="240" w:lineRule="auto"/>
              <w:ind w:left="425" w:hanging="425"/>
              <w:contextualSpacing w:val="0"/>
              <w:jc w:val="both"/>
              <w:rPr>
                <w:rFonts w:asciiTheme="majorBidi" w:hAnsiTheme="majorBidi" w:cstheme="majorBidi"/>
              </w:rPr>
            </w:pPr>
          </w:p>
        </w:tc>
        <w:tc>
          <w:tcPr>
            <w:tcW w:w="1573" w:type="dxa"/>
          </w:tcPr>
          <w:p w:rsidR="000E576E" w:rsidRPr="000E576E" w:rsidRDefault="00AA1CFD" w:rsidP="00BD2FBA">
            <w:pPr>
              <w:jc w:val="both"/>
              <w:rPr>
                <w:rFonts w:asciiTheme="majorBidi" w:hAnsiTheme="majorBidi" w:cstheme="majorBidi"/>
                <w:sz w:val="22"/>
              </w:rPr>
            </w:pPr>
            <w:hyperlink r:id="rId39" w:history="1">
              <w:r w:rsidR="000E576E" w:rsidRPr="000E576E">
                <w:rPr>
                  <w:rStyle w:val="Hyperlink"/>
                  <w:rFonts w:asciiTheme="majorBidi" w:hAnsiTheme="majorBidi" w:cstheme="majorBidi"/>
                  <w:sz w:val="22"/>
                </w:rPr>
                <w:t>WD5</w:t>
              </w:r>
            </w:hyperlink>
          </w:p>
        </w:tc>
        <w:tc>
          <w:tcPr>
            <w:tcW w:w="2286" w:type="dxa"/>
          </w:tcPr>
          <w:p w:rsidR="000E576E" w:rsidRPr="000E576E" w:rsidRDefault="000E576E" w:rsidP="00BD2FBA">
            <w:pPr>
              <w:jc w:val="both"/>
              <w:rPr>
                <w:rFonts w:asciiTheme="majorBidi" w:hAnsiTheme="majorBidi" w:cstheme="majorBidi"/>
                <w:sz w:val="22"/>
              </w:rPr>
            </w:pPr>
            <w:r w:rsidRPr="000E576E">
              <w:rPr>
                <w:rFonts w:asciiTheme="majorBidi" w:hAnsiTheme="majorBidi" w:cstheme="majorBidi"/>
                <w:sz w:val="22"/>
              </w:rPr>
              <w:t>Convener</w:t>
            </w:r>
          </w:p>
        </w:tc>
        <w:tc>
          <w:tcPr>
            <w:tcW w:w="5133" w:type="dxa"/>
          </w:tcPr>
          <w:p w:rsidR="000E576E" w:rsidRPr="000E576E" w:rsidRDefault="000E576E" w:rsidP="00BD2FBA">
            <w:pPr>
              <w:jc w:val="both"/>
              <w:rPr>
                <w:rFonts w:asciiTheme="majorBidi" w:hAnsiTheme="majorBidi" w:cstheme="majorBidi"/>
                <w:sz w:val="22"/>
              </w:rPr>
            </w:pPr>
            <w:r w:rsidRPr="000E576E">
              <w:rPr>
                <w:rFonts w:asciiTheme="majorBidi" w:hAnsiTheme="majorBidi" w:cstheme="majorBidi"/>
                <w:sz w:val="22"/>
              </w:rPr>
              <w:t>Draft Agenda – CG e-meeting (14 May 2014)</w:t>
            </w:r>
          </w:p>
        </w:tc>
      </w:tr>
      <w:tr w:rsidR="000E576E" w:rsidRPr="000E576E" w:rsidTr="00BD2FBA">
        <w:tc>
          <w:tcPr>
            <w:tcW w:w="534" w:type="dxa"/>
          </w:tcPr>
          <w:p w:rsidR="000E576E" w:rsidRPr="000E576E" w:rsidRDefault="000E576E" w:rsidP="000E576E">
            <w:pPr>
              <w:pStyle w:val="ListParagraph"/>
              <w:numPr>
                <w:ilvl w:val="0"/>
                <w:numId w:val="35"/>
              </w:numPr>
              <w:spacing w:before="120" w:after="0" w:line="240" w:lineRule="auto"/>
              <w:ind w:left="425" w:hanging="425"/>
              <w:contextualSpacing w:val="0"/>
              <w:jc w:val="both"/>
              <w:rPr>
                <w:rFonts w:asciiTheme="majorBidi" w:hAnsiTheme="majorBidi" w:cstheme="majorBidi"/>
              </w:rPr>
            </w:pPr>
          </w:p>
        </w:tc>
        <w:tc>
          <w:tcPr>
            <w:tcW w:w="1573" w:type="dxa"/>
          </w:tcPr>
          <w:p w:rsidR="000E576E" w:rsidRPr="000E576E" w:rsidRDefault="00AA1CFD" w:rsidP="00BD2FBA">
            <w:pPr>
              <w:jc w:val="both"/>
              <w:rPr>
                <w:rFonts w:asciiTheme="majorBidi" w:hAnsiTheme="majorBidi" w:cstheme="majorBidi"/>
                <w:sz w:val="22"/>
              </w:rPr>
            </w:pPr>
            <w:hyperlink r:id="rId40" w:history="1">
              <w:r w:rsidR="000E576E" w:rsidRPr="000E576E">
                <w:rPr>
                  <w:rStyle w:val="Hyperlink"/>
                  <w:rFonts w:asciiTheme="majorBidi" w:hAnsiTheme="majorBidi" w:cstheme="majorBidi"/>
                  <w:sz w:val="22"/>
                </w:rPr>
                <w:t>WD6</w:t>
              </w:r>
            </w:hyperlink>
          </w:p>
        </w:tc>
        <w:tc>
          <w:tcPr>
            <w:tcW w:w="2286" w:type="dxa"/>
          </w:tcPr>
          <w:p w:rsidR="000E576E" w:rsidRPr="000E576E" w:rsidRDefault="000E576E" w:rsidP="00BD2FBA">
            <w:pPr>
              <w:jc w:val="both"/>
              <w:rPr>
                <w:rFonts w:asciiTheme="majorBidi" w:hAnsiTheme="majorBidi" w:cstheme="majorBidi"/>
                <w:sz w:val="22"/>
              </w:rPr>
            </w:pPr>
            <w:r w:rsidRPr="000E576E">
              <w:rPr>
                <w:rFonts w:asciiTheme="majorBidi" w:hAnsiTheme="majorBidi" w:cstheme="majorBidi"/>
                <w:sz w:val="22"/>
              </w:rPr>
              <w:t>Convener</w:t>
            </w:r>
          </w:p>
        </w:tc>
        <w:tc>
          <w:tcPr>
            <w:tcW w:w="5133" w:type="dxa"/>
          </w:tcPr>
          <w:p w:rsidR="000E576E" w:rsidRPr="000E576E" w:rsidRDefault="000E576E" w:rsidP="00BD2FBA">
            <w:pPr>
              <w:jc w:val="both"/>
              <w:rPr>
                <w:rFonts w:asciiTheme="majorBidi" w:hAnsiTheme="majorBidi" w:cstheme="majorBidi"/>
                <w:sz w:val="22"/>
              </w:rPr>
            </w:pPr>
            <w:r w:rsidRPr="000E576E">
              <w:rPr>
                <w:rFonts w:asciiTheme="majorBidi" w:hAnsiTheme="majorBidi" w:cstheme="majorBidi"/>
                <w:sz w:val="22"/>
              </w:rPr>
              <w:t>Action items agreed – CG e-meeting (15 May 2014)</w:t>
            </w:r>
          </w:p>
        </w:tc>
      </w:tr>
      <w:tr w:rsidR="000E576E" w:rsidRPr="000E576E" w:rsidTr="00BD2FBA">
        <w:tc>
          <w:tcPr>
            <w:tcW w:w="534" w:type="dxa"/>
          </w:tcPr>
          <w:p w:rsidR="000E576E" w:rsidRPr="000E576E" w:rsidRDefault="000E576E" w:rsidP="000E576E">
            <w:pPr>
              <w:pStyle w:val="ListParagraph"/>
              <w:numPr>
                <w:ilvl w:val="0"/>
                <w:numId w:val="35"/>
              </w:numPr>
              <w:spacing w:before="120" w:after="0" w:line="240" w:lineRule="auto"/>
              <w:ind w:left="425" w:hanging="425"/>
              <w:contextualSpacing w:val="0"/>
              <w:jc w:val="both"/>
              <w:rPr>
                <w:rFonts w:asciiTheme="majorBidi" w:hAnsiTheme="majorBidi" w:cstheme="majorBidi"/>
              </w:rPr>
            </w:pPr>
          </w:p>
        </w:tc>
        <w:tc>
          <w:tcPr>
            <w:tcW w:w="1573" w:type="dxa"/>
          </w:tcPr>
          <w:p w:rsidR="000E576E" w:rsidRPr="000E576E" w:rsidRDefault="00AA1CFD" w:rsidP="00BD2FBA">
            <w:pPr>
              <w:jc w:val="both"/>
              <w:rPr>
                <w:rFonts w:asciiTheme="majorBidi" w:hAnsiTheme="majorBidi" w:cstheme="majorBidi"/>
                <w:sz w:val="22"/>
              </w:rPr>
            </w:pPr>
            <w:hyperlink r:id="rId41" w:history="1">
              <w:r w:rsidR="000E576E" w:rsidRPr="000E576E">
                <w:rPr>
                  <w:rStyle w:val="Hyperlink"/>
                  <w:rFonts w:asciiTheme="majorBidi" w:hAnsiTheme="majorBidi" w:cstheme="majorBidi"/>
                  <w:sz w:val="22"/>
                </w:rPr>
                <w:t>WD7r1</w:t>
              </w:r>
            </w:hyperlink>
          </w:p>
        </w:tc>
        <w:tc>
          <w:tcPr>
            <w:tcW w:w="2286" w:type="dxa"/>
          </w:tcPr>
          <w:p w:rsidR="000E576E" w:rsidRPr="000E576E" w:rsidRDefault="000E576E" w:rsidP="00BD2FBA">
            <w:pPr>
              <w:jc w:val="both"/>
              <w:rPr>
                <w:rFonts w:asciiTheme="majorBidi" w:hAnsiTheme="majorBidi" w:cstheme="majorBidi"/>
                <w:sz w:val="22"/>
              </w:rPr>
            </w:pPr>
            <w:r w:rsidRPr="000E576E">
              <w:rPr>
                <w:rFonts w:asciiTheme="majorBidi" w:hAnsiTheme="majorBidi" w:cstheme="majorBidi"/>
                <w:sz w:val="22"/>
              </w:rPr>
              <w:t>Convener</w:t>
            </w:r>
          </w:p>
        </w:tc>
        <w:tc>
          <w:tcPr>
            <w:tcW w:w="5133" w:type="dxa"/>
          </w:tcPr>
          <w:p w:rsidR="000E576E" w:rsidRPr="000E576E" w:rsidRDefault="000E576E" w:rsidP="00BD2FBA">
            <w:pPr>
              <w:jc w:val="both"/>
              <w:rPr>
                <w:rFonts w:asciiTheme="majorBidi" w:hAnsiTheme="majorBidi" w:cstheme="majorBidi"/>
                <w:sz w:val="22"/>
              </w:rPr>
            </w:pPr>
            <w:r w:rsidRPr="000E576E">
              <w:rPr>
                <w:rFonts w:asciiTheme="majorBidi" w:hAnsiTheme="majorBidi" w:cstheme="majorBidi"/>
                <w:sz w:val="22"/>
              </w:rPr>
              <w:t xml:space="preserve">Draft Report of the CG on </w:t>
            </w:r>
            <w:r w:rsidRPr="000E576E">
              <w:rPr>
                <w:rFonts w:asciiTheme="majorBidi" w:hAnsiTheme="majorBidi" w:cstheme="majorBidi"/>
                <w:bCs/>
                <w:sz w:val="22"/>
                <w:lang w:val="en-US"/>
              </w:rPr>
              <w:t>Collaboration between ITU-T and testing laboratories for ITU C&amp;I programme</w:t>
            </w:r>
          </w:p>
        </w:tc>
      </w:tr>
      <w:tr w:rsidR="000E576E" w:rsidRPr="000E576E" w:rsidTr="00BD2FBA">
        <w:trPr>
          <w:trHeight w:val="790"/>
        </w:trPr>
        <w:tc>
          <w:tcPr>
            <w:tcW w:w="534" w:type="dxa"/>
          </w:tcPr>
          <w:p w:rsidR="000E576E" w:rsidRPr="000E576E" w:rsidRDefault="000E576E" w:rsidP="000E576E">
            <w:pPr>
              <w:pStyle w:val="ListParagraph"/>
              <w:numPr>
                <w:ilvl w:val="0"/>
                <w:numId w:val="35"/>
              </w:numPr>
              <w:spacing w:before="120" w:after="0" w:line="240" w:lineRule="auto"/>
              <w:ind w:left="425" w:hanging="425"/>
              <w:contextualSpacing w:val="0"/>
              <w:jc w:val="both"/>
              <w:rPr>
                <w:rFonts w:asciiTheme="majorBidi" w:hAnsiTheme="majorBidi" w:cstheme="majorBidi"/>
              </w:rPr>
            </w:pPr>
          </w:p>
        </w:tc>
        <w:tc>
          <w:tcPr>
            <w:tcW w:w="1573" w:type="dxa"/>
          </w:tcPr>
          <w:p w:rsidR="000E576E" w:rsidRPr="000E576E" w:rsidRDefault="00AA1CFD" w:rsidP="00BD2FBA">
            <w:pPr>
              <w:jc w:val="both"/>
              <w:rPr>
                <w:rFonts w:asciiTheme="majorBidi" w:hAnsiTheme="majorBidi" w:cstheme="majorBidi"/>
                <w:sz w:val="22"/>
              </w:rPr>
            </w:pPr>
            <w:hyperlink r:id="rId42" w:history="1">
              <w:r w:rsidR="000E576E" w:rsidRPr="000E576E">
                <w:rPr>
                  <w:rStyle w:val="Hyperlink"/>
                  <w:rFonts w:asciiTheme="majorBidi" w:hAnsiTheme="majorBidi" w:cstheme="majorBidi"/>
                  <w:sz w:val="22"/>
                </w:rPr>
                <w:t>WD7r2</w:t>
              </w:r>
            </w:hyperlink>
          </w:p>
        </w:tc>
        <w:tc>
          <w:tcPr>
            <w:tcW w:w="2286" w:type="dxa"/>
          </w:tcPr>
          <w:p w:rsidR="000E576E" w:rsidRPr="000E576E" w:rsidRDefault="000E576E" w:rsidP="00BD2FBA">
            <w:pPr>
              <w:jc w:val="both"/>
              <w:rPr>
                <w:rFonts w:asciiTheme="majorBidi" w:hAnsiTheme="majorBidi" w:cstheme="majorBidi"/>
                <w:sz w:val="22"/>
              </w:rPr>
            </w:pPr>
            <w:r w:rsidRPr="000E576E">
              <w:rPr>
                <w:rFonts w:asciiTheme="majorBidi" w:hAnsiTheme="majorBidi" w:cstheme="majorBidi"/>
                <w:sz w:val="22"/>
              </w:rPr>
              <w:t>Convener</w:t>
            </w:r>
          </w:p>
        </w:tc>
        <w:tc>
          <w:tcPr>
            <w:tcW w:w="5133" w:type="dxa"/>
          </w:tcPr>
          <w:p w:rsidR="000E576E" w:rsidRPr="000E576E" w:rsidRDefault="000E576E" w:rsidP="00BD2FBA">
            <w:pPr>
              <w:jc w:val="both"/>
              <w:rPr>
                <w:rFonts w:asciiTheme="majorBidi" w:hAnsiTheme="majorBidi" w:cstheme="majorBidi"/>
                <w:sz w:val="22"/>
              </w:rPr>
            </w:pPr>
            <w:r w:rsidRPr="000E576E">
              <w:rPr>
                <w:rFonts w:asciiTheme="majorBidi" w:hAnsiTheme="majorBidi" w:cstheme="majorBidi"/>
                <w:sz w:val="22"/>
              </w:rPr>
              <w:t xml:space="preserve">Draft Report of the CG on </w:t>
            </w:r>
            <w:r w:rsidRPr="000E576E">
              <w:rPr>
                <w:rFonts w:asciiTheme="majorBidi" w:hAnsiTheme="majorBidi" w:cstheme="majorBidi"/>
                <w:bCs/>
                <w:sz w:val="22"/>
                <w:lang w:val="en-US"/>
              </w:rPr>
              <w:t>Collaboration between ITU-T and testing laboratories for ITU C&amp;I programme</w:t>
            </w:r>
          </w:p>
        </w:tc>
      </w:tr>
      <w:tr w:rsidR="000E576E" w:rsidRPr="000E576E" w:rsidTr="00BD2FBA">
        <w:trPr>
          <w:trHeight w:val="714"/>
        </w:trPr>
        <w:tc>
          <w:tcPr>
            <w:tcW w:w="534" w:type="dxa"/>
          </w:tcPr>
          <w:p w:rsidR="000E576E" w:rsidRPr="000E576E" w:rsidRDefault="000E576E" w:rsidP="000E576E">
            <w:pPr>
              <w:pStyle w:val="ListParagraph"/>
              <w:numPr>
                <w:ilvl w:val="0"/>
                <w:numId w:val="35"/>
              </w:numPr>
              <w:spacing w:before="120" w:after="0" w:line="240" w:lineRule="auto"/>
              <w:ind w:left="425" w:hanging="425"/>
              <w:contextualSpacing w:val="0"/>
              <w:jc w:val="both"/>
              <w:rPr>
                <w:rFonts w:asciiTheme="majorBidi" w:hAnsiTheme="majorBidi" w:cstheme="majorBidi"/>
              </w:rPr>
            </w:pPr>
          </w:p>
        </w:tc>
        <w:tc>
          <w:tcPr>
            <w:tcW w:w="1573" w:type="dxa"/>
          </w:tcPr>
          <w:p w:rsidR="000E576E" w:rsidRPr="000E576E" w:rsidRDefault="00AA1CFD" w:rsidP="00BD2FBA">
            <w:pPr>
              <w:jc w:val="both"/>
              <w:rPr>
                <w:rFonts w:asciiTheme="majorBidi" w:hAnsiTheme="majorBidi" w:cstheme="majorBidi"/>
                <w:sz w:val="22"/>
              </w:rPr>
            </w:pPr>
            <w:hyperlink r:id="rId43" w:history="1">
              <w:r w:rsidR="000E576E" w:rsidRPr="000E576E">
                <w:rPr>
                  <w:rStyle w:val="Hyperlink"/>
                  <w:rFonts w:asciiTheme="majorBidi" w:hAnsiTheme="majorBidi" w:cstheme="majorBidi"/>
                  <w:sz w:val="22"/>
                </w:rPr>
                <w:t>WD7r3</w:t>
              </w:r>
            </w:hyperlink>
          </w:p>
        </w:tc>
        <w:tc>
          <w:tcPr>
            <w:tcW w:w="2286" w:type="dxa"/>
          </w:tcPr>
          <w:p w:rsidR="000E576E" w:rsidRPr="000E576E" w:rsidRDefault="000E576E" w:rsidP="00BD2FBA">
            <w:pPr>
              <w:jc w:val="both"/>
              <w:rPr>
                <w:rFonts w:asciiTheme="majorBidi" w:hAnsiTheme="majorBidi" w:cstheme="majorBidi"/>
                <w:sz w:val="22"/>
              </w:rPr>
            </w:pPr>
            <w:r w:rsidRPr="000E576E">
              <w:rPr>
                <w:rFonts w:asciiTheme="majorBidi" w:hAnsiTheme="majorBidi" w:cstheme="majorBidi"/>
                <w:sz w:val="22"/>
              </w:rPr>
              <w:t>Convener</w:t>
            </w:r>
          </w:p>
        </w:tc>
        <w:tc>
          <w:tcPr>
            <w:tcW w:w="5133" w:type="dxa"/>
          </w:tcPr>
          <w:p w:rsidR="000E576E" w:rsidRPr="000E576E" w:rsidRDefault="000E576E" w:rsidP="00BD2FBA">
            <w:pPr>
              <w:jc w:val="both"/>
              <w:rPr>
                <w:rFonts w:asciiTheme="majorBidi" w:hAnsiTheme="majorBidi" w:cstheme="majorBidi"/>
                <w:sz w:val="22"/>
              </w:rPr>
            </w:pPr>
            <w:r w:rsidRPr="000E576E">
              <w:rPr>
                <w:rFonts w:asciiTheme="majorBidi" w:hAnsiTheme="majorBidi" w:cstheme="majorBidi"/>
                <w:sz w:val="22"/>
              </w:rPr>
              <w:t xml:space="preserve">Draft Report of the CG on </w:t>
            </w:r>
            <w:r w:rsidRPr="000E576E">
              <w:rPr>
                <w:rFonts w:asciiTheme="majorBidi" w:hAnsiTheme="majorBidi" w:cstheme="majorBidi"/>
                <w:bCs/>
                <w:sz w:val="22"/>
                <w:lang w:val="en-US"/>
              </w:rPr>
              <w:t>Collaboration between ITU-T and testing laboratories for ITU C&amp;I programme</w:t>
            </w:r>
          </w:p>
        </w:tc>
      </w:tr>
      <w:tr w:rsidR="000E576E" w:rsidRPr="000E576E" w:rsidTr="00BD2FBA">
        <w:trPr>
          <w:trHeight w:val="795"/>
        </w:trPr>
        <w:tc>
          <w:tcPr>
            <w:tcW w:w="534" w:type="dxa"/>
          </w:tcPr>
          <w:p w:rsidR="000E576E" w:rsidRPr="000E576E" w:rsidRDefault="000E576E" w:rsidP="000E576E">
            <w:pPr>
              <w:pStyle w:val="ListParagraph"/>
              <w:numPr>
                <w:ilvl w:val="0"/>
                <w:numId w:val="35"/>
              </w:numPr>
              <w:spacing w:before="120" w:after="0" w:line="240" w:lineRule="auto"/>
              <w:ind w:left="425" w:hanging="425"/>
              <w:contextualSpacing w:val="0"/>
              <w:jc w:val="both"/>
              <w:rPr>
                <w:rFonts w:asciiTheme="majorBidi" w:hAnsiTheme="majorBidi" w:cstheme="majorBidi"/>
              </w:rPr>
            </w:pPr>
          </w:p>
        </w:tc>
        <w:tc>
          <w:tcPr>
            <w:tcW w:w="1573" w:type="dxa"/>
          </w:tcPr>
          <w:p w:rsidR="000E576E" w:rsidRPr="000E576E" w:rsidRDefault="00AA1CFD" w:rsidP="00BD2FBA">
            <w:pPr>
              <w:jc w:val="both"/>
              <w:rPr>
                <w:rFonts w:asciiTheme="majorBidi" w:hAnsiTheme="majorBidi" w:cstheme="majorBidi"/>
                <w:sz w:val="22"/>
              </w:rPr>
            </w:pPr>
            <w:hyperlink r:id="rId44" w:history="1">
              <w:r w:rsidR="000E576E" w:rsidRPr="000E576E">
                <w:rPr>
                  <w:rStyle w:val="Hyperlink"/>
                  <w:rFonts w:asciiTheme="majorBidi" w:hAnsiTheme="majorBidi" w:cstheme="majorBidi"/>
                  <w:sz w:val="22"/>
                </w:rPr>
                <w:t>WD7r4</w:t>
              </w:r>
            </w:hyperlink>
          </w:p>
        </w:tc>
        <w:tc>
          <w:tcPr>
            <w:tcW w:w="2286" w:type="dxa"/>
          </w:tcPr>
          <w:p w:rsidR="000E576E" w:rsidRPr="000E576E" w:rsidRDefault="000E576E" w:rsidP="00BD2FBA">
            <w:pPr>
              <w:jc w:val="both"/>
              <w:rPr>
                <w:rFonts w:asciiTheme="majorBidi" w:hAnsiTheme="majorBidi" w:cstheme="majorBidi"/>
                <w:sz w:val="22"/>
              </w:rPr>
            </w:pPr>
            <w:r w:rsidRPr="000E576E">
              <w:rPr>
                <w:rFonts w:asciiTheme="majorBidi" w:hAnsiTheme="majorBidi" w:cstheme="majorBidi"/>
                <w:sz w:val="22"/>
              </w:rPr>
              <w:t>Convener</w:t>
            </w:r>
          </w:p>
        </w:tc>
        <w:tc>
          <w:tcPr>
            <w:tcW w:w="5133" w:type="dxa"/>
          </w:tcPr>
          <w:p w:rsidR="000E576E" w:rsidRPr="000E576E" w:rsidRDefault="000E576E" w:rsidP="00BD2FBA">
            <w:pPr>
              <w:jc w:val="both"/>
              <w:rPr>
                <w:rFonts w:asciiTheme="majorBidi" w:hAnsiTheme="majorBidi" w:cstheme="majorBidi"/>
                <w:sz w:val="22"/>
              </w:rPr>
            </w:pPr>
            <w:r w:rsidRPr="000E576E">
              <w:rPr>
                <w:rFonts w:asciiTheme="majorBidi" w:hAnsiTheme="majorBidi" w:cstheme="majorBidi"/>
                <w:sz w:val="22"/>
              </w:rPr>
              <w:t xml:space="preserve">Draft Report of the CG on </w:t>
            </w:r>
            <w:r w:rsidRPr="000E576E">
              <w:rPr>
                <w:rFonts w:asciiTheme="majorBidi" w:hAnsiTheme="majorBidi" w:cstheme="majorBidi"/>
                <w:bCs/>
                <w:sz w:val="22"/>
                <w:lang w:val="en-US"/>
              </w:rPr>
              <w:t>Collaboration between ITU-T and testing laboratories for ITU C&amp;I programme</w:t>
            </w:r>
          </w:p>
        </w:tc>
      </w:tr>
      <w:tr w:rsidR="000E576E" w:rsidRPr="000E576E" w:rsidTr="00BD2FBA">
        <w:trPr>
          <w:trHeight w:val="732"/>
        </w:trPr>
        <w:tc>
          <w:tcPr>
            <w:tcW w:w="534" w:type="dxa"/>
          </w:tcPr>
          <w:p w:rsidR="000E576E" w:rsidRPr="000E576E" w:rsidRDefault="000E576E" w:rsidP="000E576E">
            <w:pPr>
              <w:pStyle w:val="ListParagraph"/>
              <w:numPr>
                <w:ilvl w:val="0"/>
                <w:numId w:val="35"/>
              </w:numPr>
              <w:spacing w:before="120" w:after="0" w:line="240" w:lineRule="auto"/>
              <w:ind w:left="425" w:hanging="425"/>
              <w:contextualSpacing w:val="0"/>
              <w:jc w:val="both"/>
              <w:rPr>
                <w:rFonts w:asciiTheme="majorBidi" w:hAnsiTheme="majorBidi" w:cstheme="majorBidi"/>
              </w:rPr>
            </w:pPr>
          </w:p>
        </w:tc>
        <w:tc>
          <w:tcPr>
            <w:tcW w:w="1573" w:type="dxa"/>
          </w:tcPr>
          <w:p w:rsidR="000E576E" w:rsidRPr="000E576E" w:rsidRDefault="00AA1CFD" w:rsidP="00BD2FBA">
            <w:pPr>
              <w:rPr>
                <w:rFonts w:asciiTheme="majorBidi" w:hAnsiTheme="majorBidi" w:cstheme="majorBidi"/>
                <w:sz w:val="22"/>
              </w:rPr>
            </w:pPr>
            <w:hyperlink r:id="rId45" w:history="1">
              <w:r w:rsidR="000E576E" w:rsidRPr="000E576E">
                <w:rPr>
                  <w:rStyle w:val="Hyperlink"/>
                  <w:rFonts w:asciiTheme="majorBidi" w:hAnsiTheme="majorBidi" w:cstheme="majorBidi"/>
                  <w:sz w:val="22"/>
                </w:rPr>
                <w:t>TD 475 (GEN/11)</w:t>
              </w:r>
            </w:hyperlink>
          </w:p>
        </w:tc>
        <w:tc>
          <w:tcPr>
            <w:tcW w:w="2286" w:type="dxa"/>
          </w:tcPr>
          <w:p w:rsidR="000E576E" w:rsidRPr="000E576E" w:rsidRDefault="000E576E" w:rsidP="00BD2FBA">
            <w:pPr>
              <w:jc w:val="both"/>
              <w:rPr>
                <w:rFonts w:asciiTheme="majorBidi" w:hAnsiTheme="majorBidi" w:cstheme="majorBidi"/>
                <w:sz w:val="22"/>
              </w:rPr>
            </w:pPr>
            <w:r w:rsidRPr="000E576E">
              <w:rPr>
                <w:rFonts w:asciiTheme="majorBidi" w:hAnsiTheme="majorBidi" w:cstheme="majorBidi"/>
                <w:sz w:val="22"/>
              </w:rPr>
              <w:t>Convener</w:t>
            </w:r>
          </w:p>
        </w:tc>
        <w:tc>
          <w:tcPr>
            <w:tcW w:w="5133" w:type="dxa"/>
          </w:tcPr>
          <w:p w:rsidR="000E576E" w:rsidRPr="000E576E" w:rsidRDefault="000E576E" w:rsidP="00BD2FBA">
            <w:pPr>
              <w:jc w:val="both"/>
              <w:rPr>
                <w:rFonts w:asciiTheme="majorBidi" w:hAnsiTheme="majorBidi" w:cstheme="majorBidi"/>
                <w:sz w:val="22"/>
              </w:rPr>
            </w:pPr>
            <w:r w:rsidRPr="000E576E">
              <w:rPr>
                <w:rFonts w:asciiTheme="majorBidi" w:hAnsiTheme="majorBidi" w:cstheme="majorBidi"/>
                <w:sz w:val="22"/>
              </w:rPr>
              <w:t xml:space="preserve">Draft Report of the CG on </w:t>
            </w:r>
            <w:r w:rsidRPr="000E576E">
              <w:rPr>
                <w:rFonts w:asciiTheme="majorBidi" w:hAnsiTheme="majorBidi" w:cstheme="majorBidi"/>
                <w:bCs/>
                <w:sz w:val="22"/>
                <w:lang w:val="en-US"/>
              </w:rPr>
              <w:t>Collaboration between ITU-T and testing laboratories for ITU C&amp;I programme</w:t>
            </w:r>
          </w:p>
        </w:tc>
      </w:tr>
      <w:tr w:rsidR="000E576E" w:rsidRPr="000E576E" w:rsidTr="00BD2FBA">
        <w:tc>
          <w:tcPr>
            <w:tcW w:w="534" w:type="dxa"/>
          </w:tcPr>
          <w:p w:rsidR="000E576E" w:rsidRPr="000E576E" w:rsidRDefault="000E576E" w:rsidP="000E576E">
            <w:pPr>
              <w:pStyle w:val="ListParagraph"/>
              <w:numPr>
                <w:ilvl w:val="0"/>
                <w:numId w:val="35"/>
              </w:numPr>
              <w:spacing w:before="120" w:after="0" w:line="240" w:lineRule="auto"/>
              <w:ind w:left="425" w:hanging="425"/>
              <w:contextualSpacing w:val="0"/>
              <w:jc w:val="both"/>
              <w:rPr>
                <w:rFonts w:asciiTheme="majorBidi" w:hAnsiTheme="majorBidi" w:cstheme="majorBidi"/>
              </w:rPr>
            </w:pPr>
          </w:p>
        </w:tc>
        <w:tc>
          <w:tcPr>
            <w:tcW w:w="1573" w:type="dxa"/>
          </w:tcPr>
          <w:p w:rsidR="000E576E" w:rsidRPr="000E576E" w:rsidRDefault="00AA1CFD" w:rsidP="00BD2FBA">
            <w:pPr>
              <w:jc w:val="both"/>
              <w:rPr>
                <w:rFonts w:asciiTheme="majorBidi" w:hAnsiTheme="majorBidi" w:cstheme="majorBidi"/>
                <w:sz w:val="22"/>
              </w:rPr>
            </w:pPr>
            <w:hyperlink r:id="rId46" w:history="1">
              <w:r w:rsidR="000E576E" w:rsidRPr="000E576E">
                <w:rPr>
                  <w:rStyle w:val="Hyperlink"/>
                  <w:rFonts w:asciiTheme="majorBidi" w:hAnsiTheme="majorBidi" w:cstheme="majorBidi"/>
                  <w:sz w:val="22"/>
                </w:rPr>
                <w:t>WD8</w:t>
              </w:r>
            </w:hyperlink>
          </w:p>
        </w:tc>
        <w:tc>
          <w:tcPr>
            <w:tcW w:w="2286" w:type="dxa"/>
          </w:tcPr>
          <w:p w:rsidR="000E576E" w:rsidRPr="000E576E" w:rsidRDefault="000E576E" w:rsidP="00BD2FBA">
            <w:pPr>
              <w:jc w:val="both"/>
              <w:rPr>
                <w:rFonts w:asciiTheme="majorBidi" w:hAnsiTheme="majorBidi" w:cstheme="majorBidi"/>
                <w:sz w:val="22"/>
              </w:rPr>
            </w:pPr>
            <w:r w:rsidRPr="000E576E">
              <w:rPr>
                <w:rFonts w:asciiTheme="majorBidi" w:hAnsiTheme="majorBidi" w:cstheme="majorBidi"/>
                <w:sz w:val="22"/>
              </w:rPr>
              <w:t>Editor</w:t>
            </w:r>
          </w:p>
        </w:tc>
        <w:tc>
          <w:tcPr>
            <w:tcW w:w="5133" w:type="dxa"/>
          </w:tcPr>
          <w:p w:rsidR="000E576E" w:rsidRPr="000E576E" w:rsidRDefault="000E576E" w:rsidP="00BD2FBA">
            <w:pPr>
              <w:jc w:val="both"/>
              <w:rPr>
                <w:rFonts w:asciiTheme="majorBidi" w:hAnsiTheme="majorBidi" w:cstheme="majorBidi"/>
                <w:sz w:val="22"/>
              </w:rPr>
            </w:pPr>
            <w:r w:rsidRPr="000E576E">
              <w:rPr>
                <w:rFonts w:asciiTheme="majorBidi" w:hAnsiTheme="majorBidi" w:cstheme="majorBidi"/>
                <w:sz w:val="22"/>
              </w:rPr>
              <w:t>Revised version of C97 “Proposal to establish an ITU recognition procedure of testing laboratories with competence in ITU-T Recommendations” which is based on the comments provided by Alcatel Lucent and Ghana</w:t>
            </w:r>
          </w:p>
        </w:tc>
      </w:tr>
      <w:tr w:rsidR="000E576E" w:rsidRPr="000E576E" w:rsidTr="00BD2FBA">
        <w:trPr>
          <w:trHeight w:val="1550"/>
        </w:trPr>
        <w:tc>
          <w:tcPr>
            <w:tcW w:w="534" w:type="dxa"/>
          </w:tcPr>
          <w:p w:rsidR="000E576E" w:rsidRPr="000E576E" w:rsidRDefault="000E576E" w:rsidP="000E576E">
            <w:pPr>
              <w:pStyle w:val="ListParagraph"/>
              <w:numPr>
                <w:ilvl w:val="0"/>
                <w:numId w:val="35"/>
              </w:numPr>
              <w:spacing w:before="120" w:after="0" w:line="240" w:lineRule="auto"/>
              <w:ind w:left="425" w:hanging="425"/>
              <w:contextualSpacing w:val="0"/>
              <w:jc w:val="both"/>
              <w:rPr>
                <w:rFonts w:asciiTheme="majorBidi" w:hAnsiTheme="majorBidi" w:cstheme="majorBidi"/>
              </w:rPr>
            </w:pPr>
          </w:p>
        </w:tc>
        <w:tc>
          <w:tcPr>
            <w:tcW w:w="1573" w:type="dxa"/>
          </w:tcPr>
          <w:p w:rsidR="000E576E" w:rsidRPr="000E576E" w:rsidRDefault="00AA1CFD" w:rsidP="00BD2FBA">
            <w:pPr>
              <w:jc w:val="both"/>
              <w:rPr>
                <w:rFonts w:asciiTheme="majorBidi" w:hAnsiTheme="majorBidi" w:cstheme="majorBidi"/>
                <w:sz w:val="22"/>
              </w:rPr>
            </w:pPr>
            <w:hyperlink r:id="rId47" w:history="1">
              <w:r w:rsidR="000E576E" w:rsidRPr="000E576E">
                <w:rPr>
                  <w:rStyle w:val="Hyperlink"/>
                  <w:rFonts w:asciiTheme="majorBidi" w:hAnsiTheme="majorBidi" w:cstheme="majorBidi"/>
                  <w:sz w:val="22"/>
                </w:rPr>
                <w:t>WD8r1</w:t>
              </w:r>
            </w:hyperlink>
          </w:p>
        </w:tc>
        <w:tc>
          <w:tcPr>
            <w:tcW w:w="2286" w:type="dxa"/>
          </w:tcPr>
          <w:p w:rsidR="000E576E" w:rsidRPr="000E576E" w:rsidRDefault="000E576E" w:rsidP="00BD2FBA">
            <w:pPr>
              <w:jc w:val="both"/>
              <w:rPr>
                <w:rFonts w:asciiTheme="majorBidi" w:hAnsiTheme="majorBidi" w:cstheme="majorBidi"/>
                <w:sz w:val="22"/>
              </w:rPr>
            </w:pPr>
            <w:r w:rsidRPr="000E576E">
              <w:rPr>
                <w:rFonts w:asciiTheme="majorBidi" w:hAnsiTheme="majorBidi" w:cstheme="majorBidi"/>
                <w:sz w:val="22"/>
              </w:rPr>
              <w:t>ILAC</w:t>
            </w:r>
          </w:p>
        </w:tc>
        <w:tc>
          <w:tcPr>
            <w:tcW w:w="5133" w:type="dxa"/>
          </w:tcPr>
          <w:p w:rsidR="000E576E" w:rsidRPr="000E576E" w:rsidRDefault="000E576E" w:rsidP="00BD2FBA">
            <w:pPr>
              <w:jc w:val="both"/>
              <w:rPr>
                <w:rFonts w:asciiTheme="majorBidi" w:hAnsiTheme="majorBidi" w:cstheme="majorBidi"/>
                <w:sz w:val="22"/>
              </w:rPr>
            </w:pPr>
            <w:r w:rsidRPr="000E576E">
              <w:rPr>
                <w:rFonts w:asciiTheme="majorBidi" w:hAnsiTheme="majorBidi" w:cstheme="majorBidi"/>
                <w:sz w:val="22"/>
              </w:rPr>
              <w:t>Comments on WD8 (Revised version of C97 “Proposal to establish an ITU recognition procedure of testing laboratories with competence in ITU-T Recommendations”) which were requested from ILAC at the 11 June meeting</w:t>
            </w:r>
          </w:p>
        </w:tc>
      </w:tr>
      <w:tr w:rsidR="000E576E" w:rsidRPr="000E576E" w:rsidTr="00BD2FBA">
        <w:trPr>
          <w:trHeight w:val="1821"/>
        </w:trPr>
        <w:tc>
          <w:tcPr>
            <w:tcW w:w="534" w:type="dxa"/>
          </w:tcPr>
          <w:p w:rsidR="000E576E" w:rsidRPr="000E576E" w:rsidRDefault="000E576E" w:rsidP="000E576E">
            <w:pPr>
              <w:pStyle w:val="ListParagraph"/>
              <w:numPr>
                <w:ilvl w:val="0"/>
                <w:numId w:val="35"/>
              </w:numPr>
              <w:spacing w:before="120" w:after="0" w:line="240" w:lineRule="auto"/>
              <w:ind w:left="425" w:hanging="425"/>
              <w:contextualSpacing w:val="0"/>
              <w:jc w:val="both"/>
              <w:rPr>
                <w:rFonts w:asciiTheme="majorBidi" w:hAnsiTheme="majorBidi" w:cstheme="majorBidi"/>
              </w:rPr>
            </w:pPr>
          </w:p>
        </w:tc>
        <w:tc>
          <w:tcPr>
            <w:tcW w:w="1573" w:type="dxa"/>
          </w:tcPr>
          <w:p w:rsidR="000E576E" w:rsidRPr="000E576E" w:rsidRDefault="00AA1CFD" w:rsidP="00BD2FBA">
            <w:pPr>
              <w:rPr>
                <w:rFonts w:asciiTheme="majorBidi" w:hAnsiTheme="majorBidi" w:cstheme="majorBidi"/>
                <w:sz w:val="22"/>
              </w:rPr>
            </w:pPr>
            <w:hyperlink r:id="rId48" w:history="1">
              <w:r w:rsidR="000E576E" w:rsidRPr="000E576E">
                <w:rPr>
                  <w:rStyle w:val="Hyperlink"/>
                  <w:rFonts w:asciiTheme="majorBidi" w:hAnsiTheme="majorBidi" w:cstheme="majorBidi"/>
                  <w:sz w:val="22"/>
                </w:rPr>
                <w:t>TD 474 (GEN/11)</w:t>
              </w:r>
            </w:hyperlink>
          </w:p>
        </w:tc>
        <w:tc>
          <w:tcPr>
            <w:tcW w:w="2286" w:type="dxa"/>
          </w:tcPr>
          <w:p w:rsidR="000E576E" w:rsidRPr="000E576E" w:rsidRDefault="000E576E" w:rsidP="00BD2FBA">
            <w:pPr>
              <w:jc w:val="both"/>
              <w:rPr>
                <w:rFonts w:asciiTheme="majorBidi" w:hAnsiTheme="majorBidi" w:cstheme="majorBidi"/>
                <w:sz w:val="22"/>
              </w:rPr>
            </w:pPr>
            <w:r w:rsidRPr="000E576E">
              <w:rPr>
                <w:rFonts w:asciiTheme="majorBidi" w:hAnsiTheme="majorBidi" w:cstheme="majorBidi"/>
                <w:sz w:val="22"/>
              </w:rPr>
              <w:t>Convener</w:t>
            </w:r>
          </w:p>
        </w:tc>
        <w:tc>
          <w:tcPr>
            <w:tcW w:w="5133" w:type="dxa"/>
          </w:tcPr>
          <w:p w:rsidR="000E576E" w:rsidRPr="000E576E" w:rsidRDefault="000E576E" w:rsidP="00BD2FBA">
            <w:pPr>
              <w:jc w:val="both"/>
              <w:rPr>
                <w:rFonts w:asciiTheme="majorBidi" w:hAnsiTheme="majorBidi" w:cstheme="majorBidi"/>
                <w:sz w:val="22"/>
              </w:rPr>
            </w:pPr>
            <w:r w:rsidRPr="000E576E">
              <w:rPr>
                <w:rFonts w:asciiTheme="majorBidi" w:hAnsiTheme="majorBidi" w:cstheme="majorBidi"/>
                <w:sz w:val="22"/>
              </w:rPr>
              <w:t>Revised version of C97 “Proposal to establish an ITU recognition procedure of testing laboratories with competence in ITU-T Recommendations” which is based on the comments provided by Alcatel Lucent, Ghana, ILAC and the discussion of the CG at the 2 July meeting</w:t>
            </w:r>
          </w:p>
        </w:tc>
      </w:tr>
      <w:tr w:rsidR="000E576E" w:rsidRPr="000E576E" w:rsidTr="00BD2FBA">
        <w:tc>
          <w:tcPr>
            <w:tcW w:w="534" w:type="dxa"/>
          </w:tcPr>
          <w:p w:rsidR="000E576E" w:rsidRPr="000E576E" w:rsidRDefault="000E576E" w:rsidP="000E576E">
            <w:pPr>
              <w:pStyle w:val="ListParagraph"/>
              <w:numPr>
                <w:ilvl w:val="0"/>
                <w:numId w:val="35"/>
              </w:numPr>
              <w:spacing w:before="120" w:after="0" w:line="240" w:lineRule="auto"/>
              <w:ind w:left="425" w:hanging="425"/>
              <w:contextualSpacing w:val="0"/>
              <w:jc w:val="both"/>
              <w:rPr>
                <w:rFonts w:asciiTheme="majorBidi" w:hAnsiTheme="majorBidi" w:cstheme="majorBidi"/>
              </w:rPr>
            </w:pPr>
          </w:p>
        </w:tc>
        <w:tc>
          <w:tcPr>
            <w:tcW w:w="1573" w:type="dxa"/>
          </w:tcPr>
          <w:p w:rsidR="000E576E" w:rsidRPr="000E576E" w:rsidRDefault="00AA1CFD" w:rsidP="00BD2FBA">
            <w:pPr>
              <w:jc w:val="both"/>
              <w:rPr>
                <w:rFonts w:asciiTheme="majorBidi" w:hAnsiTheme="majorBidi" w:cstheme="majorBidi"/>
                <w:sz w:val="22"/>
              </w:rPr>
            </w:pPr>
            <w:hyperlink r:id="rId49" w:history="1">
              <w:r w:rsidR="000E576E" w:rsidRPr="000E576E">
                <w:rPr>
                  <w:rStyle w:val="Hyperlink"/>
                  <w:rFonts w:asciiTheme="majorBidi" w:hAnsiTheme="majorBidi" w:cstheme="majorBidi"/>
                  <w:sz w:val="22"/>
                </w:rPr>
                <w:t>WD9</w:t>
              </w:r>
            </w:hyperlink>
          </w:p>
        </w:tc>
        <w:tc>
          <w:tcPr>
            <w:tcW w:w="2286" w:type="dxa"/>
          </w:tcPr>
          <w:p w:rsidR="000E576E" w:rsidRPr="000E576E" w:rsidRDefault="000E576E" w:rsidP="00BD2FBA">
            <w:pPr>
              <w:jc w:val="both"/>
              <w:rPr>
                <w:rFonts w:asciiTheme="majorBidi" w:hAnsiTheme="majorBidi" w:cstheme="majorBidi"/>
                <w:sz w:val="22"/>
              </w:rPr>
            </w:pPr>
            <w:r w:rsidRPr="000E576E">
              <w:rPr>
                <w:rFonts w:asciiTheme="majorBidi" w:hAnsiTheme="majorBidi" w:cstheme="majorBidi"/>
                <w:sz w:val="22"/>
              </w:rPr>
              <w:t>TSB</w:t>
            </w:r>
          </w:p>
        </w:tc>
        <w:tc>
          <w:tcPr>
            <w:tcW w:w="5133" w:type="dxa"/>
          </w:tcPr>
          <w:p w:rsidR="000E576E" w:rsidRPr="000E576E" w:rsidRDefault="000E576E" w:rsidP="00BD2FBA">
            <w:pPr>
              <w:jc w:val="both"/>
              <w:rPr>
                <w:rFonts w:asciiTheme="majorBidi" w:hAnsiTheme="majorBidi" w:cstheme="majorBidi"/>
                <w:sz w:val="22"/>
              </w:rPr>
            </w:pPr>
            <w:r w:rsidRPr="000E576E">
              <w:rPr>
                <w:rFonts w:asciiTheme="majorBidi" w:hAnsiTheme="majorBidi" w:cstheme="majorBidi"/>
                <w:sz w:val="22"/>
              </w:rPr>
              <w:t>The best practice of SDOs/Forums/Associations on the implementation of recognition/accreditation procedures</w:t>
            </w:r>
          </w:p>
        </w:tc>
      </w:tr>
      <w:tr w:rsidR="000E576E" w:rsidRPr="000E576E" w:rsidTr="00BD2FBA">
        <w:tc>
          <w:tcPr>
            <w:tcW w:w="534" w:type="dxa"/>
          </w:tcPr>
          <w:p w:rsidR="000E576E" w:rsidRPr="000E576E" w:rsidRDefault="000E576E" w:rsidP="000E576E">
            <w:pPr>
              <w:pStyle w:val="ListParagraph"/>
              <w:numPr>
                <w:ilvl w:val="0"/>
                <w:numId w:val="35"/>
              </w:numPr>
              <w:spacing w:before="120" w:after="0" w:line="240" w:lineRule="auto"/>
              <w:ind w:left="425" w:hanging="425"/>
              <w:contextualSpacing w:val="0"/>
              <w:jc w:val="both"/>
              <w:rPr>
                <w:rFonts w:asciiTheme="majorBidi" w:hAnsiTheme="majorBidi" w:cstheme="majorBidi"/>
              </w:rPr>
            </w:pPr>
          </w:p>
        </w:tc>
        <w:tc>
          <w:tcPr>
            <w:tcW w:w="1573" w:type="dxa"/>
          </w:tcPr>
          <w:p w:rsidR="000E576E" w:rsidRPr="000E576E" w:rsidRDefault="00AA1CFD" w:rsidP="00BD2FBA">
            <w:pPr>
              <w:jc w:val="both"/>
              <w:rPr>
                <w:rFonts w:asciiTheme="majorBidi" w:hAnsiTheme="majorBidi" w:cstheme="majorBidi"/>
                <w:sz w:val="22"/>
              </w:rPr>
            </w:pPr>
            <w:hyperlink r:id="rId50" w:history="1">
              <w:r w:rsidR="000E576E" w:rsidRPr="000E576E">
                <w:rPr>
                  <w:rStyle w:val="Hyperlink"/>
                  <w:rFonts w:asciiTheme="majorBidi" w:hAnsiTheme="majorBidi" w:cstheme="majorBidi"/>
                  <w:sz w:val="22"/>
                </w:rPr>
                <w:t>WD10</w:t>
              </w:r>
            </w:hyperlink>
          </w:p>
        </w:tc>
        <w:tc>
          <w:tcPr>
            <w:tcW w:w="2286" w:type="dxa"/>
          </w:tcPr>
          <w:p w:rsidR="000E576E" w:rsidRPr="000E576E" w:rsidRDefault="000E576E" w:rsidP="00BD2FBA">
            <w:pPr>
              <w:jc w:val="both"/>
              <w:rPr>
                <w:rFonts w:asciiTheme="majorBidi" w:hAnsiTheme="majorBidi" w:cstheme="majorBidi"/>
                <w:sz w:val="22"/>
              </w:rPr>
            </w:pPr>
            <w:r w:rsidRPr="000E576E">
              <w:rPr>
                <w:rFonts w:asciiTheme="majorBidi" w:hAnsiTheme="majorBidi" w:cstheme="majorBidi"/>
                <w:sz w:val="22"/>
              </w:rPr>
              <w:t>Convener</w:t>
            </w:r>
          </w:p>
        </w:tc>
        <w:tc>
          <w:tcPr>
            <w:tcW w:w="5133" w:type="dxa"/>
          </w:tcPr>
          <w:p w:rsidR="000E576E" w:rsidRPr="000E576E" w:rsidRDefault="000E576E" w:rsidP="00BD2FBA">
            <w:pPr>
              <w:jc w:val="both"/>
              <w:rPr>
                <w:rFonts w:asciiTheme="majorBidi" w:hAnsiTheme="majorBidi" w:cstheme="majorBidi"/>
                <w:sz w:val="22"/>
              </w:rPr>
            </w:pPr>
            <w:r w:rsidRPr="000E576E">
              <w:rPr>
                <w:rFonts w:asciiTheme="majorBidi" w:hAnsiTheme="majorBidi" w:cstheme="majorBidi"/>
                <w:sz w:val="22"/>
              </w:rPr>
              <w:t>Draft CG meeting agenda, 11 June 2014</w:t>
            </w:r>
          </w:p>
        </w:tc>
      </w:tr>
      <w:tr w:rsidR="000E576E" w:rsidRPr="000E576E" w:rsidTr="00BD2FBA">
        <w:tc>
          <w:tcPr>
            <w:tcW w:w="534" w:type="dxa"/>
          </w:tcPr>
          <w:p w:rsidR="000E576E" w:rsidRPr="000E576E" w:rsidRDefault="000E576E" w:rsidP="000E576E">
            <w:pPr>
              <w:pStyle w:val="ListParagraph"/>
              <w:numPr>
                <w:ilvl w:val="0"/>
                <w:numId w:val="35"/>
              </w:numPr>
              <w:spacing w:before="120" w:after="0" w:line="240" w:lineRule="auto"/>
              <w:ind w:left="425" w:hanging="425"/>
              <w:contextualSpacing w:val="0"/>
              <w:jc w:val="both"/>
              <w:rPr>
                <w:rFonts w:asciiTheme="majorBidi" w:hAnsiTheme="majorBidi" w:cstheme="majorBidi"/>
              </w:rPr>
            </w:pPr>
          </w:p>
        </w:tc>
        <w:tc>
          <w:tcPr>
            <w:tcW w:w="1573" w:type="dxa"/>
          </w:tcPr>
          <w:p w:rsidR="000E576E" w:rsidRPr="000E576E" w:rsidRDefault="00AA1CFD" w:rsidP="00BD2FBA">
            <w:pPr>
              <w:jc w:val="both"/>
              <w:rPr>
                <w:rFonts w:asciiTheme="majorBidi" w:hAnsiTheme="majorBidi" w:cstheme="majorBidi"/>
                <w:sz w:val="22"/>
              </w:rPr>
            </w:pPr>
            <w:hyperlink r:id="rId51" w:history="1">
              <w:r w:rsidR="000E576E" w:rsidRPr="000E576E">
                <w:rPr>
                  <w:rStyle w:val="Hyperlink"/>
                  <w:rFonts w:asciiTheme="majorBidi" w:hAnsiTheme="majorBidi" w:cstheme="majorBidi"/>
                  <w:sz w:val="22"/>
                </w:rPr>
                <w:t>WD11</w:t>
              </w:r>
            </w:hyperlink>
          </w:p>
        </w:tc>
        <w:tc>
          <w:tcPr>
            <w:tcW w:w="2286" w:type="dxa"/>
          </w:tcPr>
          <w:p w:rsidR="000E576E" w:rsidRPr="000E576E" w:rsidRDefault="000E576E" w:rsidP="00BD2FBA">
            <w:pPr>
              <w:jc w:val="both"/>
              <w:rPr>
                <w:rFonts w:asciiTheme="majorBidi" w:hAnsiTheme="majorBidi" w:cstheme="majorBidi"/>
                <w:sz w:val="22"/>
              </w:rPr>
            </w:pPr>
            <w:r w:rsidRPr="000E576E">
              <w:rPr>
                <w:rFonts w:asciiTheme="majorBidi" w:hAnsiTheme="majorBidi" w:cstheme="majorBidi"/>
                <w:sz w:val="22"/>
              </w:rPr>
              <w:t>Alcatel Lucent</w:t>
            </w:r>
          </w:p>
        </w:tc>
        <w:tc>
          <w:tcPr>
            <w:tcW w:w="5133" w:type="dxa"/>
          </w:tcPr>
          <w:p w:rsidR="000E576E" w:rsidRPr="000E576E" w:rsidRDefault="000E576E" w:rsidP="00BD2FBA">
            <w:pPr>
              <w:jc w:val="both"/>
              <w:rPr>
                <w:rFonts w:asciiTheme="majorBidi" w:hAnsiTheme="majorBidi" w:cstheme="majorBidi"/>
                <w:sz w:val="22"/>
              </w:rPr>
            </w:pPr>
            <w:r w:rsidRPr="000E576E">
              <w:rPr>
                <w:rFonts w:asciiTheme="majorBidi" w:hAnsiTheme="majorBidi" w:cstheme="majorBidi"/>
                <w:sz w:val="22"/>
              </w:rPr>
              <w:t>Replies to Ghana’s Comments (WD2) on Alcatel Lucent proposal (WD1)</w:t>
            </w:r>
          </w:p>
        </w:tc>
      </w:tr>
      <w:tr w:rsidR="000E576E" w:rsidRPr="000E576E" w:rsidTr="00BD2FBA">
        <w:tc>
          <w:tcPr>
            <w:tcW w:w="534" w:type="dxa"/>
          </w:tcPr>
          <w:p w:rsidR="000E576E" w:rsidRPr="000E576E" w:rsidRDefault="000E576E" w:rsidP="000E576E">
            <w:pPr>
              <w:pStyle w:val="ListParagraph"/>
              <w:numPr>
                <w:ilvl w:val="0"/>
                <w:numId w:val="35"/>
              </w:numPr>
              <w:spacing w:before="120" w:after="0" w:line="240" w:lineRule="auto"/>
              <w:ind w:left="425" w:hanging="425"/>
              <w:contextualSpacing w:val="0"/>
              <w:jc w:val="both"/>
              <w:rPr>
                <w:rFonts w:asciiTheme="majorBidi" w:hAnsiTheme="majorBidi" w:cstheme="majorBidi"/>
              </w:rPr>
            </w:pPr>
          </w:p>
        </w:tc>
        <w:tc>
          <w:tcPr>
            <w:tcW w:w="1573" w:type="dxa"/>
          </w:tcPr>
          <w:p w:rsidR="000E576E" w:rsidRPr="000E576E" w:rsidRDefault="00AA1CFD" w:rsidP="00BD2FBA">
            <w:pPr>
              <w:jc w:val="both"/>
              <w:rPr>
                <w:rFonts w:asciiTheme="majorBidi" w:hAnsiTheme="majorBidi" w:cstheme="majorBidi"/>
                <w:sz w:val="22"/>
              </w:rPr>
            </w:pPr>
            <w:hyperlink r:id="rId52" w:history="1">
              <w:r w:rsidR="000E576E" w:rsidRPr="000E576E">
                <w:rPr>
                  <w:rStyle w:val="Hyperlink"/>
                  <w:rFonts w:asciiTheme="majorBidi" w:hAnsiTheme="majorBidi" w:cstheme="majorBidi"/>
                  <w:sz w:val="22"/>
                </w:rPr>
                <w:t>WD12</w:t>
              </w:r>
            </w:hyperlink>
          </w:p>
        </w:tc>
        <w:tc>
          <w:tcPr>
            <w:tcW w:w="2286" w:type="dxa"/>
          </w:tcPr>
          <w:p w:rsidR="000E576E" w:rsidRPr="000E576E" w:rsidRDefault="000E576E" w:rsidP="00BD2FBA">
            <w:pPr>
              <w:jc w:val="both"/>
              <w:rPr>
                <w:rFonts w:asciiTheme="majorBidi" w:hAnsiTheme="majorBidi" w:cstheme="majorBidi"/>
                <w:sz w:val="22"/>
              </w:rPr>
            </w:pPr>
            <w:r w:rsidRPr="000E576E">
              <w:rPr>
                <w:rFonts w:asciiTheme="majorBidi" w:hAnsiTheme="majorBidi" w:cstheme="majorBidi"/>
                <w:sz w:val="22"/>
              </w:rPr>
              <w:t>Convener</w:t>
            </w:r>
          </w:p>
        </w:tc>
        <w:tc>
          <w:tcPr>
            <w:tcW w:w="5133" w:type="dxa"/>
          </w:tcPr>
          <w:p w:rsidR="000E576E" w:rsidRPr="000E576E" w:rsidRDefault="000E576E" w:rsidP="00BD2FBA">
            <w:pPr>
              <w:jc w:val="both"/>
              <w:rPr>
                <w:rFonts w:asciiTheme="majorBidi" w:hAnsiTheme="majorBidi" w:cstheme="majorBidi"/>
                <w:sz w:val="22"/>
              </w:rPr>
            </w:pPr>
            <w:r w:rsidRPr="000E576E">
              <w:rPr>
                <w:rFonts w:asciiTheme="majorBidi" w:hAnsiTheme="majorBidi" w:cstheme="majorBidi"/>
                <w:sz w:val="22"/>
              </w:rPr>
              <w:t>Draft Report of the e-meeting, 11 June 2014</w:t>
            </w:r>
          </w:p>
        </w:tc>
      </w:tr>
      <w:tr w:rsidR="000E576E" w:rsidRPr="000E576E" w:rsidTr="00BD2FBA">
        <w:tc>
          <w:tcPr>
            <w:tcW w:w="534" w:type="dxa"/>
          </w:tcPr>
          <w:p w:rsidR="000E576E" w:rsidRPr="000E576E" w:rsidRDefault="000E576E" w:rsidP="000E576E">
            <w:pPr>
              <w:pStyle w:val="ListParagraph"/>
              <w:numPr>
                <w:ilvl w:val="0"/>
                <w:numId w:val="35"/>
              </w:numPr>
              <w:spacing w:before="120" w:after="0" w:line="240" w:lineRule="auto"/>
              <w:ind w:left="425" w:hanging="425"/>
              <w:contextualSpacing w:val="0"/>
              <w:jc w:val="both"/>
              <w:rPr>
                <w:rFonts w:asciiTheme="majorBidi" w:hAnsiTheme="majorBidi" w:cstheme="majorBidi"/>
              </w:rPr>
            </w:pPr>
          </w:p>
        </w:tc>
        <w:tc>
          <w:tcPr>
            <w:tcW w:w="1573" w:type="dxa"/>
          </w:tcPr>
          <w:p w:rsidR="000E576E" w:rsidRPr="000E576E" w:rsidRDefault="00AA1CFD" w:rsidP="00BD2FBA">
            <w:pPr>
              <w:jc w:val="both"/>
              <w:rPr>
                <w:rFonts w:asciiTheme="majorBidi" w:hAnsiTheme="majorBidi" w:cstheme="majorBidi"/>
                <w:sz w:val="22"/>
              </w:rPr>
            </w:pPr>
            <w:hyperlink r:id="rId53" w:history="1">
              <w:r w:rsidR="000E576E" w:rsidRPr="000E576E">
                <w:rPr>
                  <w:rStyle w:val="Hyperlink"/>
                  <w:rFonts w:asciiTheme="majorBidi" w:hAnsiTheme="majorBidi" w:cstheme="majorBidi"/>
                  <w:sz w:val="22"/>
                </w:rPr>
                <w:t>WD13</w:t>
              </w:r>
            </w:hyperlink>
          </w:p>
        </w:tc>
        <w:tc>
          <w:tcPr>
            <w:tcW w:w="2286" w:type="dxa"/>
          </w:tcPr>
          <w:p w:rsidR="000E576E" w:rsidRPr="000E576E" w:rsidRDefault="000E576E" w:rsidP="00BD2FBA">
            <w:pPr>
              <w:jc w:val="both"/>
              <w:rPr>
                <w:rFonts w:asciiTheme="majorBidi" w:hAnsiTheme="majorBidi" w:cstheme="majorBidi"/>
                <w:sz w:val="22"/>
              </w:rPr>
            </w:pPr>
            <w:r w:rsidRPr="000E576E">
              <w:rPr>
                <w:rFonts w:asciiTheme="majorBidi" w:hAnsiTheme="majorBidi" w:cstheme="majorBidi"/>
                <w:sz w:val="22"/>
              </w:rPr>
              <w:t>Convener</w:t>
            </w:r>
          </w:p>
        </w:tc>
        <w:tc>
          <w:tcPr>
            <w:tcW w:w="5133" w:type="dxa"/>
          </w:tcPr>
          <w:p w:rsidR="000E576E" w:rsidRPr="000E576E" w:rsidRDefault="000E576E" w:rsidP="00BD2FBA">
            <w:pPr>
              <w:jc w:val="both"/>
              <w:rPr>
                <w:rFonts w:asciiTheme="majorBidi" w:hAnsiTheme="majorBidi" w:cstheme="majorBidi"/>
                <w:sz w:val="22"/>
              </w:rPr>
            </w:pPr>
            <w:r w:rsidRPr="000E576E">
              <w:rPr>
                <w:rFonts w:asciiTheme="majorBidi" w:hAnsiTheme="majorBidi" w:cstheme="majorBidi"/>
                <w:sz w:val="22"/>
              </w:rPr>
              <w:t>Draft Agenda – CG emeeting (2 July 2014)</w:t>
            </w:r>
          </w:p>
        </w:tc>
      </w:tr>
      <w:tr w:rsidR="000E576E" w:rsidRPr="000E576E" w:rsidTr="00BD2FBA">
        <w:tc>
          <w:tcPr>
            <w:tcW w:w="534" w:type="dxa"/>
          </w:tcPr>
          <w:p w:rsidR="000E576E" w:rsidRPr="000E576E" w:rsidRDefault="000E576E" w:rsidP="000E576E">
            <w:pPr>
              <w:pStyle w:val="ListParagraph"/>
              <w:numPr>
                <w:ilvl w:val="0"/>
                <w:numId w:val="35"/>
              </w:numPr>
              <w:spacing w:before="120" w:after="0" w:line="240" w:lineRule="auto"/>
              <w:ind w:left="425" w:hanging="425"/>
              <w:contextualSpacing w:val="0"/>
              <w:jc w:val="both"/>
              <w:rPr>
                <w:rFonts w:asciiTheme="majorBidi" w:hAnsiTheme="majorBidi" w:cstheme="majorBidi"/>
              </w:rPr>
            </w:pPr>
            <w:r w:rsidRPr="000E576E">
              <w:rPr>
                <w:rFonts w:asciiTheme="majorBidi" w:hAnsiTheme="majorBidi" w:cstheme="majorBidi"/>
              </w:rPr>
              <w:t>19</w:t>
            </w:r>
          </w:p>
        </w:tc>
        <w:tc>
          <w:tcPr>
            <w:tcW w:w="1573" w:type="dxa"/>
          </w:tcPr>
          <w:p w:rsidR="000E576E" w:rsidRPr="000E576E" w:rsidRDefault="00AA1CFD" w:rsidP="00BD2FBA">
            <w:pPr>
              <w:jc w:val="both"/>
              <w:rPr>
                <w:rFonts w:asciiTheme="majorBidi" w:hAnsiTheme="majorBidi" w:cstheme="majorBidi"/>
                <w:sz w:val="22"/>
              </w:rPr>
            </w:pPr>
            <w:hyperlink r:id="rId54" w:history="1">
              <w:r w:rsidR="000E576E" w:rsidRPr="000E576E">
                <w:rPr>
                  <w:rStyle w:val="Hyperlink"/>
                  <w:rFonts w:asciiTheme="majorBidi" w:hAnsiTheme="majorBidi" w:cstheme="majorBidi"/>
                  <w:sz w:val="22"/>
                </w:rPr>
                <w:t>WD13r1</w:t>
              </w:r>
            </w:hyperlink>
          </w:p>
        </w:tc>
        <w:tc>
          <w:tcPr>
            <w:tcW w:w="2286" w:type="dxa"/>
          </w:tcPr>
          <w:p w:rsidR="000E576E" w:rsidRPr="000E576E" w:rsidRDefault="000E576E" w:rsidP="00BD2FBA">
            <w:pPr>
              <w:jc w:val="both"/>
              <w:rPr>
                <w:rFonts w:asciiTheme="majorBidi" w:hAnsiTheme="majorBidi" w:cstheme="majorBidi"/>
                <w:sz w:val="22"/>
              </w:rPr>
            </w:pPr>
            <w:r w:rsidRPr="000E576E">
              <w:rPr>
                <w:rFonts w:asciiTheme="majorBidi" w:hAnsiTheme="majorBidi" w:cstheme="majorBidi"/>
                <w:sz w:val="22"/>
              </w:rPr>
              <w:t>Convener</w:t>
            </w:r>
          </w:p>
        </w:tc>
        <w:tc>
          <w:tcPr>
            <w:tcW w:w="5133" w:type="dxa"/>
          </w:tcPr>
          <w:p w:rsidR="000E576E" w:rsidRPr="000E576E" w:rsidRDefault="000E576E" w:rsidP="00BD2FBA">
            <w:pPr>
              <w:jc w:val="both"/>
              <w:rPr>
                <w:rFonts w:asciiTheme="majorBidi" w:hAnsiTheme="majorBidi" w:cstheme="majorBidi"/>
                <w:sz w:val="22"/>
              </w:rPr>
            </w:pPr>
            <w:r w:rsidRPr="000E576E">
              <w:rPr>
                <w:rFonts w:asciiTheme="majorBidi" w:hAnsiTheme="majorBidi" w:cstheme="majorBidi"/>
                <w:sz w:val="22"/>
              </w:rPr>
              <w:t>Draft Agenda – CG emeeting (2 July 2014)</w:t>
            </w:r>
          </w:p>
        </w:tc>
      </w:tr>
      <w:tr w:rsidR="000E576E" w:rsidRPr="000E576E" w:rsidTr="00BD2FBA">
        <w:tc>
          <w:tcPr>
            <w:tcW w:w="534" w:type="dxa"/>
          </w:tcPr>
          <w:p w:rsidR="000E576E" w:rsidRPr="000E576E" w:rsidRDefault="000E576E" w:rsidP="000E576E">
            <w:pPr>
              <w:pStyle w:val="ListParagraph"/>
              <w:numPr>
                <w:ilvl w:val="0"/>
                <w:numId w:val="35"/>
              </w:numPr>
              <w:spacing w:before="120" w:after="0" w:line="240" w:lineRule="auto"/>
              <w:ind w:left="425" w:hanging="425"/>
              <w:contextualSpacing w:val="0"/>
              <w:jc w:val="both"/>
              <w:rPr>
                <w:rFonts w:asciiTheme="majorBidi" w:hAnsiTheme="majorBidi" w:cstheme="majorBidi"/>
              </w:rPr>
            </w:pPr>
          </w:p>
        </w:tc>
        <w:tc>
          <w:tcPr>
            <w:tcW w:w="1573" w:type="dxa"/>
          </w:tcPr>
          <w:p w:rsidR="000E576E" w:rsidRPr="000E576E" w:rsidRDefault="000E576E" w:rsidP="00BD2FBA">
            <w:pPr>
              <w:jc w:val="both"/>
              <w:rPr>
                <w:rFonts w:asciiTheme="majorBidi" w:hAnsiTheme="majorBidi" w:cstheme="majorBidi"/>
                <w:sz w:val="22"/>
              </w:rPr>
            </w:pPr>
            <w:r w:rsidRPr="000E576E">
              <w:rPr>
                <w:rFonts w:asciiTheme="majorBidi" w:hAnsiTheme="majorBidi" w:cstheme="majorBidi"/>
                <w:sz w:val="22"/>
              </w:rPr>
              <w:t>WD14</w:t>
            </w:r>
          </w:p>
        </w:tc>
        <w:tc>
          <w:tcPr>
            <w:tcW w:w="2286" w:type="dxa"/>
          </w:tcPr>
          <w:p w:rsidR="000E576E" w:rsidRPr="000E576E" w:rsidRDefault="000E576E" w:rsidP="00BD2FBA">
            <w:pPr>
              <w:jc w:val="both"/>
              <w:rPr>
                <w:rFonts w:asciiTheme="majorBidi" w:hAnsiTheme="majorBidi" w:cstheme="majorBidi"/>
                <w:sz w:val="22"/>
              </w:rPr>
            </w:pPr>
            <w:r w:rsidRPr="000E576E">
              <w:rPr>
                <w:rFonts w:asciiTheme="majorBidi" w:hAnsiTheme="majorBidi" w:cstheme="majorBidi"/>
                <w:sz w:val="22"/>
              </w:rPr>
              <w:t>Convener</w:t>
            </w:r>
          </w:p>
        </w:tc>
        <w:tc>
          <w:tcPr>
            <w:tcW w:w="5133" w:type="dxa"/>
          </w:tcPr>
          <w:p w:rsidR="000E576E" w:rsidRPr="000E576E" w:rsidRDefault="000E576E" w:rsidP="00BD2FBA">
            <w:pPr>
              <w:jc w:val="both"/>
              <w:rPr>
                <w:rFonts w:asciiTheme="majorBidi" w:hAnsiTheme="majorBidi" w:cstheme="majorBidi"/>
                <w:sz w:val="22"/>
              </w:rPr>
            </w:pPr>
            <w:r w:rsidRPr="000E576E">
              <w:rPr>
                <w:rFonts w:asciiTheme="majorBidi" w:hAnsiTheme="majorBidi" w:cstheme="majorBidi"/>
                <w:sz w:val="22"/>
              </w:rPr>
              <w:t>Draft Report of the e-meeting, 2 July 2014</w:t>
            </w:r>
          </w:p>
        </w:tc>
      </w:tr>
    </w:tbl>
    <w:p w:rsidR="000E576E" w:rsidRPr="000E576E" w:rsidRDefault="000E576E" w:rsidP="000E576E">
      <w:pPr>
        <w:snapToGrid w:val="0"/>
        <w:spacing w:before="360"/>
        <w:jc w:val="both"/>
        <w:rPr>
          <w:rFonts w:asciiTheme="majorBidi" w:hAnsiTheme="majorBidi" w:cstheme="majorBidi"/>
          <w:b/>
          <w:szCs w:val="24"/>
        </w:rPr>
      </w:pPr>
      <w:r w:rsidRPr="000E576E">
        <w:rPr>
          <w:rFonts w:asciiTheme="majorBidi" w:hAnsiTheme="majorBidi" w:cstheme="majorBidi"/>
          <w:b/>
          <w:szCs w:val="24"/>
        </w:rPr>
        <w:t>2</w:t>
      </w:r>
      <w:r w:rsidRPr="000E576E">
        <w:rPr>
          <w:rFonts w:asciiTheme="majorBidi" w:hAnsiTheme="majorBidi" w:cstheme="majorBidi"/>
          <w:b/>
          <w:szCs w:val="24"/>
        </w:rPr>
        <w:tab/>
        <w:t>Some Key outcomes of the discussions</w:t>
      </w:r>
    </w:p>
    <w:p w:rsidR="000E576E" w:rsidRPr="000E576E" w:rsidRDefault="000E576E" w:rsidP="000E576E">
      <w:pPr>
        <w:numPr>
          <w:ilvl w:val="0"/>
          <w:numId w:val="34"/>
        </w:numPr>
        <w:jc w:val="both"/>
        <w:rPr>
          <w:rFonts w:asciiTheme="majorBidi" w:hAnsiTheme="majorBidi" w:cstheme="majorBidi"/>
          <w:szCs w:val="24"/>
          <w:lang w:val="en-US"/>
        </w:rPr>
      </w:pPr>
      <w:r w:rsidRPr="000E576E">
        <w:rPr>
          <w:rFonts w:asciiTheme="majorBidi" w:hAnsiTheme="majorBidi" w:cstheme="majorBidi"/>
          <w:szCs w:val="24"/>
          <w:lang w:val="en-US"/>
        </w:rPr>
        <w:t>Based on the results of the CG’s meetings, the contribution from Russian Federation (</w:t>
      </w:r>
      <w:hyperlink r:id="rId55" w:history="1">
        <w:r w:rsidRPr="000E576E">
          <w:rPr>
            <w:rStyle w:val="Hyperlink"/>
            <w:rFonts w:asciiTheme="majorBidi" w:hAnsiTheme="majorBidi" w:cstheme="majorBidi"/>
            <w:szCs w:val="24"/>
            <w:lang w:val="en-US"/>
          </w:rPr>
          <w:t>C</w:t>
        </w:r>
        <w:r w:rsidRPr="000E576E">
          <w:rPr>
            <w:rStyle w:val="Hyperlink"/>
            <w:rFonts w:asciiTheme="majorBidi" w:hAnsiTheme="majorBidi" w:cstheme="majorBidi"/>
            <w:szCs w:val="24"/>
            <w:lang w:val="en-US"/>
          </w:rPr>
          <w:noBreakHyphen/>
          <w:t>97</w:t>
        </w:r>
      </w:hyperlink>
      <w:r w:rsidRPr="000E576E">
        <w:rPr>
          <w:rFonts w:asciiTheme="majorBidi" w:hAnsiTheme="majorBidi" w:cstheme="majorBidi"/>
          <w:szCs w:val="24"/>
          <w:lang w:val="en-US"/>
        </w:rPr>
        <w:t xml:space="preserve">) was amended and the current version in </w:t>
      </w:r>
      <w:hyperlink r:id="rId56" w:history="1">
        <w:r w:rsidRPr="000E576E">
          <w:rPr>
            <w:rStyle w:val="Hyperlink"/>
            <w:rFonts w:asciiTheme="majorBidi" w:hAnsiTheme="majorBidi" w:cstheme="majorBidi"/>
            <w:szCs w:val="24"/>
            <w:lang w:val="en-US"/>
          </w:rPr>
          <w:t>TD 474 (GEN/11)</w:t>
        </w:r>
      </w:hyperlink>
      <w:r w:rsidRPr="000E576E">
        <w:rPr>
          <w:rFonts w:asciiTheme="majorBidi" w:hAnsiTheme="majorBidi" w:cstheme="majorBidi"/>
          <w:szCs w:val="24"/>
          <w:lang w:val="en-US"/>
        </w:rPr>
        <w:t xml:space="preserve"> is proposed to Q11/11 as baseline text for further progressing.</w:t>
      </w:r>
    </w:p>
    <w:p w:rsidR="000E576E" w:rsidRPr="000E576E" w:rsidRDefault="000E576E" w:rsidP="000E576E">
      <w:pPr>
        <w:numPr>
          <w:ilvl w:val="0"/>
          <w:numId w:val="34"/>
        </w:numPr>
        <w:jc w:val="both"/>
        <w:rPr>
          <w:rFonts w:asciiTheme="majorBidi" w:hAnsiTheme="majorBidi" w:cstheme="majorBidi"/>
          <w:szCs w:val="24"/>
          <w:lang w:val="en-US"/>
        </w:rPr>
      </w:pPr>
      <w:r w:rsidRPr="000E576E">
        <w:rPr>
          <w:rFonts w:asciiTheme="majorBidi" w:hAnsiTheme="majorBidi" w:cstheme="majorBidi"/>
          <w:szCs w:val="24"/>
          <w:lang w:val="en-US"/>
        </w:rPr>
        <w:t>Comments agreed by the CG which led to the above new baseline text:</w:t>
      </w:r>
    </w:p>
    <w:p w:rsidR="000E576E" w:rsidRPr="000E576E" w:rsidRDefault="000E576E" w:rsidP="000E576E">
      <w:pPr>
        <w:numPr>
          <w:ilvl w:val="1"/>
          <w:numId w:val="34"/>
        </w:numPr>
        <w:jc w:val="both"/>
        <w:rPr>
          <w:rFonts w:asciiTheme="majorBidi" w:hAnsiTheme="majorBidi" w:cstheme="majorBidi"/>
          <w:szCs w:val="24"/>
          <w:lang w:val="en-US"/>
        </w:rPr>
      </w:pPr>
      <w:r w:rsidRPr="000E576E">
        <w:rPr>
          <w:rFonts w:asciiTheme="majorBidi" w:hAnsiTheme="majorBidi" w:cstheme="majorBidi"/>
          <w:szCs w:val="24"/>
          <w:lang w:val="en-US"/>
        </w:rPr>
        <w:t>C-97 procedure was considered complicated and was therefore simplified.</w:t>
      </w:r>
    </w:p>
    <w:p w:rsidR="000E576E" w:rsidRPr="000E576E" w:rsidRDefault="000E576E" w:rsidP="000E576E">
      <w:pPr>
        <w:numPr>
          <w:ilvl w:val="1"/>
          <w:numId w:val="34"/>
        </w:numPr>
        <w:jc w:val="both"/>
        <w:rPr>
          <w:rFonts w:asciiTheme="majorBidi" w:hAnsiTheme="majorBidi" w:cstheme="majorBidi"/>
          <w:szCs w:val="24"/>
          <w:lang w:val="en-US"/>
        </w:rPr>
      </w:pPr>
      <w:r w:rsidRPr="000E576E">
        <w:rPr>
          <w:rFonts w:asciiTheme="majorBidi" w:hAnsiTheme="majorBidi" w:cstheme="majorBidi"/>
          <w:szCs w:val="24"/>
          <w:lang w:val="en-US"/>
        </w:rPr>
        <w:t>TSB has presented a best practice of SDOs/Forums/Consortia on the implementation of its recognition process (</w:t>
      </w:r>
      <w:hyperlink r:id="rId57" w:history="1">
        <w:r w:rsidRPr="000E576E">
          <w:rPr>
            <w:rStyle w:val="Hyperlink"/>
            <w:rFonts w:asciiTheme="majorBidi" w:hAnsiTheme="majorBidi" w:cstheme="majorBidi"/>
            <w:szCs w:val="24"/>
            <w:lang w:val="en-US"/>
          </w:rPr>
          <w:t>WD9</w:t>
        </w:r>
      </w:hyperlink>
      <w:r w:rsidRPr="000E576E">
        <w:rPr>
          <w:rFonts w:asciiTheme="majorBidi" w:hAnsiTheme="majorBidi" w:cstheme="majorBidi"/>
          <w:szCs w:val="24"/>
          <w:lang w:val="en-US"/>
        </w:rPr>
        <w:t>). In accordance with the overview, some organizations have already implemented a recognition process of TLs. This approach is directed to increase the credibility of its C&amp;I Programmes. Participants accepted this document as a useful example showing the state of the art. It was taken for information.</w:t>
      </w:r>
    </w:p>
    <w:p w:rsidR="000E576E" w:rsidRPr="000E576E" w:rsidRDefault="000E576E" w:rsidP="000E576E">
      <w:pPr>
        <w:numPr>
          <w:ilvl w:val="1"/>
          <w:numId w:val="34"/>
        </w:numPr>
        <w:jc w:val="both"/>
        <w:rPr>
          <w:rFonts w:asciiTheme="majorBidi" w:hAnsiTheme="majorBidi" w:cstheme="majorBidi"/>
          <w:szCs w:val="24"/>
          <w:lang w:val="en-US"/>
        </w:rPr>
      </w:pPr>
      <w:r w:rsidRPr="000E576E">
        <w:rPr>
          <w:rFonts w:asciiTheme="majorBidi" w:hAnsiTheme="majorBidi" w:cstheme="majorBidi"/>
          <w:szCs w:val="24"/>
          <w:lang w:val="en-US"/>
        </w:rPr>
        <w:t xml:space="preserve">ILAC and IECEE’s accreditation clearly defines the scope of the Laboratory accreditation. Therefore it is necessary to ensure that Laboratory assessment teams </w:t>
      </w:r>
      <w:r w:rsidRPr="000E576E">
        <w:rPr>
          <w:rFonts w:asciiTheme="majorBidi" w:hAnsiTheme="majorBidi" w:cstheme="majorBidi"/>
          <w:szCs w:val="24"/>
          <w:lang w:val="en-US"/>
        </w:rPr>
        <w:lastRenderedPageBreak/>
        <w:t>must include technical experts in the Tests and Assessments of ITU-T Recommendations. In accordance with ISO standards (e.g. ISO/IEC 15504) an assessor must have a suitable level of the relevant skills and experience, including related training and experience in process capability assessments. To avoid misunderstanding the CG decided to use the term “ITU-T technical expert” instead of “ITU-T assessor”.</w:t>
      </w:r>
    </w:p>
    <w:p w:rsidR="000E576E" w:rsidRPr="000E576E" w:rsidRDefault="000E576E" w:rsidP="000E576E">
      <w:pPr>
        <w:numPr>
          <w:ilvl w:val="1"/>
          <w:numId w:val="34"/>
        </w:numPr>
        <w:jc w:val="both"/>
        <w:rPr>
          <w:rFonts w:asciiTheme="majorBidi" w:hAnsiTheme="majorBidi" w:cstheme="majorBidi"/>
          <w:szCs w:val="24"/>
          <w:lang w:val="en-US"/>
        </w:rPr>
      </w:pPr>
      <w:r w:rsidRPr="000E576E">
        <w:rPr>
          <w:rFonts w:asciiTheme="majorBidi" w:hAnsiTheme="majorBidi" w:cstheme="majorBidi"/>
          <w:szCs w:val="24"/>
          <w:lang w:val="en-US"/>
        </w:rPr>
        <w:t>A best practice shows that the general TL’s recognition procedure is based on the assessment provided by technical experts appointed by the relevant SDOs/Forums/Consortia. That’s why the ITU recognition of the TL competence against ITU-T Recommendations has to be performed by ITU’s appointed technical experts. Recognizing that ITU-T experts might not have knowledge of the technical content in some ITU-T Recommendations that reference to other Standards from other bodies (only ITU-T Rec. A.5 qualified bodies can have standards referenced), therefore the experts’ appointment should be open to the technical experts of ITU-T Rec. A.5 qualified organizations.</w:t>
      </w:r>
    </w:p>
    <w:p w:rsidR="000E576E" w:rsidRPr="000E576E" w:rsidRDefault="000E576E" w:rsidP="000E576E">
      <w:pPr>
        <w:numPr>
          <w:ilvl w:val="1"/>
          <w:numId w:val="34"/>
        </w:numPr>
        <w:jc w:val="both"/>
        <w:rPr>
          <w:rFonts w:asciiTheme="majorBidi" w:hAnsiTheme="majorBidi" w:cstheme="majorBidi"/>
          <w:szCs w:val="24"/>
          <w:lang w:val="en-US"/>
        </w:rPr>
      </w:pPr>
      <w:r w:rsidRPr="000E576E">
        <w:rPr>
          <w:rFonts w:asciiTheme="majorBidi" w:hAnsiTheme="majorBidi" w:cstheme="majorBidi"/>
          <w:szCs w:val="24"/>
          <w:lang w:val="en-US"/>
        </w:rPr>
        <w:t>ILAC and IECEE TL’s accreditation cover few ITU-T Recommendations. ITU has published the list of key ITU-T Recommendations which are suitable for C&amp;I testing. This list may be used for extending the ILAC and IECEE scope of TL’s accreditation.</w:t>
      </w:r>
    </w:p>
    <w:p w:rsidR="000E576E" w:rsidRPr="000E576E" w:rsidRDefault="000E576E" w:rsidP="000E576E">
      <w:pPr>
        <w:numPr>
          <w:ilvl w:val="1"/>
          <w:numId w:val="34"/>
        </w:numPr>
        <w:jc w:val="both"/>
        <w:rPr>
          <w:rFonts w:asciiTheme="majorBidi" w:hAnsiTheme="majorBidi" w:cstheme="majorBidi"/>
          <w:szCs w:val="24"/>
          <w:lang w:val="en-US"/>
        </w:rPr>
      </w:pPr>
      <w:r w:rsidRPr="000E576E">
        <w:rPr>
          <w:rFonts w:asciiTheme="majorBidi" w:hAnsiTheme="majorBidi" w:cstheme="majorBidi"/>
          <w:szCs w:val="24"/>
          <w:lang w:val="en-US"/>
        </w:rPr>
        <w:t>Some CG’s participants indicated that SDoC can’t be an unified instrument for conformance testing because the SDoC does not show the completeness of performed tests. In additional, some of international standards require the regular approach of conformance assessment. For instance the ITU-T Recommendations which deal with safety and security can’t be assessed through the SDoC approach. In this order the CG recommends to use a regular approach for ITU-T Recommendations which are suitable for conformance testing.</w:t>
      </w:r>
    </w:p>
    <w:p w:rsidR="000E576E" w:rsidRPr="000E576E" w:rsidRDefault="000E576E" w:rsidP="000E576E">
      <w:pPr>
        <w:numPr>
          <w:ilvl w:val="1"/>
          <w:numId w:val="34"/>
        </w:numPr>
        <w:jc w:val="both"/>
        <w:rPr>
          <w:rFonts w:asciiTheme="majorBidi" w:hAnsiTheme="majorBidi" w:cstheme="majorBidi"/>
          <w:szCs w:val="24"/>
          <w:lang w:val="en-US"/>
        </w:rPr>
      </w:pPr>
      <w:r w:rsidRPr="000E576E">
        <w:rPr>
          <w:rFonts w:asciiTheme="majorBidi" w:hAnsiTheme="majorBidi" w:cstheme="majorBidi"/>
          <w:szCs w:val="24"/>
          <w:lang w:val="en-US"/>
        </w:rPr>
        <w:t>It was stated that a manufacturer can populate the ITU Product Conformity Database either by results of tests conducted internally or by results provided by a 3</w:t>
      </w:r>
      <w:r w:rsidRPr="000E576E">
        <w:rPr>
          <w:rFonts w:asciiTheme="majorBidi" w:hAnsiTheme="majorBidi" w:cstheme="majorBidi"/>
          <w:szCs w:val="24"/>
          <w:vertAlign w:val="superscript"/>
          <w:lang w:val="en-US"/>
        </w:rPr>
        <w:t>rd</w:t>
      </w:r>
      <w:r w:rsidRPr="000E576E">
        <w:rPr>
          <w:rFonts w:asciiTheme="majorBidi" w:hAnsiTheme="majorBidi" w:cstheme="majorBidi"/>
          <w:szCs w:val="24"/>
          <w:lang w:val="en-US"/>
        </w:rPr>
        <w:t xml:space="preserve"> party (independent TL commissioned by the vendor). It was mentioned that the 3</w:t>
      </w:r>
      <w:r w:rsidRPr="000E576E">
        <w:rPr>
          <w:rFonts w:asciiTheme="majorBidi" w:hAnsiTheme="majorBidi" w:cstheme="majorBidi"/>
          <w:szCs w:val="24"/>
          <w:vertAlign w:val="superscript"/>
          <w:lang w:val="en-US"/>
        </w:rPr>
        <w:t>rd</w:t>
      </w:r>
      <w:r w:rsidRPr="000E576E">
        <w:rPr>
          <w:rFonts w:asciiTheme="majorBidi" w:hAnsiTheme="majorBidi" w:cstheme="majorBidi"/>
          <w:szCs w:val="24"/>
          <w:lang w:val="en-US"/>
        </w:rPr>
        <w:t xml:space="preserve"> party DoC is current practice in most developing countries. However, other situations exist, especially in Europe where the SDoC is common practice in order to claim compliance with the Regulation. Since the 3</w:t>
      </w:r>
      <w:r w:rsidRPr="000E576E">
        <w:rPr>
          <w:rFonts w:asciiTheme="majorBidi" w:hAnsiTheme="majorBidi" w:cstheme="majorBidi"/>
          <w:szCs w:val="24"/>
          <w:vertAlign w:val="superscript"/>
          <w:lang w:val="en-US"/>
        </w:rPr>
        <w:t>rd</w:t>
      </w:r>
      <w:r w:rsidRPr="000E576E">
        <w:rPr>
          <w:rFonts w:asciiTheme="majorBidi" w:hAnsiTheme="majorBidi" w:cstheme="majorBidi"/>
          <w:szCs w:val="24"/>
          <w:lang w:val="en-US"/>
        </w:rPr>
        <w:t xml:space="preserve"> party is totally independent, it is seen as providing more credibility and transparency when evaluating testing results presented by small organizations.</w:t>
      </w:r>
    </w:p>
    <w:p w:rsidR="000E576E" w:rsidRPr="000E576E" w:rsidRDefault="000E576E" w:rsidP="000E576E">
      <w:pPr>
        <w:numPr>
          <w:ilvl w:val="1"/>
          <w:numId w:val="34"/>
        </w:numPr>
        <w:jc w:val="both"/>
        <w:rPr>
          <w:rFonts w:asciiTheme="majorBidi" w:hAnsiTheme="majorBidi" w:cstheme="majorBidi"/>
          <w:szCs w:val="24"/>
          <w:lang w:val="en-US"/>
        </w:rPr>
      </w:pPr>
      <w:r w:rsidRPr="000E576E">
        <w:rPr>
          <w:rFonts w:asciiTheme="majorBidi" w:hAnsiTheme="majorBidi" w:cstheme="majorBidi"/>
          <w:szCs w:val="24"/>
          <w:lang w:val="en-US"/>
        </w:rPr>
        <w:t>Finally, based on the group discussions and advices of invited experts from ILAC and IECEE, the CG has identified two possible options for the implementation of the ITU recognition procedure. First is to establish ITU’s own recognition procedure. The second option is to join the existing certification schemes (such as but not limited to IECEE, ILAC, etc.) by providing ITU’s technical experts for making a TL’s assessment against ITU-T Recommendations.</w:t>
      </w:r>
    </w:p>
    <w:p w:rsidR="000E576E" w:rsidRPr="000E576E" w:rsidRDefault="000E576E" w:rsidP="000E576E">
      <w:pPr>
        <w:numPr>
          <w:ilvl w:val="1"/>
          <w:numId w:val="34"/>
        </w:numPr>
        <w:jc w:val="both"/>
        <w:rPr>
          <w:rFonts w:asciiTheme="majorBidi" w:hAnsiTheme="majorBidi" w:cstheme="majorBidi"/>
          <w:szCs w:val="24"/>
          <w:lang w:val="en-US"/>
        </w:rPr>
      </w:pPr>
      <w:r w:rsidRPr="000E576E">
        <w:rPr>
          <w:rFonts w:asciiTheme="majorBidi" w:hAnsiTheme="majorBidi" w:cstheme="majorBidi"/>
          <w:szCs w:val="24"/>
          <w:lang w:val="en-US"/>
        </w:rPr>
        <w:t>As a first step, the CG recommends SG11 to join the existing certification schemes (IECEE and ILAC), where ITU technical experts can be involved to their accreditation/recognition procedures. Therefore the CG decided to extend the structure of the proposed ITU Steering committee (</w:t>
      </w:r>
      <w:hyperlink r:id="rId58" w:history="1">
        <w:r w:rsidRPr="000E576E">
          <w:rPr>
            <w:rStyle w:val="Hyperlink"/>
            <w:rFonts w:asciiTheme="majorBidi" w:hAnsiTheme="majorBidi" w:cstheme="majorBidi"/>
            <w:szCs w:val="24"/>
            <w:lang w:val="en-US"/>
          </w:rPr>
          <w:t>WD8</w:t>
        </w:r>
      </w:hyperlink>
      <w:r w:rsidRPr="000E576E">
        <w:rPr>
          <w:rFonts w:asciiTheme="majorBidi" w:hAnsiTheme="majorBidi" w:cstheme="majorBidi"/>
          <w:szCs w:val="24"/>
          <w:lang w:val="en-US"/>
        </w:rPr>
        <w:t>), adding a box which is responsible for a cooperation between ITU and international accreditation bodies (e.g. IECEE, ILAC, etc.). The revised version of the draft ITU recognition procedure is available in WD8r2.</w:t>
      </w:r>
    </w:p>
    <w:p w:rsidR="000E576E" w:rsidRPr="000E576E" w:rsidRDefault="000E576E" w:rsidP="000E576E">
      <w:pPr>
        <w:numPr>
          <w:ilvl w:val="1"/>
          <w:numId w:val="34"/>
        </w:numPr>
        <w:jc w:val="both"/>
        <w:rPr>
          <w:rFonts w:asciiTheme="majorBidi" w:hAnsiTheme="majorBidi" w:cstheme="majorBidi"/>
          <w:szCs w:val="24"/>
          <w:lang w:val="en-US"/>
        </w:rPr>
      </w:pPr>
      <w:r w:rsidRPr="000E576E">
        <w:rPr>
          <w:rFonts w:asciiTheme="majorBidi" w:hAnsiTheme="majorBidi" w:cstheme="majorBidi"/>
          <w:szCs w:val="24"/>
          <w:lang w:val="en-US"/>
        </w:rPr>
        <w:lastRenderedPageBreak/>
        <w:t>CG requests SG11 to continue this discussion and consider an appropriate option for establishing the ITU TL’s recognition procedure.</w:t>
      </w:r>
    </w:p>
    <w:p w:rsidR="000E576E" w:rsidRPr="000E576E" w:rsidRDefault="000E576E" w:rsidP="000E576E">
      <w:pPr>
        <w:jc w:val="both"/>
        <w:rPr>
          <w:rFonts w:asciiTheme="majorBidi" w:hAnsiTheme="majorBidi" w:cstheme="majorBidi"/>
          <w:b/>
          <w:szCs w:val="24"/>
        </w:rPr>
      </w:pPr>
      <w:r w:rsidRPr="000E576E">
        <w:rPr>
          <w:rFonts w:asciiTheme="majorBidi" w:hAnsiTheme="majorBidi" w:cstheme="majorBidi"/>
          <w:b/>
          <w:szCs w:val="24"/>
        </w:rPr>
        <w:t>Annexes</w:t>
      </w:r>
    </w:p>
    <w:p w:rsidR="000E576E" w:rsidRPr="000E576E" w:rsidRDefault="000E576E" w:rsidP="000E576E">
      <w:pPr>
        <w:tabs>
          <w:tab w:val="clear" w:pos="794"/>
          <w:tab w:val="clear" w:pos="1191"/>
          <w:tab w:val="clear" w:pos="1588"/>
          <w:tab w:val="clear" w:pos="1985"/>
        </w:tabs>
        <w:overflowPunct/>
        <w:autoSpaceDE/>
        <w:autoSpaceDN/>
        <w:adjustRightInd/>
        <w:spacing w:before="0"/>
        <w:jc w:val="both"/>
        <w:textAlignment w:val="auto"/>
        <w:rPr>
          <w:rFonts w:asciiTheme="majorBidi" w:hAnsiTheme="majorBidi" w:cstheme="majorBidi"/>
          <w:b/>
          <w:szCs w:val="24"/>
        </w:rPr>
      </w:pPr>
    </w:p>
    <w:p w:rsidR="000E576E" w:rsidRPr="000E576E" w:rsidRDefault="000E576E" w:rsidP="00B95FD5">
      <w:pPr>
        <w:tabs>
          <w:tab w:val="clear" w:pos="794"/>
          <w:tab w:val="clear" w:pos="1191"/>
          <w:tab w:val="clear" w:pos="1588"/>
          <w:tab w:val="clear" w:pos="1985"/>
        </w:tabs>
        <w:overflowPunct/>
        <w:autoSpaceDE/>
        <w:autoSpaceDN/>
        <w:adjustRightInd/>
        <w:spacing w:before="0"/>
        <w:ind w:left="567" w:hanging="567"/>
        <w:jc w:val="both"/>
        <w:textAlignment w:val="auto"/>
        <w:rPr>
          <w:rFonts w:asciiTheme="majorBidi" w:hAnsiTheme="majorBidi" w:cstheme="majorBidi"/>
          <w:szCs w:val="24"/>
        </w:rPr>
      </w:pPr>
      <w:r w:rsidRPr="000E576E">
        <w:rPr>
          <w:rFonts w:asciiTheme="majorBidi" w:hAnsiTheme="majorBidi" w:cstheme="majorBidi"/>
          <w:b/>
          <w:szCs w:val="24"/>
        </w:rPr>
        <w:t>Annex A</w:t>
      </w:r>
      <w:r w:rsidR="00B95FD5">
        <w:rPr>
          <w:rFonts w:asciiTheme="majorBidi" w:hAnsiTheme="majorBidi" w:cstheme="majorBidi"/>
          <w:b/>
          <w:szCs w:val="24"/>
        </w:rPr>
        <w:t xml:space="preserve"> (to TD475)</w:t>
      </w:r>
      <w:r w:rsidRPr="000E576E">
        <w:rPr>
          <w:rFonts w:asciiTheme="majorBidi" w:hAnsiTheme="majorBidi" w:cstheme="majorBidi"/>
          <w:b/>
          <w:szCs w:val="24"/>
        </w:rPr>
        <w:t>:</w:t>
      </w:r>
      <w:r w:rsidRPr="000E576E">
        <w:rPr>
          <w:rFonts w:asciiTheme="majorBidi" w:eastAsia="????" w:hAnsiTheme="majorBidi" w:cstheme="majorBidi"/>
          <w:szCs w:val="24"/>
          <w:lang w:val="it-IT"/>
        </w:rPr>
        <w:t xml:space="preserve"> </w:t>
      </w:r>
      <w:r w:rsidRPr="000E576E">
        <w:rPr>
          <w:rFonts w:asciiTheme="majorBidi" w:eastAsia="????" w:hAnsiTheme="majorBidi" w:cstheme="majorBidi"/>
          <w:szCs w:val="24"/>
          <w:lang w:val="it-IT"/>
        </w:rPr>
        <w:tab/>
        <w:t>Best practices from other SDOs</w:t>
      </w:r>
    </w:p>
    <w:p w:rsidR="00E37E34" w:rsidRPr="000E576E" w:rsidRDefault="005D1BFE" w:rsidP="00496C85">
      <w:pPr>
        <w:jc w:val="center"/>
        <w:rPr>
          <w:rFonts w:asciiTheme="majorBidi" w:hAnsiTheme="majorBidi" w:cstheme="majorBidi"/>
          <w:b/>
          <w:szCs w:val="24"/>
        </w:rPr>
      </w:pPr>
      <w:bookmarkStart w:id="9" w:name="_Annex"/>
      <w:bookmarkEnd w:id="9"/>
      <w:r w:rsidRPr="000E576E">
        <w:rPr>
          <w:rFonts w:asciiTheme="majorBidi" w:hAnsiTheme="majorBidi" w:cstheme="majorBidi"/>
          <w:szCs w:val="24"/>
        </w:rPr>
        <w:t>___</w:t>
      </w:r>
      <w:r w:rsidR="007E0AED" w:rsidRPr="000E576E">
        <w:rPr>
          <w:rFonts w:asciiTheme="majorBidi" w:hAnsiTheme="majorBidi" w:cstheme="majorBidi"/>
          <w:szCs w:val="24"/>
        </w:rPr>
        <w:t>_</w:t>
      </w:r>
      <w:r w:rsidRPr="000E576E">
        <w:rPr>
          <w:rFonts w:asciiTheme="majorBidi" w:hAnsiTheme="majorBidi" w:cstheme="majorBidi"/>
          <w:szCs w:val="24"/>
        </w:rPr>
        <w:t>______________</w:t>
      </w:r>
      <w:bookmarkStart w:id="10" w:name="_GoBack"/>
      <w:bookmarkEnd w:id="10"/>
    </w:p>
    <w:sectPr w:rsidR="00E37E34" w:rsidRPr="000E576E" w:rsidSect="00626C56">
      <w:headerReference w:type="default" r:id="rId59"/>
      <w:footerReference w:type="first" r:id="rId60"/>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094B" w:rsidRDefault="00EF094B">
      <w:r>
        <w:separator/>
      </w:r>
    </w:p>
  </w:endnote>
  <w:endnote w:type="continuationSeparator" w:id="0">
    <w:p w:rsidR="00EF094B" w:rsidRDefault="00EF0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ourierPS">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Look w:val="0000" w:firstRow="0" w:lastRow="0" w:firstColumn="0" w:lastColumn="0" w:noHBand="0" w:noVBand="0"/>
    </w:tblPr>
    <w:tblGrid>
      <w:gridCol w:w="1843"/>
      <w:gridCol w:w="3261"/>
      <w:gridCol w:w="4819"/>
    </w:tblGrid>
    <w:tr w:rsidR="00F560C6" w:rsidRPr="00626C56" w:rsidTr="00626C56">
      <w:trPr>
        <w:cantSplit/>
        <w:jc w:val="center"/>
      </w:trPr>
      <w:tc>
        <w:tcPr>
          <w:tcW w:w="1843" w:type="dxa"/>
          <w:tcBorders>
            <w:top w:val="single" w:sz="4" w:space="0" w:color="auto"/>
            <w:left w:val="single" w:sz="4" w:space="0" w:color="auto"/>
            <w:bottom w:val="single" w:sz="4" w:space="0" w:color="auto"/>
            <w:right w:val="single" w:sz="4" w:space="0" w:color="auto"/>
          </w:tcBorders>
          <w:tcMar>
            <w:left w:w="57" w:type="dxa"/>
            <w:right w:w="57" w:type="dxa"/>
          </w:tcMar>
        </w:tcPr>
        <w:p w:rsidR="00F560C6" w:rsidRDefault="00F560C6" w:rsidP="00F67C33">
          <w:pPr>
            <w:spacing w:after="120"/>
            <w:rPr>
              <w:b/>
              <w:bCs/>
            </w:rPr>
          </w:pPr>
          <w:r>
            <w:rPr>
              <w:b/>
              <w:bCs/>
            </w:rPr>
            <w:t>Contact:</w:t>
          </w:r>
        </w:p>
      </w:tc>
      <w:tc>
        <w:tcPr>
          <w:tcW w:w="3261" w:type="dxa"/>
          <w:tcBorders>
            <w:top w:val="single" w:sz="4" w:space="0" w:color="auto"/>
            <w:left w:val="single" w:sz="4" w:space="0" w:color="auto"/>
            <w:bottom w:val="single" w:sz="4" w:space="0" w:color="auto"/>
            <w:right w:val="single" w:sz="4" w:space="0" w:color="auto"/>
          </w:tcBorders>
        </w:tcPr>
        <w:p w:rsidR="00F16931" w:rsidRPr="007E4ECA" w:rsidRDefault="00F16931" w:rsidP="00F16931">
          <w:pPr>
            <w:rPr>
              <w:sz w:val="22"/>
            </w:rPr>
          </w:pPr>
          <w:r w:rsidRPr="007E4ECA">
            <w:rPr>
              <w:sz w:val="22"/>
            </w:rPr>
            <w:t>JCA-CIT Secretariat</w:t>
          </w:r>
        </w:p>
        <w:p w:rsidR="00F560C6" w:rsidRPr="00F67C33" w:rsidRDefault="00F16931" w:rsidP="00F16931">
          <w:pPr>
            <w:snapToGrid w:val="0"/>
            <w:spacing w:before="0"/>
          </w:pPr>
          <w:r w:rsidRPr="007E4ECA">
            <w:rPr>
              <w:sz w:val="22"/>
            </w:rPr>
            <w:t>Denis Andreev</w:t>
          </w:r>
        </w:p>
      </w:tc>
      <w:tc>
        <w:tcPr>
          <w:tcW w:w="4819" w:type="dxa"/>
          <w:tcBorders>
            <w:top w:val="single" w:sz="4" w:space="0" w:color="auto"/>
            <w:left w:val="single" w:sz="4" w:space="0" w:color="auto"/>
            <w:bottom w:val="single" w:sz="4" w:space="0" w:color="auto"/>
            <w:right w:val="single" w:sz="4" w:space="0" w:color="auto"/>
          </w:tcBorders>
        </w:tcPr>
        <w:p w:rsidR="00F16931" w:rsidRPr="007E4ECA" w:rsidRDefault="00F16931" w:rsidP="00F16931">
          <w:pPr>
            <w:rPr>
              <w:sz w:val="22"/>
            </w:rPr>
          </w:pPr>
          <w:r w:rsidRPr="007E4ECA">
            <w:rPr>
              <w:sz w:val="22"/>
            </w:rPr>
            <w:t>Tel: +41227305780</w:t>
          </w:r>
        </w:p>
        <w:p w:rsidR="00F560C6" w:rsidRDefault="00F16931" w:rsidP="00F16931">
          <w:pPr>
            <w:snapToGrid w:val="0"/>
            <w:spacing w:before="0"/>
            <w:ind w:firstLine="34"/>
          </w:pPr>
          <w:r w:rsidRPr="007E4ECA">
            <w:rPr>
              <w:sz w:val="22"/>
            </w:rPr>
            <w:t xml:space="preserve">Email: </w:t>
          </w:r>
          <w:hyperlink r:id="rId1" w:history="1">
            <w:r w:rsidRPr="007E4ECA">
              <w:rPr>
                <w:rStyle w:val="Hyperlink"/>
                <w:sz w:val="22"/>
              </w:rPr>
              <w:t>tsbjcacit@itu.int</w:t>
            </w:r>
          </w:hyperlink>
        </w:p>
      </w:tc>
    </w:tr>
    <w:tr w:rsidR="00F560C6" w:rsidRPr="00626C56">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F560C6" w:rsidRPr="00626C56" w:rsidRDefault="00F560C6" w:rsidP="00626C56">
          <w:pPr>
            <w:spacing w:before="0"/>
            <w:rPr>
              <w:sz w:val="18"/>
            </w:rPr>
          </w:pPr>
          <w:r w:rsidRPr="00626C56">
            <w:rPr>
              <w:b/>
              <w:bCs/>
              <w:sz w:val="18"/>
            </w:rPr>
            <w:t>Attention:</w:t>
          </w:r>
          <w:r w:rsidRPr="00626C56">
            <w:rPr>
              <w:sz w:val="18"/>
            </w:rPr>
            <w:t xml:space="preserve"> This is not a publication made available to the public, but </w:t>
          </w:r>
          <w:r w:rsidRPr="00626C56">
            <w:rPr>
              <w:b/>
              <w:bCs/>
              <w:sz w:val="18"/>
            </w:rPr>
            <w:t>an internal ITU-T Document</w:t>
          </w:r>
          <w:r w:rsidRPr="00626C56">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F560C6" w:rsidRPr="00626C56" w:rsidRDefault="00F560C6" w:rsidP="00626C56">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094B" w:rsidRDefault="00EF094B">
      <w:r>
        <w:separator/>
      </w:r>
    </w:p>
  </w:footnote>
  <w:footnote w:type="continuationSeparator" w:id="0">
    <w:p w:rsidR="00EF094B" w:rsidRDefault="00EF09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60C6" w:rsidRPr="00626C56" w:rsidRDefault="00F560C6" w:rsidP="00626C56">
    <w:pPr>
      <w:pStyle w:val="Header"/>
    </w:pPr>
    <w:r w:rsidRPr="00626C56">
      <w:t xml:space="preserve">- </w:t>
    </w:r>
    <w:r w:rsidRPr="00626C56">
      <w:fldChar w:fldCharType="begin"/>
    </w:r>
    <w:r w:rsidRPr="00626C56">
      <w:instrText xml:space="preserve"> PAGE  \* MERGEFORMAT </w:instrText>
    </w:r>
    <w:r w:rsidRPr="00626C56">
      <w:fldChar w:fldCharType="separate"/>
    </w:r>
    <w:r w:rsidR="00AA1CFD">
      <w:rPr>
        <w:noProof/>
      </w:rPr>
      <w:t>8</w:t>
    </w:r>
    <w:r w:rsidRPr="00626C56">
      <w:fldChar w:fldCharType="end"/>
    </w:r>
    <w:r w:rsidRPr="00626C56">
      <w:t xml:space="preserve"> -</w:t>
    </w:r>
  </w:p>
  <w:p w:rsidR="00F560C6" w:rsidRPr="00626C56" w:rsidRDefault="00F560C6" w:rsidP="00626C56">
    <w:pPr>
      <w:pStyle w:val="Header"/>
      <w:spacing w:after="240"/>
    </w:pPr>
    <w:r w:rsidRPr="00626C56">
      <w:fldChar w:fldCharType="begin"/>
    </w:r>
    <w:r w:rsidRPr="00626C56">
      <w:instrText xml:space="preserve"> STYLEREF  Docnumber  </w:instrText>
    </w:r>
    <w:r w:rsidRPr="00626C56">
      <w:fldChar w:fldCharType="separate"/>
    </w:r>
    <w:r w:rsidR="00AA1CFD">
      <w:rPr>
        <w:noProof/>
      </w:rPr>
      <w:t>JCA-CIT-I-050</w:t>
    </w:r>
    <w:r w:rsidRPr="00626C56">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69F3A53"/>
    <w:multiLevelType w:val="hybridMultilevel"/>
    <w:tmpl w:val="7EC83C1C"/>
    <w:lvl w:ilvl="0" w:tplc="BDB2CA94">
      <w:start w:val="5"/>
      <w:numFmt w:val="bullet"/>
      <w:lvlText w:val="∙"/>
      <w:lvlJc w:val="left"/>
      <w:pPr>
        <w:ind w:left="608" w:hanging="360"/>
      </w:pPr>
      <w:rPr>
        <w:rFonts w:ascii="Baskerville Old Face" w:eastAsia="CourierPS" w:hAnsi="Baskerville Old Face" w:cs="CourierPS" w:hint="default"/>
        <w:color w:val="auto"/>
      </w:rPr>
    </w:lvl>
    <w:lvl w:ilvl="1" w:tplc="04090003" w:tentative="1">
      <w:start w:val="1"/>
      <w:numFmt w:val="bullet"/>
      <w:lvlText w:val="o"/>
      <w:lvlJc w:val="left"/>
      <w:pPr>
        <w:ind w:left="1328" w:hanging="360"/>
      </w:pPr>
      <w:rPr>
        <w:rFonts w:ascii="Courier New" w:hAnsi="Courier New" w:cs="Courier New" w:hint="default"/>
      </w:rPr>
    </w:lvl>
    <w:lvl w:ilvl="2" w:tplc="04090005" w:tentative="1">
      <w:start w:val="1"/>
      <w:numFmt w:val="bullet"/>
      <w:lvlText w:val=""/>
      <w:lvlJc w:val="left"/>
      <w:pPr>
        <w:ind w:left="2048" w:hanging="360"/>
      </w:pPr>
      <w:rPr>
        <w:rFonts w:ascii="Wingdings" w:hAnsi="Wingdings" w:hint="default"/>
      </w:rPr>
    </w:lvl>
    <w:lvl w:ilvl="3" w:tplc="04090001" w:tentative="1">
      <w:start w:val="1"/>
      <w:numFmt w:val="bullet"/>
      <w:lvlText w:val=""/>
      <w:lvlJc w:val="left"/>
      <w:pPr>
        <w:ind w:left="2768" w:hanging="360"/>
      </w:pPr>
      <w:rPr>
        <w:rFonts w:ascii="Symbol" w:hAnsi="Symbol" w:hint="default"/>
      </w:rPr>
    </w:lvl>
    <w:lvl w:ilvl="4" w:tplc="04090003" w:tentative="1">
      <w:start w:val="1"/>
      <w:numFmt w:val="bullet"/>
      <w:lvlText w:val="o"/>
      <w:lvlJc w:val="left"/>
      <w:pPr>
        <w:ind w:left="3488" w:hanging="360"/>
      </w:pPr>
      <w:rPr>
        <w:rFonts w:ascii="Courier New" w:hAnsi="Courier New" w:cs="Courier New" w:hint="default"/>
      </w:rPr>
    </w:lvl>
    <w:lvl w:ilvl="5" w:tplc="04090005" w:tentative="1">
      <w:start w:val="1"/>
      <w:numFmt w:val="bullet"/>
      <w:lvlText w:val=""/>
      <w:lvlJc w:val="left"/>
      <w:pPr>
        <w:ind w:left="4208" w:hanging="360"/>
      </w:pPr>
      <w:rPr>
        <w:rFonts w:ascii="Wingdings" w:hAnsi="Wingdings" w:hint="default"/>
      </w:rPr>
    </w:lvl>
    <w:lvl w:ilvl="6" w:tplc="04090001" w:tentative="1">
      <w:start w:val="1"/>
      <w:numFmt w:val="bullet"/>
      <w:lvlText w:val=""/>
      <w:lvlJc w:val="left"/>
      <w:pPr>
        <w:ind w:left="4928" w:hanging="360"/>
      </w:pPr>
      <w:rPr>
        <w:rFonts w:ascii="Symbol" w:hAnsi="Symbol" w:hint="default"/>
      </w:rPr>
    </w:lvl>
    <w:lvl w:ilvl="7" w:tplc="04090003" w:tentative="1">
      <w:start w:val="1"/>
      <w:numFmt w:val="bullet"/>
      <w:lvlText w:val="o"/>
      <w:lvlJc w:val="left"/>
      <w:pPr>
        <w:ind w:left="5648" w:hanging="360"/>
      </w:pPr>
      <w:rPr>
        <w:rFonts w:ascii="Courier New" w:hAnsi="Courier New" w:cs="Courier New" w:hint="default"/>
      </w:rPr>
    </w:lvl>
    <w:lvl w:ilvl="8" w:tplc="04090005" w:tentative="1">
      <w:start w:val="1"/>
      <w:numFmt w:val="bullet"/>
      <w:lvlText w:val=""/>
      <w:lvlJc w:val="left"/>
      <w:pPr>
        <w:ind w:left="6368" w:hanging="360"/>
      </w:pPr>
      <w:rPr>
        <w:rFonts w:ascii="Wingdings" w:hAnsi="Wingdings" w:hint="default"/>
      </w:rPr>
    </w:lvl>
  </w:abstractNum>
  <w:abstractNum w:abstractNumId="2">
    <w:nsid w:val="06CD08AB"/>
    <w:multiLevelType w:val="hybridMultilevel"/>
    <w:tmpl w:val="8C4E013C"/>
    <w:lvl w:ilvl="0" w:tplc="9D881C66">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
    <w:nsid w:val="06DE299F"/>
    <w:multiLevelType w:val="hybridMultilevel"/>
    <w:tmpl w:val="F4B2ED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0232D9"/>
    <w:multiLevelType w:val="multilevel"/>
    <w:tmpl w:val="D63EB532"/>
    <w:lvl w:ilvl="0">
      <w:start w:val="5"/>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5">
    <w:nsid w:val="124216CB"/>
    <w:multiLevelType w:val="hybridMultilevel"/>
    <w:tmpl w:val="41E41F9A"/>
    <w:lvl w:ilvl="0" w:tplc="9D881C66">
      <w:start w:val="1"/>
      <w:numFmt w:val="bullet"/>
      <w:lvlText w:val=""/>
      <w:lvlJc w:val="left"/>
      <w:pPr>
        <w:ind w:left="1854" w:hanging="360"/>
      </w:pPr>
      <w:rPr>
        <w:rFonts w:ascii="Symbol" w:hAnsi="Symbol" w:hint="default"/>
      </w:rPr>
    </w:lvl>
    <w:lvl w:ilvl="1" w:tplc="04090003">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6">
    <w:nsid w:val="160A39CC"/>
    <w:multiLevelType w:val="multilevel"/>
    <w:tmpl w:val="1C2E6D1A"/>
    <w:lvl w:ilvl="0">
      <w:start w:val="3"/>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7">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A862BFF"/>
    <w:multiLevelType w:val="hybridMultilevel"/>
    <w:tmpl w:val="DA546028"/>
    <w:lvl w:ilvl="0" w:tplc="40A2EB0C">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9">
    <w:nsid w:val="1AFD0C61"/>
    <w:multiLevelType w:val="hybridMultilevel"/>
    <w:tmpl w:val="85AA6AD8"/>
    <w:lvl w:ilvl="0" w:tplc="4E744D30">
      <w:start w:val="1"/>
      <w:numFmt w:val="decimal"/>
      <w:lvlText w:val="%1)"/>
      <w:lvlJc w:val="left"/>
      <w:pPr>
        <w:tabs>
          <w:tab w:val="num" w:pos="1646"/>
        </w:tabs>
        <w:ind w:left="1646" w:hanging="795"/>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0">
    <w:nsid w:val="1F134D26"/>
    <w:multiLevelType w:val="multilevel"/>
    <w:tmpl w:val="C91CCD42"/>
    <w:lvl w:ilvl="0">
      <w:start w:val="6"/>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1">
    <w:nsid w:val="25BF42F2"/>
    <w:multiLevelType w:val="hybridMultilevel"/>
    <w:tmpl w:val="DFA209A6"/>
    <w:lvl w:ilvl="0" w:tplc="35E4B5FC">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
    <w:nsid w:val="26B22215"/>
    <w:multiLevelType w:val="hybridMultilevel"/>
    <w:tmpl w:val="4B3A55B6"/>
    <w:lvl w:ilvl="0" w:tplc="35E4B5FC">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3">
    <w:nsid w:val="2DB64D30"/>
    <w:multiLevelType w:val="hybridMultilevel"/>
    <w:tmpl w:val="CCEABD7E"/>
    <w:lvl w:ilvl="0" w:tplc="04090001">
      <w:start w:val="1"/>
      <w:numFmt w:val="bullet"/>
      <w:lvlText w:val=""/>
      <w:lvlJc w:val="left"/>
      <w:pPr>
        <w:ind w:left="608" w:hanging="360"/>
      </w:pPr>
      <w:rPr>
        <w:rFonts w:ascii="Symbol" w:hAnsi="Symbol" w:hint="default"/>
      </w:rPr>
    </w:lvl>
    <w:lvl w:ilvl="1" w:tplc="04090003" w:tentative="1">
      <w:start w:val="1"/>
      <w:numFmt w:val="bullet"/>
      <w:lvlText w:val="o"/>
      <w:lvlJc w:val="left"/>
      <w:pPr>
        <w:ind w:left="1328" w:hanging="360"/>
      </w:pPr>
      <w:rPr>
        <w:rFonts w:ascii="Courier New" w:hAnsi="Courier New" w:cs="Courier New" w:hint="default"/>
      </w:rPr>
    </w:lvl>
    <w:lvl w:ilvl="2" w:tplc="04090005" w:tentative="1">
      <w:start w:val="1"/>
      <w:numFmt w:val="bullet"/>
      <w:lvlText w:val=""/>
      <w:lvlJc w:val="left"/>
      <w:pPr>
        <w:ind w:left="2048" w:hanging="360"/>
      </w:pPr>
      <w:rPr>
        <w:rFonts w:ascii="Wingdings" w:hAnsi="Wingdings" w:hint="default"/>
      </w:rPr>
    </w:lvl>
    <w:lvl w:ilvl="3" w:tplc="04090001" w:tentative="1">
      <w:start w:val="1"/>
      <w:numFmt w:val="bullet"/>
      <w:lvlText w:val=""/>
      <w:lvlJc w:val="left"/>
      <w:pPr>
        <w:ind w:left="2768" w:hanging="360"/>
      </w:pPr>
      <w:rPr>
        <w:rFonts w:ascii="Symbol" w:hAnsi="Symbol" w:hint="default"/>
      </w:rPr>
    </w:lvl>
    <w:lvl w:ilvl="4" w:tplc="04090003" w:tentative="1">
      <w:start w:val="1"/>
      <w:numFmt w:val="bullet"/>
      <w:lvlText w:val="o"/>
      <w:lvlJc w:val="left"/>
      <w:pPr>
        <w:ind w:left="3488" w:hanging="360"/>
      </w:pPr>
      <w:rPr>
        <w:rFonts w:ascii="Courier New" w:hAnsi="Courier New" w:cs="Courier New" w:hint="default"/>
      </w:rPr>
    </w:lvl>
    <w:lvl w:ilvl="5" w:tplc="04090005" w:tentative="1">
      <w:start w:val="1"/>
      <w:numFmt w:val="bullet"/>
      <w:lvlText w:val=""/>
      <w:lvlJc w:val="left"/>
      <w:pPr>
        <w:ind w:left="4208" w:hanging="360"/>
      </w:pPr>
      <w:rPr>
        <w:rFonts w:ascii="Wingdings" w:hAnsi="Wingdings" w:hint="default"/>
      </w:rPr>
    </w:lvl>
    <w:lvl w:ilvl="6" w:tplc="04090001" w:tentative="1">
      <w:start w:val="1"/>
      <w:numFmt w:val="bullet"/>
      <w:lvlText w:val=""/>
      <w:lvlJc w:val="left"/>
      <w:pPr>
        <w:ind w:left="4928" w:hanging="360"/>
      </w:pPr>
      <w:rPr>
        <w:rFonts w:ascii="Symbol" w:hAnsi="Symbol" w:hint="default"/>
      </w:rPr>
    </w:lvl>
    <w:lvl w:ilvl="7" w:tplc="04090003" w:tentative="1">
      <w:start w:val="1"/>
      <w:numFmt w:val="bullet"/>
      <w:lvlText w:val="o"/>
      <w:lvlJc w:val="left"/>
      <w:pPr>
        <w:ind w:left="5648" w:hanging="360"/>
      </w:pPr>
      <w:rPr>
        <w:rFonts w:ascii="Courier New" w:hAnsi="Courier New" w:cs="Courier New" w:hint="default"/>
      </w:rPr>
    </w:lvl>
    <w:lvl w:ilvl="8" w:tplc="04090005" w:tentative="1">
      <w:start w:val="1"/>
      <w:numFmt w:val="bullet"/>
      <w:lvlText w:val=""/>
      <w:lvlJc w:val="left"/>
      <w:pPr>
        <w:ind w:left="6368" w:hanging="360"/>
      </w:pPr>
      <w:rPr>
        <w:rFonts w:ascii="Wingdings" w:hAnsi="Wingdings" w:hint="default"/>
      </w:rPr>
    </w:lvl>
  </w:abstractNum>
  <w:abstractNum w:abstractNumId="14">
    <w:nsid w:val="344E5B47"/>
    <w:multiLevelType w:val="hybridMultilevel"/>
    <w:tmpl w:val="EDBC09FE"/>
    <w:lvl w:ilvl="0" w:tplc="8886159E">
      <w:start w:val="1"/>
      <w:numFmt w:val="bullet"/>
      <w:lvlText w:val=""/>
      <w:lvlJc w:val="left"/>
      <w:pPr>
        <w:ind w:left="1112" w:hanging="360"/>
      </w:pPr>
      <w:rPr>
        <w:rFonts w:ascii="Symbol" w:hAnsi="Symbol" w:hint="default"/>
      </w:rPr>
    </w:lvl>
    <w:lvl w:ilvl="1" w:tplc="04090003">
      <w:start w:val="1"/>
      <w:numFmt w:val="bullet"/>
      <w:lvlText w:val="o"/>
      <w:lvlJc w:val="left"/>
      <w:pPr>
        <w:ind w:left="1832" w:hanging="360"/>
      </w:pPr>
      <w:rPr>
        <w:rFonts w:ascii="Courier New" w:hAnsi="Courier New" w:cs="Courier New" w:hint="default"/>
      </w:rPr>
    </w:lvl>
    <w:lvl w:ilvl="2" w:tplc="04090005">
      <w:start w:val="1"/>
      <w:numFmt w:val="bullet"/>
      <w:lvlText w:val=""/>
      <w:lvlJc w:val="left"/>
      <w:pPr>
        <w:ind w:left="2552" w:hanging="360"/>
      </w:pPr>
      <w:rPr>
        <w:rFonts w:ascii="Wingdings" w:hAnsi="Wingdings" w:hint="default"/>
      </w:rPr>
    </w:lvl>
    <w:lvl w:ilvl="3" w:tplc="04090001">
      <w:start w:val="1"/>
      <w:numFmt w:val="bullet"/>
      <w:lvlText w:val=""/>
      <w:lvlJc w:val="left"/>
      <w:pPr>
        <w:ind w:left="3272" w:hanging="360"/>
      </w:pPr>
      <w:rPr>
        <w:rFonts w:ascii="Symbol" w:hAnsi="Symbol" w:hint="default"/>
      </w:rPr>
    </w:lvl>
    <w:lvl w:ilvl="4" w:tplc="04090003">
      <w:start w:val="1"/>
      <w:numFmt w:val="bullet"/>
      <w:lvlText w:val="o"/>
      <w:lvlJc w:val="left"/>
      <w:pPr>
        <w:ind w:left="3992" w:hanging="360"/>
      </w:pPr>
      <w:rPr>
        <w:rFonts w:ascii="Courier New" w:hAnsi="Courier New" w:cs="Courier New" w:hint="default"/>
      </w:rPr>
    </w:lvl>
    <w:lvl w:ilvl="5" w:tplc="04090005">
      <w:start w:val="1"/>
      <w:numFmt w:val="bullet"/>
      <w:lvlText w:val=""/>
      <w:lvlJc w:val="left"/>
      <w:pPr>
        <w:ind w:left="4712" w:hanging="360"/>
      </w:pPr>
      <w:rPr>
        <w:rFonts w:ascii="Wingdings" w:hAnsi="Wingdings" w:hint="default"/>
      </w:rPr>
    </w:lvl>
    <w:lvl w:ilvl="6" w:tplc="04090001">
      <w:start w:val="1"/>
      <w:numFmt w:val="bullet"/>
      <w:lvlText w:val=""/>
      <w:lvlJc w:val="left"/>
      <w:pPr>
        <w:ind w:left="5432" w:hanging="360"/>
      </w:pPr>
      <w:rPr>
        <w:rFonts w:ascii="Symbol" w:hAnsi="Symbol" w:hint="default"/>
      </w:rPr>
    </w:lvl>
    <w:lvl w:ilvl="7" w:tplc="04090003">
      <w:start w:val="1"/>
      <w:numFmt w:val="bullet"/>
      <w:lvlText w:val="o"/>
      <w:lvlJc w:val="left"/>
      <w:pPr>
        <w:ind w:left="6152" w:hanging="360"/>
      </w:pPr>
      <w:rPr>
        <w:rFonts w:ascii="Courier New" w:hAnsi="Courier New" w:cs="Courier New" w:hint="default"/>
      </w:rPr>
    </w:lvl>
    <w:lvl w:ilvl="8" w:tplc="04090005">
      <w:start w:val="1"/>
      <w:numFmt w:val="bullet"/>
      <w:lvlText w:val=""/>
      <w:lvlJc w:val="left"/>
      <w:pPr>
        <w:ind w:left="6872" w:hanging="360"/>
      </w:pPr>
      <w:rPr>
        <w:rFonts w:ascii="Wingdings" w:hAnsi="Wingdings" w:hint="default"/>
      </w:rPr>
    </w:lvl>
  </w:abstractNum>
  <w:abstractNum w:abstractNumId="15">
    <w:nsid w:val="347C4871"/>
    <w:multiLevelType w:val="hybridMultilevel"/>
    <w:tmpl w:val="BE50A288"/>
    <w:lvl w:ilvl="0" w:tplc="35E4B5F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1B508F5"/>
    <w:multiLevelType w:val="multilevel"/>
    <w:tmpl w:val="7CB012DE"/>
    <w:lvl w:ilvl="0">
      <w:start w:val="7"/>
      <w:numFmt w:val="decimal"/>
      <w:lvlText w:val="%1."/>
      <w:lvlJc w:val="left"/>
      <w:pPr>
        <w:ind w:left="360" w:hanging="360"/>
      </w:pPr>
      <w:rPr>
        <w:rFonts w:hint="default"/>
      </w:rPr>
    </w:lvl>
    <w:lvl w:ilvl="1">
      <w:start w:val="1"/>
      <w:numFmt w:val="decimal"/>
      <w:lvlText w:val="%1.%2."/>
      <w:lvlJc w:val="left"/>
      <w:pPr>
        <w:ind w:left="1352" w:hanging="360"/>
      </w:pPr>
      <w:rPr>
        <w:rFonts w:hint="default"/>
      </w:rPr>
    </w:lvl>
    <w:lvl w:ilvl="2">
      <w:start w:val="1"/>
      <w:numFmt w:val="decimal"/>
      <w:lvlText w:val="%1.%2.%3."/>
      <w:lvlJc w:val="left"/>
      <w:pPr>
        <w:ind w:left="2704" w:hanging="720"/>
      </w:pPr>
      <w:rPr>
        <w:rFonts w:hint="default"/>
      </w:rPr>
    </w:lvl>
    <w:lvl w:ilvl="3">
      <w:start w:val="1"/>
      <w:numFmt w:val="decimal"/>
      <w:lvlText w:val="%1.%2.%3.%4."/>
      <w:lvlJc w:val="left"/>
      <w:pPr>
        <w:ind w:left="3696" w:hanging="720"/>
      </w:pPr>
      <w:rPr>
        <w:rFonts w:hint="default"/>
      </w:rPr>
    </w:lvl>
    <w:lvl w:ilvl="4">
      <w:start w:val="1"/>
      <w:numFmt w:val="decimal"/>
      <w:lvlText w:val="%1.%2.%3.%4.%5."/>
      <w:lvlJc w:val="left"/>
      <w:pPr>
        <w:ind w:left="5048" w:hanging="108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392" w:hanging="1440"/>
      </w:pPr>
      <w:rPr>
        <w:rFonts w:hint="default"/>
      </w:rPr>
    </w:lvl>
    <w:lvl w:ilvl="7">
      <w:start w:val="1"/>
      <w:numFmt w:val="decimal"/>
      <w:lvlText w:val="%1.%2.%3.%4.%5.%6.%7.%8."/>
      <w:lvlJc w:val="left"/>
      <w:pPr>
        <w:ind w:left="8384" w:hanging="1440"/>
      </w:pPr>
      <w:rPr>
        <w:rFonts w:hint="default"/>
      </w:rPr>
    </w:lvl>
    <w:lvl w:ilvl="8">
      <w:start w:val="1"/>
      <w:numFmt w:val="decimal"/>
      <w:lvlText w:val="%1.%2.%3.%4.%5.%6.%7.%8.%9."/>
      <w:lvlJc w:val="left"/>
      <w:pPr>
        <w:ind w:left="9736" w:hanging="1800"/>
      </w:pPr>
      <w:rPr>
        <w:rFonts w:hint="default"/>
      </w:rPr>
    </w:lvl>
  </w:abstractNum>
  <w:abstractNum w:abstractNumId="17">
    <w:nsid w:val="46562366"/>
    <w:multiLevelType w:val="hybridMultilevel"/>
    <w:tmpl w:val="4C502572"/>
    <w:lvl w:ilvl="0" w:tplc="9D881C6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BBF2DE6"/>
    <w:multiLevelType w:val="multilevel"/>
    <w:tmpl w:val="28EE7E3A"/>
    <w:lvl w:ilvl="0">
      <w:start w:val="7"/>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9">
    <w:nsid w:val="51A60B70"/>
    <w:multiLevelType w:val="multilevel"/>
    <w:tmpl w:val="CF801BD0"/>
    <w:lvl w:ilvl="0">
      <w:start w:val="6"/>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20">
    <w:nsid w:val="55DB0466"/>
    <w:multiLevelType w:val="multilevel"/>
    <w:tmpl w:val="DB0C161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lang w:val="en-G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564C7489"/>
    <w:multiLevelType w:val="hybridMultilevel"/>
    <w:tmpl w:val="D5BAC1CA"/>
    <w:lvl w:ilvl="0" w:tplc="9D881C6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9C92EB9"/>
    <w:multiLevelType w:val="hybridMultilevel"/>
    <w:tmpl w:val="73EEE8DE"/>
    <w:lvl w:ilvl="0" w:tplc="35E4B5FC">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nsid w:val="5C642467"/>
    <w:multiLevelType w:val="hybridMultilevel"/>
    <w:tmpl w:val="7674D19E"/>
    <w:lvl w:ilvl="0" w:tplc="37FADB3A">
      <w:start w:val="1"/>
      <w:numFmt w:val="decimal"/>
      <w:lvlText w:val="%1."/>
      <w:lvlJc w:val="left"/>
      <w:pPr>
        <w:ind w:left="720" w:hanging="360"/>
      </w:pPr>
      <w:rPr>
        <w:rFonts w:asciiTheme="minorHAnsi" w:eastAsiaTheme="minorEastAsia" w:hAnsiTheme="minorHAnsi" w:cstheme="minorBid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4B00957"/>
    <w:multiLevelType w:val="hybridMultilevel"/>
    <w:tmpl w:val="DF2298B6"/>
    <w:lvl w:ilvl="0" w:tplc="BDB2CA94">
      <w:start w:val="5"/>
      <w:numFmt w:val="bullet"/>
      <w:lvlText w:val="∙"/>
      <w:lvlJc w:val="left"/>
      <w:pPr>
        <w:ind w:left="720" w:hanging="360"/>
      </w:pPr>
      <w:rPr>
        <w:rFonts w:ascii="Baskerville Old Face" w:eastAsia="CourierPS" w:hAnsi="Baskerville Old Face" w:cs="CourierP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B0D27CC"/>
    <w:multiLevelType w:val="hybridMultilevel"/>
    <w:tmpl w:val="E9643D42"/>
    <w:lvl w:ilvl="0" w:tplc="68028706">
      <w:start w:val="1"/>
      <w:numFmt w:val="decimal"/>
      <w:lvlText w:val="%1."/>
      <w:lvlJc w:val="left"/>
      <w:pPr>
        <w:ind w:left="720" w:hanging="360"/>
      </w:pPr>
      <w:rPr>
        <w:rFonts w:hint="default"/>
        <w:lang w:val="en-U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B631595"/>
    <w:multiLevelType w:val="hybridMultilevel"/>
    <w:tmpl w:val="0914C07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4B93791"/>
    <w:multiLevelType w:val="hybridMultilevel"/>
    <w:tmpl w:val="1EC27674"/>
    <w:lvl w:ilvl="0" w:tplc="C728EED8">
      <w:start w:val="1"/>
      <w:numFmt w:val="decimal"/>
      <w:lvlText w:val="%1."/>
      <w:lvlJc w:val="left"/>
      <w:pPr>
        <w:tabs>
          <w:tab w:val="num" w:pos="420"/>
        </w:tabs>
        <w:ind w:left="420" w:hanging="420"/>
      </w:pPr>
      <w:rPr>
        <w:rFonts w:hint="eastAsia"/>
      </w:rPr>
    </w:lvl>
    <w:lvl w:ilvl="1" w:tplc="B1C6AB0E">
      <w:start w:val="7"/>
      <w:numFmt w:val="decimal"/>
      <w:lvlText w:val="%2)"/>
      <w:lvlJc w:val="left"/>
      <w:pPr>
        <w:tabs>
          <w:tab w:val="num" w:pos="780"/>
        </w:tabs>
        <w:ind w:left="780" w:hanging="360"/>
      </w:pPr>
      <w:rPr>
        <w:rFonts w:hint="default"/>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8">
    <w:nsid w:val="79D10E29"/>
    <w:multiLevelType w:val="hybridMultilevel"/>
    <w:tmpl w:val="C45CACB4"/>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0"/>
  </w:num>
  <w:num w:numId="6">
    <w:abstractNumId w:val="7"/>
  </w:num>
  <w:num w:numId="7">
    <w:abstractNumId w:val="9"/>
  </w:num>
  <w:num w:numId="8">
    <w:abstractNumId w:val="15"/>
  </w:num>
  <w:num w:numId="9">
    <w:abstractNumId w:val="27"/>
  </w:num>
  <w:num w:numId="10">
    <w:abstractNumId w:val="8"/>
  </w:num>
  <w:num w:numId="11">
    <w:abstractNumId w:val="22"/>
  </w:num>
  <w:num w:numId="12">
    <w:abstractNumId w:val="13"/>
  </w:num>
  <w:num w:numId="13">
    <w:abstractNumId w:val="1"/>
  </w:num>
  <w:num w:numId="14">
    <w:abstractNumId w:val="24"/>
  </w:num>
  <w:num w:numId="15">
    <w:abstractNumId w:val="11"/>
  </w:num>
  <w:num w:numId="16">
    <w:abstractNumId w:val="14"/>
  </w:num>
  <w:num w:numId="17">
    <w:abstractNumId w:val="19"/>
  </w:num>
  <w:num w:numId="18">
    <w:abstractNumId w:val="24"/>
  </w:num>
  <w:num w:numId="19">
    <w:abstractNumId w:val="12"/>
  </w:num>
  <w:num w:numId="20">
    <w:abstractNumId w:val="26"/>
  </w:num>
  <w:num w:numId="21">
    <w:abstractNumId w:val="14"/>
  </w:num>
  <w:num w:numId="22">
    <w:abstractNumId w:val="20"/>
  </w:num>
  <w:num w:numId="23">
    <w:abstractNumId w:val="5"/>
  </w:num>
  <w:num w:numId="24">
    <w:abstractNumId w:val="28"/>
  </w:num>
  <w:num w:numId="25">
    <w:abstractNumId w:val="16"/>
  </w:num>
  <w:num w:numId="26">
    <w:abstractNumId w:val="10"/>
  </w:num>
  <w:num w:numId="27">
    <w:abstractNumId w:val="18"/>
  </w:num>
  <w:num w:numId="28">
    <w:abstractNumId w:val="6"/>
  </w:num>
  <w:num w:numId="29">
    <w:abstractNumId w:val="4"/>
  </w:num>
  <w:num w:numId="30">
    <w:abstractNumId w:val="2"/>
  </w:num>
  <w:num w:numId="31">
    <w:abstractNumId w:val="17"/>
  </w:num>
  <w:num w:numId="32">
    <w:abstractNumId w:val="21"/>
  </w:num>
  <w:num w:numId="33">
    <w:abstractNumId w:val="23"/>
  </w:num>
  <w:num w:numId="34">
    <w:abstractNumId w:val="25"/>
  </w:num>
  <w:num w:numId="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7"/>
  <w:printFractionalCharacterWidth/>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6698"/>
    <w:rsid w:val="0000144C"/>
    <w:rsid w:val="00001DCF"/>
    <w:rsid w:val="0000706C"/>
    <w:rsid w:val="000100BD"/>
    <w:rsid w:val="00013F57"/>
    <w:rsid w:val="000204F7"/>
    <w:rsid w:val="0002075A"/>
    <w:rsid w:val="00023B16"/>
    <w:rsid w:val="000279E4"/>
    <w:rsid w:val="0003024A"/>
    <w:rsid w:val="00051E38"/>
    <w:rsid w:val="00061AF1"/>
    <w:rsid w:val="00067A8B"/>
    <w:rsid w:val="000706F0"/>
    <w:rsid w:val="0008588D"/>
    <w:rsid w:val="00086F56"/>
    <w:rsid w:val="00087E70"/>
    <w:rsid w:val="000A4002"/>
    <w:rsid w:val="000C383F"/>
    <w:rsid w:val="000D28F2"/>
    <w:rsid w:val="000D3563"/>
    <w:rsid w:val="000E576E"/>
    <w:rsid w:val="000E758D"/>
    <w:rsid w:val="000F0EA5"/>
    <w:rsid w:val="000F23BF"/>
    <w:rsid w:val="000F390D"/>
    <w:rsid w:val="000F3F7B"/>
    <w:rsid w:val="00101510"/>
    <w:rsid w:val="00103659"/>
    <w:rsid w:val="0011317D"/>
    <w:rsid w:val="0013249D"/>
    <w:rsid w:val="00133775"/>
    <w:rsid w:val="00140410"/>
    <w:rsid w:val="00151FB3"/>
    <w:rsid w:val="001742F6"/>
    <w:rsid w:val="00174F66"/>
    <w:rsid w:val="001760B1"/>
    <w:rsid w:val="0018121F"/>
    <w:rsid w:val="00184D38"/>
    <w:rsid w:val="00194760"/>
    <w:rsid w:val="00195150"/>
    <w:rsid w:val="00197D93"/>
    <w:rsid w:val="001A6A18"/>
    <w:rsid w:val="001B183F"/>
    <w:rsid w:val="001E4764"/>
    <w:rsid w:val="001F0AE1"/>
    <w:rsid w:val="001F424F"/>
    <w:rsid w:val="0020399F"/>
    <w:rsid w:val="00214443"/>
    <w:rsid w:val="00217CC5"/>
    <w:rsid w:val="00221E6F"/>
    <w:rsid w:val="00234821"/>
    <w:rsid w:val="0023577E"/>
    <w:rsid w:val="00246359"/>
    <w:rsid w:val="00257D63"/>
    <w:rsid w:val="00262461"/>
    <w:rsid w:val="00266C7B"/>
    <w:rsid w:val="0028207E"/>
    <w:rsid w:val="00284941"/>
    <w:rsid w:val="0029079C"/>
    <w:rsid w:val="00293388"/>
    <w:rsid w:val="00296263"/>
    <w:rsid w:val="002B6698"/>
    <w:rsid w:val="002C51AD"/>
    <w:rsid w:val="002C5CBE"/>
    <w:rsid w:val="002C5E0D"/>
    <w:rsid w:val="0030178B"/>
    <w:rsid w:val="003068B9"/>
    <w:rsid w:val="003133FB"/>
    <w:rsid w:val="00322D25"/>
    <w:rsid w:val="00326E1A"/>
    <w:rsid w:val="00330B3D"/>
    <w:rsid w:val="00331831"/>
    <w:rsid w:val="003352F5"/>
    <w:rsid w:val="00353125"/>
    <w:rsid w:val="003560C0"/>
    <w:rsid w:val="003608D8"/>
    <w:rsid w:val="003719C4"/>
    <w:rsid w:val="00371A30"/>
    <w:rsid w:val="003A166B"/>
    <w:rsid w:val="003A176B"/>
    <w:rsid w:val="003C3D0C"/>
    <w:rsid w:val="003C5955"/>
    <w:rsid w:val="003C71BA"/>
    <w:rsid w:val="003E104B"/>
    <w:rsid w:val="003E20F4"/>
    <w:rsid w:val="003E6652"/>
    <w:rsid w:val="003F06BA"/>
    <w:rsid w:val="00401947"/>
    <w:rsid w:val="004174CF"/>
    <w:rsid w:val="00420759"/>
    <w:rsid w:val="00421719"/>
    <w:rsid w:val="00421826"/>
    <w:rsid w:val="00421BAC"/>
    <w:rsid w:val="0042469B"/>
    <w:rsid w:val="00426E55"/>
    <w:rsid w:val="00427F94"/>
    <w:rsid w:val="00434705"/>
    <w:rsid w:val="004407A1"/>
    <w:rsid w:val="00453F94"/>
    <w:rsid w:val="0046027F"/>
    <w:rsid w:val="00461B82"/>
    <w:rsid w:val="00466FEB"/>
    <w:rsid w:val="00475850"/>
    <w:rsid w:val="0047680F"/>
    <w:rsid w:val="00480E5A"/>
    <w:rsid w:val="0048251F"/>
    <w:rsid w:val="00484919"/>
    <w:rsid w:val="00485125"/>
    <w:rsid w:val="00491263"/>
    <w:rsid w:val="00496C85"/>
    <w:rsid w:val="004976B3"/>
    <w:rsid w:val="004A106E"/>
    <w:rsid w:val="004A534E"/>
    <w:rsid w:val="004B07B6"/>
    <w:rsid w:val="004B480B"/>
    <w:rsid w:val="004C7577"/>
    <w:rsid w:val="004C7BC2"/>
    <w:rsid w:val="004D1FE0"/>
    <w:rsid w:val="00502431"/>
    <w:rsid w:val="005145B2"/>
    <w:rsid w:val="00533114"/>
    <w:rsid w:val="005654EF"/>
    <w:rsid w:val="00570EA5"/>
    <w:rsid w:val="005713A9"/>
    <w:rsid w:val="00572F5A"/>
    <w:rsid w:val="00573E96"/>
    <w:rsid w:val="0057787D"/>
    <w:rsid w:val="00582965"/>
    <w:rsid w:val="00583541"/>
    <w:rsid w:val="00586C5D"/>
    <w:rsid w:val="005905FA"/>
    <w:rsid w:val="00592F89"/>
    <w:rsid w:val="005A1A95"/>
    <w:rsid w:val="005A2CA6"/>
    <w:rsid w:val="005C6181"/>
    <w:rsid w:val="005C6430"/>
    <w:rsid w:val="005D1BFE"/>
    <w:rsid w:val="005D2541"/>
    <w:rsid w:val="005D7331"/>
    <w:rsid w:val="005F0600"/>
    <w:rsid w:val="005F0CE6"/>
    <w:rsid w:val="00604CB6"/>
    <w:rsid w:val="00626C56"/>
    <w:rsid w:val="00627844"/>
    <w:rsid w:val="00632E7B"/>
    <w:rsid w:val="00652436"/>
    <w:rsid w:val="00654D3B"/>
    <w:rsid w:val="00657501"/>
    <w:rsid w:val="0066366C"/>
    <w:rsid w:val="006662CA"/>
    <w:rsid w:val="006819BD"/>
    <w:rsid w:val="00682D73"/>
    <w:rsid w:val="00683925"/>
    <w:rsid w:val="00687DE6"/>
    <w:rsid w:val="00691195"/>
    <w:rsid w:val="00696577"/>
    <w:rsid w:val="006A2658"/>
    <w:rsid w:val="006A4486"/>
    <w:rsid w:val="006B2E3F"/>
    <w:rsid w:val="006C6753"/>
    <w:rsid w:val="006D30EA"/>
    <w:rsid w:val="006D494D"/>
    <w:rsid w:val="006D5082"/>
    <w:rsid w:val="006D61C4"/>
    <w:rsid w:val="006D6C12"/>
    <w:rsid w:val="00701334"/>
    <w:rsid w:val="00704D43"/>
    <w:rsid w:val="00721C9C"/>
    <w:rsid w:val="00722898"/>
    <w:rsid w:val="00723947"/>
    <w:rsid w:val="00731154"/>
    <w:rsid w:val="0073118C"/>
    <w:rsid w:val="00752068"/>
    <w:rsid w:val="00753B4D"/>
    <w:rsid w:val="00757C70"/>
    <w:rsid w:val="007704CA"/>
    <w:rsid w:val="00772C35"/>
    <w:rsid w:val="00773B46"/>
    <w:rsid w:val="007752F3"/>
    <w:rsid w:val="00775F76"/>
    <w:rsid w:val="00784ED5"/>
    <w:rsid w:val="00792951"/>
    <w:rsid w:val="0079641A"/>
    <w:rsid w:val="007A6CF8"/>
    <w:rsid w:val="007C4CF1"/>
    <w:rsid w:val="007C65A2"/>
    <w:rsid w:val="007D15F2"/>
    <w:rsid w:val="007D2426"/>
    <w:rsid w:val="007E0AED"/>
    <w:rsid w:val="007E3658"/>
    <w:rsid w:val="007E4FCD"/>
    <w:rsid w:val="007F2259"/>
    <w:rsid w:val="007F2399"/>
    <w:rsid w:val="007F5F65"/>
    <w:rsid w:val="007F72EE"/>
    <w:rsid w:val="00812661"/>
    <w:rsid w:val="008158BF"/>
    <w:rsid w:val="00815D5B"/>
    <w:rsid w:val="008309B0"/>
    <w:rsid w:val="00835670"/>
    <w:rsid w:val="0083627F"/>
    <w:rsid w:val="00851B1D"/>
    <w:rsid w:val="008704A6"/>
    <w:rsid w:val="00885AA4"/>
    <w:rsid w:val="008A1664"/>
    <w:rsid w:val="008A1A7F"/>
    <w:rsid w:val="008A1F73"/>
    <w:rsid w:val="008A435C"/>
    <w:rsid w:val="008C1165"/>
    <w:rsid w:val="008C3959"/>
    <w:rsid w:val="008C473D"/>
    <w:rsid w:val="008D3061"/>
    <w:rsid w:val="008D3EE7"/>
    <w:rsid w:val="008D7537"/>
    <w:rsid w:val="008E0EC7"/>
    <w:rsid w:val="008E7484"/>
    <w:rsid w:val="008F312E"/>
    <w:rsid w:val="008F4107"/>
    <w:rsid w:val="00901DF7"/>
    <w:rsid w:val="00902540"/>
    <w:rsid w:val="009030EF"/>
    <w:rsid w:val="009074BD"/>
    <w:rsid w:val="0091249C"/>
    <w:rsid w:val="009143FA"/>
    <w:rsid w:val="009272E0"/>
    <w:rsid w:val="00930337"/>
    <w:rsid w:val="00941845"/>
    <w:rsid w:val="00950ED8"/>
    <w:rsid w:val="0095423C"/>
    <w:rsid w:val="009618CB"/>
    <w:rsid w:val="0098057D"/>
    <w:rsid w:val="00983481"/>
    <w:rsid w:val="009872CA"/>
    <w:rsid w:val="009A5E45"/>
    <w:rsid w:val="009A7D69"/>
    <w:rsid w:val="009B7588"/>
    <w:rsid w:val="009C4074"/>
    <w:rsid w:val="009D46B4"/>
    <w:rsid w:val="009D49D2"/>
    <w:rsid w:val="009E195D"/>
    <w:rsid w:val="009E1B1E"/>
    <w:rsid w:val="009E3BD3"/>
    <w:rsid w:val="00A0749C"/>
    <w:rsid w:val="00A23CF5"/>
    <w:rsid w:val="00A36EDF"/>
    <w:rsid w:val="00A46F26"/>
    <w:rsid w:val="00A4777E"/>
    <w:rsid w:val="00A60192"/>
    <w:rsid w:val="00A668E6"/>
    <w:rsid w:val="00A672E6"/>
    <w:rsid w:val="00A71631"/>
    <w:rsid w:val="00A72B07"/>
    <w:rsid w:val="00A97249"/>
    <w:rsid w:val="00AA1CFD"/>
    <w:rsid w:val="00AA3F88"/>
    <w:rsid w:val="00AA500B"/>
    <w:rsid w:val="00AB1D8E"/>
    <w:rsid w:val="00AC379C"/>
    <w:rsid w:val="00AC44A2"/>
    <w:rsid w:val="00AD0CF2"/>
    <w:rsid w:val="00AD10A8"/>
    <w:rsid w:val="00AD2C7C"/>
    <w:rsid w:val="00AD3AF0"/>
    <w:rsid w:val="00AD6A4D"/>
    <w:rsid w:val="00AE1549"/>
    <w:rsid w:val="00AE4696"/>
    <w:rsid w:val="00AF0D3F"/>
    <w:rsid w:val="00B04820"/>
    <w:rsid w:val="00B06E5E"/>
    <w:rsid w:val="00B0709F"/>
    <w:rsid w:val="00B13132"/>
    <w:rsid w:val="00B17C05"/>
    <w:rsid w:val="00B20EA4"/>
    <w:rsid w:val="00B3046B"/>
    <w:rsid w:val="00B40978"/>
    <w:rsid w:val="00B44451"/>
    <w:rsid w:val="00B723DB"/>
    <w:rsid w:val="00B766DE"/>
    <w:rsid w:val="00B774CF"/>
    <w:rsid w:val="00B8695E"/>
    <w:rsid w:val="00B8782D"/>
    <w:rsid w:val="00B87CA5"/>
    <w:rsid w:val="00B95FD5"/>
    <w:rsid w:val="00B971F2"/>
    <w:rsid w:val="00BA149C"/>
    <w:rsid w:val="00BB027E"/>
    <w:rsid w:val="00BB18FD"/>
    <w:rsid w:val="00BB25D9"/>
    <w:rsid w:val="00BC1BC8"/>
    <w:rsid w:val="00BC6B7E"/>
    <w:rsid w:val="00BD334F"/>
    <w:rsid w:val="00BE5C9B"/>
    <w:rsid w:val="00BE6F70"/>
    <w:rsid w:val="00BF1ABA"/>
    <w:rsid w:val="00BF1F8D"/>
    <w:rsid w:val="00C014FB"/>
    <w:rsid w:val="00C039E7"/>
    <w:rsid w:val="00C20CD6"/>
    <w:rsid w:val="00C23C01"/>
    <w:rsid w:val="00C3292D"/>
    <w:rsid w:val="00C42644"/>
    <w:rsid w:val="00C43CAD"/>
    <w:rsid w:val="00C46363"/>
    <w:rsid w:val="00C4798F"/>
    <w:rsid w:val="00C611BE"/>
    <w:rsid w:val="00C61357"/>
    <w:rsid w:val="00C615CD"/>
    <w:rsid w:val="00C802FE"/>
    <w:rsid w:val="00C81ABD"/>
    <w:rsid w:val="00C87295"/>
    <w:rsid w:val="00C96C4F"/>
    <w:rsid w:val="00C96E06"/>
    <w:rsid w:val="00CA3CA7"/>
    <w:rsid w:val="00CA5573"/>
    <w:rsid w:val="00CA7FF7"/>
    <w:rsid w:val="00CB2809"/>
    <w:rsid w:val="00CB4339"/>
    <w:rsid w:val="00CD5FEA"/>
    <w:rsid w:val="00CD7422"/>
    <w:rsid w:val="00D02F3E"/>
    <w:rsid w:val="00D037C9"/>
    <w:rsid w:val="00D04964"/>
    <w:rsid w:val="00D07F42"/>
    <w:rsid w:val="00D151AC"/>
    <w:rsid w:val="00D17E43"/>
    <w:rsid w:val="00D209A6"/>
    <w:rsid w:val="00D42177"/>
    <w:rsid w:val="00D46DC5"/>
    <w:rsid w:val="00D52E07"/>
    <w:rsid w:val="00D54904"/>
    <w:rsid w:val="00D6315D"/>
    <w:rsid w:val="00D65A75"/>
    <w:rsid w:val="00D7081E"/>
    <w:rsid w:val="00D810E1"/>
    <w:rsid w:val="00D906D0"/>
    <w:rsid w:val="00D965A5"/>
    <w:rsid w:val="00DA174B"/>
    <w:rsid w:val="00DA4498"/>
    <w:rsid w:val="00DA655A"/>
    <w:rsid w:val="00DB36A2"/>
    <w:rsid w:val="00DB5901"/>
    <w:rsid w:val="00DC3C0F"/>
    <w:rsid w:val="00DD053A"/>
    <w:rsid w:val="00DD6C95"/>
    <w:rsid w:val="00DF0FBE"/>
    <w:rsid w:val="00DF74AD"/>
    <w:rsid w:val="00E10383"/>
    <w:rsid w:val="00E37E34"/>
    <w:rsid w:val="00E41B61"/>
    <w:rsid w:val="00E4224A"/>
    <w:rsid w:val="00E46AC9"/>
    <w:rsid w:val="00E5531C"/>
    <w:rsid w:val="00E5684D"/>
    <w:rsid w:val="00E60F74"/>
    <w:rsid w:val="00E622B8"/>
    <w:rsid w:val="00E65078"/>
    <w:rsid w:val="00E66D32"/>
    <w:rsid w:val="00E70EAC"/>
    <w:rsid w:val="00E902FF"/>
    <w:rsid w:val="00E925D1"/>
    <w:rsid w:val="00E959C6"/>
    <w:rsid w:val="00EB69D9"/>
    <w:rsid w:val="00EC2DAC"/>
    <w:rsid w:val="00EC4DAD"/>
    <w:rsid w:val="00ED3979"/>
    <w:rsid w:val="00EE03DC"/>
    <w:rsid w:val="00EE1668"/>
    <w:rsid w:val="00EE35F3"/>
    <w:rsid w:val="00EF094B"/>
    <w:rsid w:val="00F03913"/>
    <w:rsid w:val="00F16931"/>
    <w:rsid w:val="00F16F54"/>
    <w:rsid w:val="00F278A2"/>
    <w:rsid w:val="00F31B0E"/>
    <w:rsid w:val="00F3513F"/>
    <w:rsid w:val="00F35AEB"/>
    <w:rsid w:val="00F40F0C"/>
    <w:rsid w:val="00F41B28"/>
    <w:rsid w:val="00F41BF1"/>
    <w:rsid w:val="00F53FCB"/>
    <w:rsid w:val="00F560C6"/>
    <w:rsid w:val="00F670F9"/>
    <w:rsid w:val="00F67C33"/>
    <w:rsid w:val="00F70862"/>
    <w:rsid w:val="00F978F0"/>
    <w:rsid w:val="00FA254A"/>
    <w:rsid w:val="00FA7576"/>
    <w:rsid w:val="00FB00EC"/>
    <w:rsid w:val="00FC3FC6"/>
    <w:rsid w:val="00FC5319"/>
    <w:rsid w:val="00FE36CC"/>
    <w:rsid w:val="00FE677E"/>
  </w:rsids>
  <m:mathPr>
    <m:mathFont m:val="Cambria Math"/>
    <m:brkBin m:val="before"/>
    <m:brkBinSub m:val="--"/>
    <m:smallFrac m:val="0"/>
    <m:dispDef/>
    <m:lMargin m:val="0"/>
    <m:rMargin m:val="0"/>
    <m:defJc m:val="centerGroup"/>
    <m:wrapIndent m:val="1440"/>
    <m:intLim m:val="subSup"/>
    <m:naryLim m:val="undOvr"/>
  </m:mathPr>
  <w:themeFontLang w:val="de-A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53B4D"/>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rsid w:val="00753B4D"/>
    <w:pPr>
      <w:keepNext/>
      <w:keepLines/>
      <w:spacing w:before="360"/>
      <w:ind w:left="794" w:hanging="794"/>
      <w:outlineLvl w:val="0"/>
    </w:pPr>
    <w:rPr>
      <w:b/>
    </w:rPr>
  </w:style>
  <w:style w:type="paragraph" w:styleId="Heading2">
    <w:name w:val="heading 2"/>
    <w:basedOn w:val="Heading1"/>
    <w:next w:val="Normal"/>
    <w:qFormat/>
    <w:rsid w:val="00753B4D"/>
    <w:pPr>
      <w:spacing w:before="240"/>
      <w:outlineLvl w:val="1"/>
    </w:pPr>
  </w:style>
  <w:style w:type="paragraph" w:styleId="Heading3">
    <w:name w:val="heading 3"/>
    <w:basedOn w:val="Heading1"/>
    <w:next w:val="Normal"/>
    <w:qFormat/>
    <w:rsid w:val="00753B4D"/>
    <w:pPr>
      <w:spacing w:before="160"/>
      <w:outlineLvl w:val="2"/>
    </w:pPr>
  </w:style>
  <w:style w:type="paragraph" w:styleId="Heading4">
    <w:name w:val="heading 4"/>
    <w:basedOn w:val="Heading3"/>
    <w:next w:val="Normal"/>
    <w:qFormat/>
    <w:rsid w:val="00753B4D"/>
    <w:pPr>
      <w:tabs>
        <w:tab w:val="clear" w:pos="794"/>
        <w:tab w:val="left" w:pos="1021"/>
      </w:tabs>
      <w:ind w:left="1021" w:hanging="1021"/>
      <w:outlineLvl w:val="3"/>
    </w:pPr>
  </w:style>
  <w:style w:type="paragraph" w:styleId="Heading5">
    <w:name w:val="heading 5"/>
    <w:basedOn w:val="Heading4"/>
    <w:next w:val="Normal"/>
    <w:qFormat/>
    <w:rsid w:val="00753B4D"/>
    <w:pPr>
      <w:outlineLvl w:val="4"/>
    </w:pPr>
  </w:style>
  <w:style w:type="paragraph" w:styleId="Heading6">
    <w:name w:val="heading 6"/>
    <w:basedOn w:val="Heading4"/>
    <w:next w:val="Normal"/>
    <w:qFormat/>
    <w:rsid w:val="00753B4D"/>
    <w:pPr>
      <w:tabs>
        <w:tab w:val="clear" w:pos="1021"/>
        <w:tab w:val="clear" w:pos="1191"/>
      </w:tabs>
      <w:ind w:left="1588" w:hanging="1588"/>
      <w:outlineLvl w:val="5"/>
    </w:pPr>
  </w:style>
  <w:style w:type="paragraph" w:styleId="Heading7">
    <w:name w:val="heading 7"/>
    <w:basedOn w:val="Heading6"/>
    <w:next w:val="Normal"/>
    <w:qFormat/>
    <w:rsid w:val="00753B4D"/>
    <w:pPr>
      <w:outlineLvl w:val="6"/>
    </w:pPr>
  </w:style>
  <w:style w:type="paragraph" w:styleId="Heading8">
    <w:name w:val="heading 8"/>
    <w:basedOn w:val="Heading6"/>
    <w:next w:val="Normal"/>
    <w:qFormat/>
    <w:rsid w:val="00753B4D"/>
    <w:pPr>
      <w:outlineLvl w:val="7"/>
    </w:pPr>
  </w:style>
  <w:style w:type="paragraph" w:styleId="Heading9">
    <w:name w:val="heading 9"/>
    <w:basedOn w:val="Heading6"/>
    <w:next w:val="Normal"/>
    <w:qFormat/>
    <w:rsid w:val="00753B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753B4D"/>
    <w:pPr>
      <w:keepNext/>
      <w:keepLines/>
      <w:spacing w:before="480"/>
      <w:jc w:val="center"/>
    </w:pPr>
    <w:rPr>
      <w:b/>
      <w:sz w:val="28"/>
    </w:rPr>
  </w:style>
  <w:style w:type="character" w:customStyle="1" w:styleId="Appdef">
    <w:name w:val="App_def"/>
    <w:rsid w:val="00753B4D"/>
    <w:rPr>
      <w:rFonts w:ascii="Times New Roman" w:hAnsi="Times New Roman"/>
      <w:b/>
    </w:rPr>
  </w:style>
  <w:style w:type="character" w:customStyle="1" w:styleId="Appref">
    <w:name w:val="App_ref"/>
    <w:basedOn w:val="DefaultParagraphFont"/>
    <w:rsid w:val="00753B4D"/>
  </w:style>
  <w:style w:type="paragraph" w:customStyle="1" w:styleId="AppendixNotitle">
    <w:name w:val="Appendix_No &amp; title"/>
    <w:basedOn w:val="AnnexNotitle"/>
    <w:next w:val="Normal"/>
    <w:rsid w:val="00753B4D"/>
  </w:style>
  <w:style w:type="character" w:customStyle="1" w:styleId="Artdef">
    <w:name w:val="Art_def"/>
    <w:rsid w:val="00753B4D"/>
    <w:rPr>
      <w:rFonts w:ascii="Times New Roman" w:hAnsi="Times New Roman"/>
      <w:b/>
    </w:rPr>
  </w:style>
  <w:style w:type="paragraph" w:customStyle="1" w:styleId="Artheading">
    <w:name w:val="Art_heading"/>
    <w:basedOn w:val="Normal"/>
    <w:next w:val="Normal"/>
    <w:rsid w:val="00753B4D"/>
    <w:pPr>
      <w:spacing w:before="480"/>
      <w:jc w:val="center"/>
    </w:pPr>
    <w:rPr>
      <w:b/>
      <w:sz w:val="28"/>
    </w:rPr>
  </w:style>
  <w:style w:type="paragraph" w:customStyle="1" w:styleId="ArtNo">
    <w:name w:val="Art_No"/>
    <w:basedOn w:val="Normal"/>
    <w:next w:val="Normal"/>
    <w:rsid w:val="00753B4D"/>
    <w:pPr>
      <w:keepNext/>
      <w:keepLines/>
      <w:spacing w:before="480"/>
      <w:jc w:val="center"/>
    </w:pPr>
    <w:rPr>
      <w:caps/>
      <w:sz w:val="28"/>
    </w:rPr>
  </w:style>
  <w:style w:type="character" w:customStyle="1" w:styleId="Artref">
    <w:name w:val="Art_ref"/>
    <w:basedOn w:val="DefaultParagraphFont"/>
    <w:rsid w:val="00753B4D"/>
  </w:style>
  <w:style w:type="paragraph" w:customStyle="1" w:styleId="Arttitle">
    <w:name w:val="Art_title"/>
    <w:basedOn w:val="Normal"/>
    <w:next w:val="Normal"/>
    <w:rsid w:val="00753B4D"/>
    <w:pPr>
      <w:keepNext/>
      <w:keepLines/>
      <w:spacing w:before="240"/>
      <w:jc w:val="center"/>
    </w:pPr>
    <w:rPr>
      <w:b/>
      <w:sz w:val="28"/>
    </w:rPr>
  </w:style>
  <w:style w:type="paragraph" w:customStyle="1" w:styleId="ASN1">
    <w:name w:val="ASN.1"/>
    <w:basedOn w:val="Normal"/>
    <w:rsid w:val="00753B4D"/>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753B4D"/>
    <w:pPr>
      <w:keepNext/>
      <w:keepLines/>
      <w:spacing w:before="160"/>
      <w:ind w:left="794"/>
    </w:pPr>
    <w:rPr>
      <w:i/>
    </w:rPr>
  </w:style>
  <w:style w:type="paragraph" w:customStyle="1" w:styleId="ChapNo">
    <w:name w:val="Chap_No"/>
    <w:basedOn w:val="Normal"/>
    <w:next w:val="Normal"/>
    <w:rsid w:val="00753B4D"/>
    <w:pPr>
      <w:keepNext/>
      <w:keepLines/>
      <w:spacing w:before="480"/>
      <w:jc w:val="center"/>
    </w:pPr>
    <w:rPr>
      <w:b/>
      <w:caps/>
      <w:sz w:val="28"/>
    </w:rPr>
  </w:style>
  <w:style w:type="paragraph" w:customStyle="1" w:styleId="Chaptitle">
    <w:name w:val="Chap_title"/>
    <w:basedOn w:val="Normal"/>
    <w:next w:val="Normal"/>
    <w:rsid w:val="00753B4D"/>
    <w:pPr>
      <w:keepNext/>
      <w:keepLines/>
      <w:spacing w:before="240"/>
      <w:jc w:val="center"/>
    </w:pPr>
    <w:rPr>
      <w:b/>
      <w:sz w:val="28"/>
    </w:rPr>
  </w:style>
  <w:style w:type="character" w:styleId="EndnoteReference">
    <w:name w:val="endnote reference"/>
    <w:semiHidden/>
    <w:rsid w:val="00753B4D"/>
    <w:rPr>
      <w:vertAlign w:val="superscript"/>
    </w:rPr>
  </w:style>
  <w:style w:type="paragraph" w:customStyle="1" w:styleId="enumlev1">
    <w:name w:val="enumlev1"/>
    <w:basedOn w:val="Normal"/>
    <w:rsid w:val="00753B4D"/>
    <w:pPr>
      <w:spacing w:before="80"/>
      <w:ind w:left="794" w:hanging="794"/>
    </w:pPr>
  </w:style>
  <w:style w:type="paragraph" w:customStyle="1" w:styleId="enumlev2">
    <w:name w:val="enumlev2"/>
    <w:basedOn w:val="enumlev1"/>
    <w:rsid w:val="00753B4D"/>
    <w:pPr>
      <w:ind w:left="1191" w:hanging="397"/>
    </w:pPr>
  </w:style>
  <w:style w:type="paragraph" w:customStyle="1" w:styleId="enumlev3">
    <w:name w:val="enumlev3"/>
    <w:basedOn w:val="enumlev2"/>
    <w:rsid w:val="00753B4D"/>
    <w:pPr>
      <w:ind w:left="1588"/>
    </w:pPr>
  </w:style>
  <w:style w:type="paragraph" w:customStyle="1" w:styleId="Equation">
    <w:name w:val="Equation"/>
    <w:basedOn w:val="Normal"/>
    <w:rsid w:val="00753B4D"/>
    <w:pPr>
      <w:tabs>
        <w:tab w:val="clear" w:pos="1191"/>
        <w:tab w:val="clear" w:pos="1588"/>
        <w:tab w:val="clear" w:pos="1985"/>
        <w:tab w:val="center" w:pos="4820"/>
        <w:tab w:val="right" w:pos="9639"/>
      </w:tabs>
    </w:pPr>
  </w:style>
  <w:style w:type="paragraph" w:customStyle="1" w:styleId="Equationlegend">
    <w:name w:val="Equation_legend"/>
    <w:basedOn w:val="Normal"/>
    <w:rsid w:val="00753B4D"/>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753B4D"/>
    <w:pPr>
      <w:keepNext/>
      <w:keepLines/>
      <w:spacing w:before="240" w:after="120"/>
      <w:jc w:val="center"/>
    </w:pPr>
  </w:style>
  <w:style w:type="paragraph" w:customStyle="1" w:styleId="Figurelegend">
    <w:name w:val="Figure_legend"/>
    <w:basedOn w:val="Normal"/>
    <w:rsid w:val="00753B4D"/>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753B4D"/>
    <w:pPr>
      <w:keepLines/>
      <w:spacing w:before="240" w:after="120"/>
      <w:jc w:val="center"/>
    </w:pPr>
    <w:rPr>
      <w:b/>
    </w:rPr>
  </w:style>
  <w:style w:type="paragraph" w:customStyle="1" w:styleId="FigureNoBR">
    <w:name w:val="Figure_No_BR"/>
    <w:basedOn w:val="Normal"/>
    <w:next w:val="Normal"/>
    <w:rsid w:val="00753B4D"/>
    <w:pPr>
      <w:keepNext/>
      <w:keepLines/>
      <w:spacing w:before="480" w:after="120"/>
      <w:jc w:val="center"/>
    </w:pPr>
    <w:rPr>
      <w:caps/>
    </w:rPr>
  </w:style>
  <w:style w:type="paragraph" w:customStyle="1" w:styleId="TabletitleBR">
    <w:name w:val="Table_title_BR"/>
    <w:basedOn w:val="Normal"/>
    <w:next w:val="Normal"/>
    <w:rsid w:val="00753B4D"/>
    <w:pPr>
      <w:keepNext/>
      <w:keepLines/>
      <w:spacing w:before="0" w:after="120"/>
      <w:jc w:val="center"/>
    </w:pPr>
    <w:rPr>
      <w:b/>
    </w:rPr>
  </w:style>
  <w:style w:type="paragraph" w:customStyle="1" w:styleId="FiguretitleBR">
    <w:name w:val="Figure_title_BR"/>
    <w:basedOn w:val="TabletitleBR"/>
    <w:next w:val="Normal"/>
    <w:rsid w:val="00753B4D"/>
    <w:pPr>
      <w:keepNext w:val="0"/>
      <w:spacing w:after="480"/>
    </w:pPr>
  </w:style>
  <w:style w:type="paragraph" w:customStyle="1" w:styleId="Figurewithouttitle">
    <w:name w:val="Figure_without_title"/>
    <w:basedOn w:val="Normal"/>
    <w:next w:val="Normal"/>
    <w:rsid w:val="00753B4D"/>
    <w:pPr>
      <w:keepLines/>
      <w:spacing w:before="240" w:after="120"/>
      <w:jc w:val="center"/>
    </w:pPr>
  </w:style>
  <w:style w:type="paragraph" w:styleId="Footer">
    <w:name w:val="footer"/>
    <w:basedOn w:val="Normal"/>
    <w:rsid w:val="00753B4D"/>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753B4D"/>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753B4D"/>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semiHidden/>
    <w:rsid w:val="00753B4D"/>
    <w:rPr>
      <w:position w:val="6"/>
      <w:sz w:val="18"/>
    </w:rPr>
  </w:style>
  <w:style w:type="paragraph" w:customStyle="1" w:styleId="Note">
    <w:name w:val="Note"/>
    <w:basedOn w:val="Normal"/>
    <w:rsid w:val="00753B4D"/>
    <w:pPr>
      <w:spacing w:before="80"/>
    </w:pPr>
  </w:style>
  <w:style w:type="paragraph" w:styleId="FootnoteText">
    <w:name w:val="footnote text"/>
    <w:basedOn w:val="Note"/>
    <w:semiHidden/>
    <w:rsid w:val="00753B4D"/>
    <w:pPr>
      <w:keepLines/>
      <w:tabs>
        <w:tab w:val="left" w:pos="255"/>
      </w:tabs>
      <w:ind w:left="255" w:hanging="255"/>
    </w:pPr>
  </w:style>
  <w:style w:type="paragraph" w:customStyle="1" w:styleId="Formal">
    <w:name w:val="Formal"/>
    <w:basedOn w:val="ASN1"/>
    <w:rsid w:val="00753B4D"/>
    <w:rPr>
      <w:b w:val="0"/>
    </w:rPr>
  </w:style>
  <w:style w:type="paragraph" w:styleId="Header">
    <w:name w:val="header"/>
    <w:basedOn w:val="Normal"/>
    <w:rsid w:val="00753B4D"/>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753B4D"/>
    <w:pPr>
      <w:keepNext/>
      <w:spacing w:before="160"/>
    </w:pPr>
    <w:rPr>
      <w:b/>
    </w:rPr>
  </w:style>
  <w:style w:type="paragraph" w:customStyle="1" w:styleId="Headingi">
    <w:name w:val="Heading_i"/>
    <w:basedOn w:val="Normal"/>
    <w:next w:val="Normal"/>
    <w:rsid w:val="00753B4D"/>
    <w:pPr>
      <w:keepNext/>
      <w:spacing w:before="160"/>
    </w:pPr>
    <w:rPr>
      <w:i/>
    </w:rPr>
  </w:style>
  <w:style w:type="paragraph" w:styleId="Index1">
    <w:name w:val="index 1"/>
    <w:basedOn w:val="Normal"/>
    <w:next w:val="Normal"/>
    <w:semiHidden/>
    <w:rsid w:val="00753B4D"/>
  </w:style>
  <w:style w:type="paragraph" w:styleId="Index2">
    <w:name w:val="index 2"/>
    <w:basedOn w:val="Normal"/>
    <w:next w:val="Normal"/>
    <w:semiHidden/>
    <w:rsid w:val="00753B4D"/>
    <w:pPr>
      <w:ind w:left="283"/>
    </w:pPr>
  </w:style>
  <w:style w:type="paragraph" w:styleId="Index3">
    <w:name w:val="index 3"/>
    <w:basedOn w:val="Normal"/>
    <w:next w:val="Normal"/>
    <w:semiHidden/>
    <w:rsid w:val="00753B4D"/>
    <w:pPr>
      <w:ind w:left="566"/>
    </w:pPr>
  </w:style>
  <w:style w:type="paragraph" w:customStyle="1" w:styleId="Normalaftertitle">
    <w:name w:val="Normal_after_title"/>
    <w:basedOn w:val="Normal"/>
    <w:next w:val="Normal"/>
    <w:rsid w:val="00753B4D"/>
    <w:pPr>
      <w:spacing w:before="360"/>
    </w:pPr>
  </w:style>
  <w:style w:type="character" w:styleId="PageNumber">
    <w:name w:val="page number"/>
    <w:basedOn w:val="DefaultParagraphFont"/>
    <w:rsid w:val="00753B4D"/>
  </w:style>
  <w:style w:type="paragraph" w:customStyle="1" w:styleId="PartNo">
    <w:name w:val="Part_No"/>
    <w:basedOn w:val="Normal"/>
    <w:next w:val="Normal"/>
    <w:rsid w:val="00753B4D"/>
    <w:pPr>
      <w:keepNext/>
      <w:keepLines/>
      <w:spacing w:before="480" w:after="80"/>
      <w:jc w:val="center"/>
    </w:pPr>
    <w:rPr>
      <w:caps/>
      <w:sz w:val="28"/>
    </w:rPr>
  </w:style>
  <w:style w:type="paragraph" w:customStyle="1" w:styleId="Partref">
    <w:name w:val="Part_ref"/>
    <w:basedOn w:val="Normal"/>
    <w:next w:val="Normal"/>
    <w:rsid w:val="00753B4D"/>
    <w:pPr>
      <w:keepNext/>
      <w:keepLines/>
      <w:spacing w:before="280"/>
      <w:jc w:val="center"/>
    </w:pPr>
  </w:style>
  <w:style w:type="paragraph" w:customStyle="1" w:styleId="Parttitle">
    <w:name w:val="Part_title"/>
    <w:basedOn w:val="Normal"/>
    <w:next w:val="Normalaftertitle"/>
    <w:rsid w:val="00753B4D"/>
    <w:pPr>
      <w:keepNext/>
      <w:keepLines/>
      <w:spacing w:before="240" w:after="280"/>
      <w:jc w:val="center"/>
    </w:pPr>
    <w:rPr>
      <w:b/>
      <w:sz w:val="28"/>
    </w:rPr>
  </w:style>
  <w:style w:type="paragraph" w:customStyle="1" w:styleId="Recdate">
    <w:name w:val="Rec_date"/>
    <w:basedOn w:val="Normal"/>
    <w:next w:val="Normalaftertitle"/>
    <w:rsid w:val="00753B4D"/>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753B4D"/>
  </w:style>
  <w:style w:type="paragraph" w:customStyle="1" w:styleId="RecNo">
    <w:name w:val="Rec_No"/>
    <w:basedOn w:val="Normal"/>
    <w:next w:val="Normal"/>
    <w:rsid w:val="00753B4D"/>
    <w:pPr>
      <w:keepNext/>
      <w:keepLines/>
      <w:spacing w:before="0"/>
    </w:pPr>
    <w:rPr>
      <w:b/>
      <w:sz w:val="28"/>
    </w:rPr>
  </w:style>
  <w:style w:type="paragraph" w:customStyle="1" w:styleId="QuestionNo">
    <w:name w:val="Question_No"/>
    <w:basedOn w:val="RecNo"/>
    <w:next w:val="Normal"/>
    <w:rsid w:val="00753B4D"/>
  </w:style>
  <w:style w:type="paragraph" w:customStyle="1" w:styleId="RecNoBR">
    <w:name w:val="Rec_No_BR"/>
    <w:basedOn w:val="Normal"/>
    <w:next w:val="Normal"/>
    <w:rsid w:val="00753B4D"/>
    <w:pPr>
      <w:keepNext/>
      <w:keepLines/>
      <w:spacing w:before="480"/>
      <w:jc w:val="center"/>
    </w:pPr>
    <w:rPr>
      <w:caps/>
      <w:sz w:val="28"/>
    </w:rPr>
  </w:style>
  <w:style w:type="paragraph" w:customStyle="1" w:styleId="QuestionNoBR">
    <w:name w:val="Question_No_BR"/>
    <w:basedOn w:val="RecNoBR"/>
    <w:next w:val="Normal"/>
    <w:rsid w:val="00753B4D"/>
  </w:style>
  <w:style w:type="paragraph" w:customStyle="1" w:styleId="Recref">
    <w:name w:val="Rec_ref"/>
    <w:basedOn w:val="Normal"/>
    <w:next w:val="Recdate"/>
    <w:rsid w:val="00753B4D"/>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753B4D"/>
  </w:style>
  <w:style w:type="paragraph" w:customStyle="1" w:styleId="Rectitle">
    <w:name w:val="Rec_title"/>
    <w:basedOn w:val="Normal"/>
    <w:next w:val="Normalaftertitle"/>
    <w:rsid w:val="00753B4D"/>
    <w:pPr>
      <w:keepNext/>
      <w:keepLines/>
      <w:spacing w:before="360"/>
      <w:jc w:val="center"/>
    </w:pPr>
    <w:rPr>
      <w:b/>
      <w:sz w:val="28"/>
    </w:rPr>
  </w:style>
  <w:style w:type="paragraph" w:customStyle="1" w:styleId="Questiontitle">
    <w:name w:val="Question_title"/>
    <w:basedOn w:val="Rectitle"/>
    <w:next w:val="Questionref"/>
    <w:rsid w:val="00753B4D"/>
  </w:style>
  <w:style w:type="character" w:customStyle="1" w:styleId="Recdef">
    <w:name w:val="Rec_def"/>
    <w:rsid w:val="00753B4D"/>
    <w:rPr>
      <w:b/>
    </w:rPr>
  </w:style>
  <w:style w:type="paragraph" w:customStyle="1" w:styleId="Reftext">
    <w:name w:val="Ref_text"/>
    <w:basedOn w:val="Normal"/>
    <w:rsid w:val="00753B4D"/>
    <w:pPr>
      <w:ind w:left="794" w:hanging="794"/>
    </w:pPr>
  </w:style>
  <w:style w:type="paragraph" w:customStyle="1" w:styleId="Reftitle">
    <w:name w:val="Ref_title"/>
    <w:basedOn w:val="Normal"/>
    <w:next w:val="Reftext"/>
    <w:rsid w:val="00753B4D"/>
    <w:pPr>
      <w:spacing w:before="480"/>
      <w:jc w:val="center"/>
    </w:pPr>
    <w:rPr>
      <w:b/>
    </w:rPr>
  </w:style>
  <w:style w:type="paragraph" w:customStyle="1" w:styleId="Repdate">
    <w:name w:val="Rep_date"/>
    <w:basedOn w:val="Recdate"/>
    <w:next w:val="Normalaftertitle"/>
    <w:rsid w:val="00753B4D"/>
  </w:style>
  <w:style w:type="paragraph" w:customStyle="1" w:styleId="RepNo">
    <w:name w:val="Rep_No"/>
    <w:basedOn w:val="RecNo"/>
    <w:next w:val="Normal"/>
    <w:rsid w:val="00753B4D"/>
  </w:style>
  <w:style w:type="paragraph" w:customStyle="1" w:styleId="RepNoBR">
    <w:name w:val="Rep_No_BR"/>
    <w:basedOn w:val="RecNoBR"/>
    <w:next w:val="Normal"/>
    <w:rsid w:val="00753B4D"/>
  </w:style>
  <w:style w:type="paragraph" w:customStyle="1" w:styleId="Repref">
    <w:name w:val="Rep_ref"/>
    <w:basedOn w:val="Recref"/>
    <w:next w:val="Repdate"/>
    <w:rsid w:val="00753B4D"/>
  </w:style>
  <w:style w:type="paragraph" w:customStyle="1" w:styleId="Reptitle">
    <w:name w:val="Rep_title"/>
    <w:basedOn w:val="Rectitle"/>
    <w:next w:val="Repref"/>
    <w:rsid w:val="00753B4D"/>
  </w:style>
  <w:style w:type="paragraph" w:customStyle="1" w:styleId="Resdate">
    <w:name w:val="Res_date"/>
    <w:basedOn w:val="Recdate"/>
    <w:next w:val="Normalaftertitle"/>
    <w:rsid w:val="00753B4D"/>
  </w:style>
  <w:style w:type="character" w:customStyle="1" w:styleId="Resdef">
    <w:name w:val="Res_def"/>
    <w:rsid w:val="00753B4D"/>
    <w:rPr>
      <w:rFonts w:ascii="Times New Roman" w:hAnsi="Times New Roman"/>
      <w:b/>
    </w:rPr>
  </w:style>
  <w:style w:type="paragraph" w:customStyle="1" w:styleId="ResNo">
    <w:name w:val="Res_No"/>
    <w:basedOn w:val="RecNo"/>
    <w:next w:val="Normal"/>
    <w:rsid w:val="00753B4D"/>
  </w:style>
  <w:style w:type="paragraph" w:customStyle="1" w:styleId="ResNoBR">
    <w:name w:val="Res_No_BR"/>
    <w:basedOn w:val="RecNoBR"/>
    <w:next w:val="Normal"/>
    <w:rsid w:val="00753B4D"/>
  </w:style>
  <w:style w:type="paragraph" w:customStyle="1" w:styleId="Resref">
    <w:name w:val="Res_ref"/>
    <w:basedOn w:val="Recref"/>
    <w:next w:val="Resdate"/>
    <w:rsid w:val="00753B4D"/>
  </w:style>
  <w:style w:type="paragraph" w:customStyle="1" w:styleId="Restitle">
    <w:name w:val="Res_title"/>
    <w:basedOn w:val="Rectitle"/>
    <w:next w:val="Resref"/>
    <w:rsid w:val="00753B4D"/>
  </w:style>
  <w:style w:type="paragraph" w:customStyle="1" w:styleId="Section1">
    <w:name w:val="Section_1"/>
    <w:basedOn w:val="Normal"/>
    <w:next w:val="Normal"/>
    <w:rsid w:val="00753B4D"/>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753B4D"/>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753B4D"/>
    <w:pPr>
      <w:keepNext/>
      <w:keepLines/>
      <w:spacing w:before="480" w:after="80"/>
      <w:jc w:val="center"/>
    </w:pPr>
    <w:rPr>
      <w:caps/>
      <w:sz w:val="28"/>
    </w:rPr>
  </w:style>
  <w:style w:type="paragraph" w:customStyle="1" w:styleId="Sectiontitle">
    <w:name w:val="Section_title"/>
    <w:basedOn w:val="Normal"/>
    <w:next w:val="Normalaftertitle"/>
    <w:rsid w:val="00753B4D"/>
    <w:pPr>
      <w:keepNext/>
      <w:keepLines/>
      <w:spacing w:before="480" w:after="280"/>
      <w:jc w:val="center"/>
    </w:pPr>
    <w:rPr>
      <w:b/>
      <w:sz w:val="28"/>
    </w:rPr>
  </w:style>
  <w:style w:type="paragraph" w:customStyle="1" w:styleId="Source">
    <w:name w:val="Source"/>
    <w:basedOn w:val="Normal"/>
    <w:next w:val="Normalaftertitle"/>
    <w:rsid w:val="00753B4D"/>
    <w:pPr>
      <w:spacing w:before="840" w:after="200"/>
      <w:jc w:val="center"/>
    </w:pPr>
    <w:rPr>
      <w:b/>
      <w:sz w:val="28"/>
    </w:rPr>
  </w:style>
  <w:style w:type="paragraph" w:customStyle="1" w:styleId="SpecialFooter">
    <w:name w:val="Special Footer"/>
    <w:basedOn w:val="Footer"/>
    <w:rsid w:val="00753B4D"/>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753B4D"/>
    <w:rPr>
      <w:b/>
      <w:color w:val="auto"/>
    </w:rPr>
  </w:style>
  <w:style w:type="paragraph" w:customStyle="1" w:styleId="Tablehead">
    <w:name w:val="Table_head"/>
    <w:basedOn w:val="Normal"/>
    <w:next w:val="Normal"/>
    <w:rsid w:val="00753B4D"/>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753B4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753B4D"/>
    <w:pPr>
      <w:keepNext/>
      <w:keepLines/>
      <w:spacing w:before="360" w:after="120"/>
      <w:jc w:val="center"/>
    </w:pPr>
    <w:rPr>
      <w:b/>
    </w:rPr>
  </w:style>
  <w:style w:type="paragraph" w:customStyle="1" w:styleId="TableNoBR">
    <w:name w:val="Table_No_BR"/>
    <w:basedOn w:val="Normal"/>
    <w:next w:val="TabletitleBR"/>
    <w:rsid w:val="00753B4D"/>
    <w:pPr>
      <w:keepNext/>
      <w:spacing w:before="560" w:after="120"/>
      <w:jc w:val="center"/>
    </w:pPr>
    <w:rPr>
      <w:caps/>
    </w:rPr>
  </w:style>
  <w:style w:type="paragraph" w:customStyle="1" w:styleId="Tableref">
    <w:name w:val="Table_ref"/>
    <w:basedOn w:val="Normal"/>
    <w:next w:val="TabletitleBR"/>
    <w:rsid w:val="00753B4D"/>
    <w:pPr>
      <w:keepNext/>
      <w:spacing w:before="0" w:after="120"/>
      <w:jc w:val="center"/>
    </w:pPr>
  </w:style>
  <w:style w:type="paragraph" w:customStyle="1" w:styleId="Tabletext">
    <w:name w:val="Table_text"/>
    <w:basedOn w:val="Normal"/>
    <w:rsid w:val="00753B4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753B4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753B4D"/>
  </w:style>
  <w:style w:type="paragraph" w:customStyle="1" w:styleId="Title3">
    <w:name w:val="Title 3"/>
    <w:basedOn w:val="Title2"/>
    <w:next w:val="Normal"/>
    <w:rsid w:val="00753B4D"/>
    <w:rPr>
      <w:caps w:val="0"/>
    </w:rPr>
  </w:style>
  <w:style w:type="paragraph" w:customStyle="1" w:styleId="Title4">
    <w:name w:val="Title 4"/>
    <w:basedOn w:val="Title3"/>
    <w:next w:val="Heading1"/>
    <w:rsid w:val="00753B4D"/>
    <w:rPr>
      <w:b/>
    </w:rPr>
  </w:style>
  <w:style w:type="paragraph" w:customStyle="1" w:styleId="toc0">
    <w:name w:val="toc 0"/>
    <w:basedOn w:val="Normal"/>
    <w:next w:val="TOC1"/>
    <w:rsid w:val="00753B4D"/>
    <w:pPr>
      <w:tabs>
        <w:tab w:val="clear" w:pos="794"/>
        <w:tab w:val="clear" w:pos="1191"/>
        <w:tab w:val="clear" w:pos="1588"/>
        <w:tab w:val="clear" w:pos="1985"/>
        <w:tab w:val="right" w:pos="9639"/>
      </w:tabs>
    </w:pPr>
    <w:rPr>
      <w:b/>
    </w:rPr>
  </w:style>
  <w:style w:type="paragraph" w:styleId="TOC1">
    <w:name w:val="toc 1"/>
    <w:basedOn w:val="Normal"/>
    <w:semiHidden/>
    <w:rsid w:val="00772C35"/>
    <w:pPr>
      <w:keepLines/>
      <w:tabs>
        <w:tab w:val="clear" w:pos="794"/>
        <w:tab w:val="clear" w:pos="1191"/>
        <w:tab w:val="clear" w:pos="1588"/>
        <w:tab w:val="clear" w:pos="1985"/>
        <w:tab w:val="left" w:pos="964"/>
        <w:tab w:val="left" w:leader="dot" w:pos="8789"/>
        <w:tab w:val="right" w:pos="9639"/>
      </w:tabs>
      <w:spacing w:before="240"/>
      <w:ind w:left="680" w:right="851" w:hanging="680"/>
    </w:pPr>
    <w:rPr>
      <w:rFonts w:eastAsia="Batang"/>
    </w:rPr>
  </w:style>
  <w:style w:type="paragraph" w:styleId="TOC2">
    <w:name w:val="toc 2"/>
    <w:basedOn w:val="TOC1"/>
    <w:semiHidden/>
    <w:rsid w:val="00772C35"/>
    <w:pPr>
      <w:tabs>
        <w:tab w:val="clear" w:pos="964"/>
      </w:tabs>
      <w:spacing w:before="80"/>
      <w:ind w:left="1531" w:hanging="851"/>
    </w:pPr>
  </w:style>
  <w:style w:type="paragraph" w:styleId="TOC3">
    <w:name w:val="toc 3"/>
    <w:basedOn w:val="TOC2"/>
    <w:semiHidden/>
    <w:rsid w:val="00772C35"/>
    <w:pPr>
      <w:ind w:left="2269"/>
    </w:pPr>
  </w:style>
  <w:style w:type="paragraph" w:styleId="TOC4">
    <w:name w:val="toc 4"/>
    <w:basedOn w:val="TOC3"/>
    <w:semiHidden/>
    <w:rsid w:val="00753B4D"/>
  </w:style>
  <w:style w:type="paragraph" w:styleId="TOC5">
    <w:name w:val="toc 5"/>
    <w:basedOn w:val="TOC4"/>
    <w:semiHidden/>
    <w:rsid w:val="00753B4D"/>
  </w:style>
  <w:style w:type="paragraph" w:styleId="TOC6">
    <w:name w:val="toc 6"/>
    <w:basedOn w:val="TOC4"/>
    <w:semiHidden/>
    <w:rsid w:val="00753B4D"/>
  </w:style>
  <w:style w:type="paragraph" w:styleId="TOC7">
    <w:name w:val="toc 7"/>
    <w:basedOn w:val="TOC4"/>
    <w:semiHidden/>
    <w:rsid w:val="00753B4D"/>
  </w:style>
  <w:style w:type="paragraph" w:styleId="TOC8">
    <w:name w:val="toc 8"/>
    <w:basedOn w:val="TOC4"/>
    <w:semiHidden/>
    <w:rsid w:val="00753B4D"/>
  </w:style>
  <w:style w:type="character" w:styleId="Strong">
    <w:name w:val="Strong"/>
    <w:basedOn w:val="DefaultParagraphFont"/>
    <w:uiPriority w:val="22"/>
    <w:qFormat/>
    <w:rsid w:val="006819BD"/>
    <w:rPr>
      <w:b/>
      <w:bCs/>
    </w:rPr>
  </w:style>
  <w:style w:type="paragraph" w:styleId="BalloonText">
    <w:name w:val="Balloon Text"/>
    <w:basedOn w:val="Normal"/>
    <w:link w:val="BalloonTextChar"/>
    <w:rsid w:val="00657501"/>
    <w:pPr>
      <w:spacing w:before="0"/>
    </w:pPr>
    <w:rPr>
      <w:rFonts w:ascii="Tahoma" w:hAnsi="Tahoma" w:cs="Tahoma"/>
      <w:sz w:val="16"/>
      <w:szCs w:val="16"/>
    </w:rPr>
  </w:style>
  <w:style w:type="character" w:customStyle="1" w:styleId="BalloonTextChar">
    <w:name w:val="Balloon Text Char"/>
    <w:basedOn w:val="DefaultParagraphFont"/>
    <w:link w:val="BalloonText"/>
    <w:rsid w:val="00657501"/>
    <w:rPr>
      <w:rFonts w:ascii="Tahoma" w:hAnsi="Tahoma" w:cs="Tahoma"/>
      <w:sz w:val="16"/>
      <w:szCs w:val="16"/>
      <w:lang w:val="en-GB" w:eastAsia="en-US"/>
    </w:rPr>
  </w:style>
  <w:style w:type="table" w:styleId="TableGrid">
    <w:name w:val="Table Grid"/>
    <w:basedOn w:val="TableNormal"/>
    <w:rsid w:val="00F41BF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41BF1"/>
    <w:rPr>
      <w:color w:val="0000FF" w:themeColor="hyperlink"/>
      <w:u w:val="single"/>
    </w:rPr>
  </w:style>
  <w:style w:type="character" w:customStyle="1" w:styleId="apple-converted-space">
    <w:name w:val="apple-converted-space"/>
    <w:basedOn w:val="DefaultParagraphFont"/>
    <w:rsid w:val="00F41BF1"/>
  </w:style>
  <w:style w:type="paragraph" w:styleId="ListParagraph">
    <w:name w:val="List Paragraph"/>
    <w:basedOn w:val="Normal"/>
    <w:uiPriority w:val="34"/>
    <w:qFormat/>
    <w:rsid w:val="00F41BF1"/>
    <w:pPr>
      <w:tabs>
        <w:tab w:val="clear" w:pos="794"/>
        <w:tab w:val="clear" w:pos="1191"/>
        <w:tab w:val="clear" w:pos="1588"/>
        <w:tab w:val="clear" w:pos="1985"/>
      </w:tabs>
      <w:overflowPunct/>
      <w:autoSpaceDE/>
      <w:autoSpaceDN/>
      <w:adjustRightInd/>
      <w:spacing w:before="0" w:after="200" w:line="276" w:lineRule="auto"/>
      <w:ind w:left="720"/>
      <w:contextualSpacing/>
      <w:textAlignment w:val="auto"/>
    </w:pPr>
    <w:rPr>
      <w:rFonts w:asciiTheme="minorHAnsi" w:hAnsiTheme="minorHAnsi" w:cstheme="minorBidi"/>
      <w:sz w:val="22"/>
      <w:szCs w:val="22"/>
      <w:lang w:val="en-US" w:eastAsia="zh-CN"/>
    </w:rPr>
  </w:style>
  <w:style w:type="paragraph" w:customStyle="1" w:styleId="LetterStart">
    <w:name w:val="Letter_Start"/>
    <w:basedOn w:val="Normal"/>
    <w:rsid w:val="00F41BF1"/>
    <w:pPr>
      <w:tabs>
        <w:tab w:val="clear" w:pos="794"/>
        <w:tab w:val="clear" w:pos="1191"/>
        <w:tab w:val="clear" w:pos="1588"/>
        <w:tab w:val="clear" w:pos="1985"/>
        <w:tab w:val="left" w:pos="1361"/>
        <w:tab w:val="left" w:pos="1758"/>
        <w:tab w:val="left" w:pos="2155"/>
        <w:tab w:val="left" w:pos="2552"/>
      </w:tabs>
      <w:overflowPunct/>
      <w:autoSpaceDE/>
      <w:autoSpaceDN/>
      <w:adjustRightInd/>
      <w:spacing w:before="284"/>
      <w:ind w:left="567"/>
      <w:textAlignment w:val="auto"/>
    </w:pPr>
  </w:style>
  <w:style w:type="paragraph" w:styleId="BodyText">
    <w:name w:val="Body Text"/>
    <w:basedOn w:val="Normal"/>
    <w:link w:val="BodyTextChar"/>
    <w:rsid w:val="005D1BFE"/>
    <w:pPr>
      <w:spacing w:before="136"/>
    </w:pPr>
    <w:rPr>
      <w:rFonts w:eastAsia="MS Mincho"/>
      <w:sz w:val="22"/>
      <w:szCs w:val="22"/>
    </w:rPr>
  </w:style>
  <w:style w:type="character" w:customStyle="1" w:styleId="BodyTextChar">
    <w:name w:val="Body Text Char"/>
    <w:basedOn w:val="DefaultParagraphFont"/>
    <w:link w:val="BodyText"/>
    <w:rsid w:val="005D1BFE"/>
    <w:rPr>
      <w:rFonts w:eastAsia="MS Mincho"/>
      <w:sz w:val="22"/>
      <w:szCs w:val="22"/>
      <w:lang w:val="en-GB" w:eastAsia="en-US"/>
    </w:rPr>
  </w:style>
  <w:style w:type="character" w:styleId="FollowedHyperlink">
    <w:name w:val="FollowedHyperlink"/>
    <w:basedOn w:val="DefaultParagraphFont"/>
    <w:rsid w:val="00322D25"/>
    <w:rPr>
      <w:color w:val="800080" w:themeColor="followedHyperlink"/>
      <w:u w:val="single"/>
    </w:rPr>
  </w:style>
  <w:style w:type="paragraph" w:styleId="BodyTextIndent">
    <w:name w:val="Body Text Indent"/>
    <w:basedOn w:val="Normal"/>
    <w:link w:val="BodyTextIndentChar"/>
    <w:rsid w:val="00B17C05"/>
    <w:pPr>
      <w:spacing w:after="120"/>
      <w:ind w:left="283"/>
    </w:pPr>
  </w:style>
  <w:style w:type="character" w:customStyle="1" w:styleId="BodyTextIndentChar">
    <w:name w:val="Body Text Indent Char"/>
    <w:basedOn w:val="DefaultParagraphFont"/>
    <w:link w:val="BodyTextIndent"/>
    <w:rsid w:val="00B17C05"/>
    <w:rPr>
      <w:sz w:val="24"/>
      <w:lang w:val="en-GB" w:eastAsia="en-US"/>
    </w:rPr>
  </w:style>
  <w:style w:type="paragraph" w:customStyle="1" w:styleId="Docnumber">
    <w:name w:val="Docnumber"/>
    <w:basedOn w:val="Normal"/>
    <w:link w:val="DocnumberChar"/>
    <w:rsid w:val="00626C56"/>
    <w:pPr>
      <w:jc w:val="right"/>
    </w:pPr>
    <w:rPr>
      <w:b/>
      <w:bCs/>
      <w:sz w:val="40"/>
    </w:rPr>
  </w:style>
  <w:style w:type="character" w:customStyle="1" w:styleId="DocnumberChar">
    <w:name w:val="Docnumber Char"/>
    <w:basedOn w:val="DefaultParagraphFont"/>
    <w:link w:val="Docnumber"/>
    <w:rsid w:val="00626C56"/>
    <w:rPr>
      <w:b/>
      <w:bCs/>
      <w:sz w:val="4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53B4D"/>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rsid w:val="00753B4D"/>
    <w:pPr>
      <w:keepNext/>
      <w:keepLines/>
      <w:spacing w:before="360"/>
      <w:ind w:left="794" w:hanging="794"/>
      <w:outlineLvl w:val="0"/>
    </w:pPr>
    <w:rPr>
      <w:b/>
    </w:rPr>
  </w:style>
  <w:style w:type="paragraph" w:styleId="Heading2">
    <w:name w:val="heading 2"/>
    <w:basedOn w:val="Heading1"/>
    <w:next w:val="Normal"/>
    <w:qFormat/>
    <w:rsid w:val="00753B4D"/>
    <w:pPr>
      <w:spacing w:before="240"/>
      <w:outlineLvl w:val="1"/>
    </w:pPr>
  </w:style>
  <w:style w:type="paragraph" w:styleId="Heading3">
    <w:name w:val="heading 3"/>
    <w:basedOn w:val="Heading1"/>
    <w:next w:val="Normal"/>
    <w:qFormat/>
    <w:rsid w:val="00753B4D"/>
    <w:pPr>
      <w:spacing w:before="160"/>
      <w:outlineLvl w:val="2"/>
    </w:pPr>
  </w:style>
  <w:style w:type="paragraph" w:styleId="Heading4">
    <w:name w:val="heading 4"/>
    <w:basedOn w:val="Heading3"/>
    <w:next w:val="Normal"/>
    <w:qFormat/>
    <w:rsid w:val="00753B4D"/>
    <w:pPr>
      <w:tabs>
        <w:tab w:val="clear" w:pos="794"/>
        <w:tab w:val="left" w:pos="1021"/>
      </w:tabs>
      <w:ind w:left="1021" w:hanging="1021"/>
      <w:outlineLvl w:val="3"/>
    </w:pPr>
  </w:style>
  <w:style w:type="paragraph" w:styleId="Heading5">
    <w:name w:val="heading 5"/>
    <w:basedOn w:val="Heading4"/>
    <w:next w:val="Normal"/>
    <w:qFormat/>
    <w:rsid w:val="00753B4D"/>
    <w:pPr>
      <w:outlineLvl w:val="4"/>
    </w:pPr>
  </w:style>
  <w:style w:type="paragraph" w:styleId="Heading6">
    <w:name w:val="heading 6"/>
    <w:basedOn w:val="Heading4"/>
    <w:next w:val="Normal"/>
    <w:qFormat/>
    <w:rsid w:val="00753B4D"/>
    <w:pPr>
      <w:tabs>
        <w:tab w:val="clear" w:pos="1021"/>
        <w:tab w:val="clear" w:pos="1191"/>
      </w:tabs>
      <w:ind w:left="1588" w:hanging="1588"/>
      <w:outlineLvl w:val="5"/>
    </w:pPr>
  </w:style>
  <w:style w:type="paragraph" w:styleId="Heading7">
    <w:name w:val="heading 7"/>
    <w:basedOn w:val="Heading6"/>
    <w:next w:val="Normal"/>
    <w:qFormat/>
    <w:rsid w:val="00753B4D"/>
    <w:pPr>
      <w:outlineLvl w:val="6"/>
    </w:pPr>
  </w:style>
  <w:style w:type="paragraph" w:styleId="Heading8">
    <w:name w:val="heading 8"/>
    <w:basedOn w:val="Heading6"/>
    <w:next w:val="Normal"/>
    <w:qFormat/>
    <w:rsid w:val="00753B4D"/>
    <w:pPr>
      <w:outlineLvl w:val="7"/>
    </w:pPr>
  </w:style>
  <w:style w:type="paragraph" w:styleId="Heading9">
    <w:name w:val="heading 9"/>
    <w:basedOn w:val="Heading6"/>
    <w:next w:val="Normal"/>
    <w:qFormat/>
    <w:rsid w:val="00753B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753B4D"/>
    <w:pPr>
      <w:keepNext/>
      <w:keepLines/>
      <w:spacing w:before="480"/>
      <w:jc w:val="center"/>
    </w:pPr>
    <w:rPr>
      <w:b/>
      <w:sz w:val="28"/>
    </w:rPr>
  </w:style>
  <w:style w:type="character" w:customStyle="1" w:styleId="Appdef">
    <w:name w:val="App_def"/>
    <w:rsid w:val="00753B4D"/>
    <w:rPr>
      <w:rFonts w:ascii="Times New Roman" w:hAnsi="Times New Roman"/>
      <w:b/>
    </w:rPr>
  </w:style>
  <w:style w:type="character" w:customStyle="1" w:styleId="Appref">
    <w:name w:val="App_ref"/>
    <w:basedOn w:val="DefaultParagraphFont"/>
    <w:rsid w:val="00753B4D"/>
  </w:style>
  <w:style w:type="paragraph" w:customStyle="1" w:styleId="AppendixNotitle">
    <w:name w:val="Appendix_No &amp; title"/>
    <w:basedOn w:val="AnnexNotitle"/>
    <w:next w:val="Normal"/>
    <w:rsid w:val="00753B4D"/>
  </w:style>
  <w:style w:type="character" w:customStyle="1" w:styleId="Artdef">
    <w:name w:val="Art_def"/>
    <w:rsid w:val="00753B4D"/>
    <w:rPr>
      <w:rFonts w:ascii="Times New Roman" w:hAnsi="Times New Roman"/>
      <w:b/>
    </w:rPr>
  </w:style>
  <w:style w:type="paragraph" w:customStyle="1" w:styleId="Artheading">
    <w:name w:val="Art_heading"/>
    <w:basedOn w:val="Normal"/>
    <w:next w:val="Normal"/>
    <w:rsid w:val="00753B4D"/>
    <w:pPr>
      <w:spacing w:before="480"/>
      <w:jc w:val="center"/>
    </w:pPr>
    <w:rPr>
      <w:b/>
      <w:sz w:val="28"/>
    </w:rPr>
  </w:style>
  <w:style w:type="paragraph" w:customStyle="1" w:styleId="ArtNo">
    <w:name w:val="Art_No"/>
    <w:basedOn w:val="Normal"/>
    <w:next w:val="Normal"/>
    <w:rsid w:val="00753B4D"/>
    <w:pPr>
      <w:keepNext/>
      <w:keepLines/>
      <w:spacing w:before="480"/>
      <w:jc w:val="center"/>
    </w:pPr>
    <w:rPr>
      <w:caps/>
      <w:sz w:val="28"/>
    </w:rPr>
  </w:style>
  <w:style w:type="character" w:customStyle="1" w:styleId="Artref">
    <w:name w:val="Art_ref"/>
    <w:basedOn w:val="DefaultParagraphFont"/>
    <w:rsid w:val="00753B4D"/>
  </w:style>
  <w:style w:type="paragraph" w:customStyle="1" w:styleId="Arttitle">
    <w:name w:val="Art_title"/>
    <w:basedOn w:val="Normal"/>
    <w:next w:val="Normal"/>
    <w:rsid w:val="00753B4D"/>
    <w:pPr>
      <w:keepNext/>
      <w:keepLines/>
      <w:spacing w:before="240"/>
      <w:jc w:val="center"/>
    </w:pPr>
    <w:rPr>
      <w:b/>
      <w:sz w:val="28"/>
    </w:rPr>
  </w:style>
  <w:style w:type="paragraph" w:customStyle="1" w:styleId="ASN1">
    <w:name w:val="ASN.1"/>
    <w:basedOn w:val="Normal"/>
    <w:rsid w:val="00753B4D"/>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753B4D"/>
    <w:pPr>
      <w:keepNext/>
      <w:keepLines/>
      <w:spacing w:before="160"/>
      <w:ind w:left="794"/>
    </w:pPr>
    <w:rPr>
      <w:i/>
    </w:rPr>
  </w:style>
  <w:style w:type="paragraph" w:customStyle="1" w:styleId="ChapNo">
    <w:name w:val="Chap_No"/>
    <w:basedOn w:val="Normal"/>
    <w:next w:val="Normal"/>
    <w:rsid w:val="00753B4D"/>
    <w:pPr>
      <w:keepNext/>
      <w:keepLines/>
      <w:spacing w:before="480"/>
      <w:jc w:val="center"/>
    </w:pPr>
    <w:rPr>
      <w:b/>
      <w:caps/>
      <w:sz w:val="28"/>
    </w:rPr>
  </w:style>
  <w:style w:type="paragraph" w:customStyle="1" w:styleId="Chaptitle">
    <w:name w:val="Chap_title"/>
    <w:basedOn w:val="Normal"/>
    <w:next w:val="Normal"/>
    <w:rsid w:val="00753B4D"/>
    <w:pPr>
      <w:keepNext/>
      <w:keepLines/>
      <w:spacing w:before="240"/>
      <w:jc w:val="center"/>
    </w:pPr>
    <w:rPr>
      <w:b/>
      <w:sz w:val="28"/>
    </w:rPr>
  </w:style>
  <w:style w:type="character" w:styleId="EndnoteReference">
    <w:name w:val="endnote reference"/>
    <w:semiHidden/>
    <w:rsid w:val="00753B4D"/>
    <w:rPr>
      <w:vertAlign w:val="superscript"/>
    </w:rPr>
  </w:style>
  <w:style w:type="paragraph" w:customStyle="1" w:styleId="enumlev1">
    <w:name w:val="enumlev1"/>
    <w:basedOn w:val="Normal"/>
    <w:rsid w:val="00753B4D"/>
    <w:pPr>
      <w:spacing w:before="80"/>
      <w:ind w:left="794" w:hanging="794"/>
    </w:pPr>
  </w:style>
  <w:style w:type="paragraph" w:customStyle="1" w:styleId="enumlev2">
    <w:name w:val="enumlev2"/>
    <w:basedOn w:val="enumlev1"/>
    <w:rsid w:val="00753B4D"/>
    <w:pPr>
      <w:ind w:left="1191" w:hanging="397"/>
    </w:pPr>
  </w:style>
  <w:style w:type="paragraph" w:customStyle="1" w:styleId="enumlev3">
    <w:name w:val="enumlev3"/>
    <w:basedOn w:val="enumlev2"/>
    <w:rsid w:val="00753B4D"/>
    <w:pPr>
      <w:ind w:left="1588"/>
    </w:pPr>
  </w:style>
  <w:style w:type="paragraph" w:customStyle="1" w:styleId="Equation">
    <w:name w:val="Equation"/>
    <w:basedOn w:val="Normal"/>
    <w:rsid w:val="00753B4D"/>
    <w:pPr>
      <w:tabs>
        <w:tab w:val="clear" w:pos="1191"/>
        <w:tab w:val="clear" w:pos="1588"/>
        <w:tab w:val="clear" w:pos="1985"/>
        <w:tab w:val="center" w:pos="4820"/>
        <w:tab w:val="right" w:pos="9639"/>
      </w:tabs>
    </w:pPr>
  </w:style>
  <w:style w:type="paragraph" w:customStyle="1" w:styleId="Equationlegend">
    <w:name w:val="Equation_legend"/>
    <w:basedOn w:val="Normal"/>
    <w:rsid w:val="00753B4D"/>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753B4D"/>
    <w:pPr>
      <w:keepNext/>
      <w:keepLines/>
      <w:spacing w:before="240" w:after="120"/>
      <w:jc w:val="center"/>
    </w:pPr>
  </w:style>
  <w:style w:type="paragraph" w:customStyle="1" w:styleId="Figurelegend">
    <w:name w:val="Figure_legend"/>
    <w:basedOn w:val="Normal"/>
    <w:rsid w:val="00753B4D"/>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753B4D"/>
    <w:pPr>
      <w:keepLines/>
      <w:spacing w:before="240" w:after="120"/>
      <w:jc w:val="center"/>
    </w:pPr>
    <w:rPr>
      <w:b/>
    </w:rPr>
  </w:style>
  <w:style w:type="paragraph" w:customStyle="1" w:styleId="FigureNoBR">
    <w:name w:val="Figure_No_BR"/>
    <w:basedOn w:val="Normal"/>
    <w:next w:val="Normal"/>
    <w:rsid w:val="00753B4D"/>
    <w:pPr>
      <w:keepNext/>
      <w:keepLines/>
      <w:spacing w:before="480" w:after="120"/>
      <w:jc w:val="center"/>
    </w:pPr>
    <w:rPr>
      <w:caps/>
    </w:rPr>
  </w:style>
  <w:style w:type="paragraph" w:customStyle="1" w:styleId="TabletitleBR">
    <w:name w:val="Table_title_BR"/>
    <w:basedOn w:val="Normal"/>
    <w:next w:val="Normal"/>
    <w:rsid w:val="00753B4D"/>
    <w:pPr>
      <w:keepNext/>
      <w:keepLines/>
      <w:spacing w:before="0" w:after="120"/>
      <w:jc w:val="center"/>
    </w:pPr>
    <w:rPr>
      <w:b/>
    </w:rPr>
  </w:style>
  <w:style w:type="paragraph" w:customStyle="1" w:styleId="FiguretitleBR">
    <w:name w:val="Figure_title_BR"/>
    <w:basedOn w:val="TabletitleBR"/>
    <w:next w:val="Normal"/>
    <w:rsid w:val="00753B4D"/>
    <w:pPr>
      <w:keepNext w:val="0"/>
      <w:spacing w:after="480"/>
    </w:pPr>
  </w:style>
  <w:style w:type="paragraph" w:customStyle="1" w:styleId="Figurewithouttitle">
    <w:name w:val="Figure_without_title"/>
    <w:basedOn w:val="Normal"/>
    <w:next w:val="Normal"/>
    <w:rsid w:val="00753B4D"/>
    <w:pPr>
      <w:keepLines/>
      <w:spacing w:before="240" w:after="120"/>
      <w:jc w:val="center"/>
    </w:pPr>
  </w:style>
  <w:style w:type="paragraph" w:styleId="Footer">
    <w:name w:val="footer"/>
    <w:basedOn w:val="Normal"/>
    <w:rsid w:val="00753B4D"/>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753B4D"/>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753B4D"/>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semiHidden/>
    <w:rsid w:val="00753B4D"/>
    <w:rPr>
      <w:position w:val="6"/>
      <w:sz w:val="18"/>
    </w:rPr>
  </w:style>
  <w:style w:type="paragraph" w:customStyle="1" w:styleId="Note">
    <w:name w:val="Note"/>
    <w:basedOn w:val="Normal"/>
    <w:rsid w:val="00753B4D"/>
    <w:pPr>
      <w:spacing w:before="80"/>
    </w:pPr>
  </w:style>
  <w:style w:type="paragraph" w:styleId="FootnoteText">
    <w:name w:val="footnote text"/>
    <w:basedOn w:val="Note"/>
    <w:semiHidden/>
    <w:rsid w:val="00753B4D"/>
    <w:pPr>
      <w:keepLines/>
      <w:tabs>
        <w:tab w:val="left" w:pos="255"/>
      </w:tabs>
      <w:ind w:left="255" w:hanging="255"/>
    </w:pPr>
  </w:style>
  <w:style w:type="paragraph" w:customStyle="1" w:styleId="Formal">
    <w:name w:val="Formal"/>
    <w:basedOn w:val="ASN1"/>
    <w:rsid w:val="00753B4D"/>
    <w:rPr>
      <w:b w:val="0"/>
    </w:rPr>
  </w:style>
  <w:style w:type="paragraph" w:styleId="Header">
    <w:name w:val="header"/>
    <w:basedOn w:val="Normal"/>
    <w:rsid w:val="00753B4D"/>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753B4D"/>
    <w:pPr>
      <w:keepNext/>
      <w:spacing w:before="160"/>
    </w:pPr>
    <w:rPr>
      <w:b/>
    </w:rPr>
  </w:style>
  <w:style w:type="paragraph" w:customStyle="1" w:styleId="Headingi">
    <w:name w:val="Heading_i"/>
    <w:basedOn w:val="Normal"/>
    <w:next w:val="Normal"/>
    <w:rsid w:val="00753B4D"/>
    <w:pPr>
      <w:keepNext/>
      <w:spacing w:before="160"/>
    </w:pPr>
    <w:rPr>
      <w:i/>
    </w:rPr>
  </w:style>
  <w:style w:type="paragraph" w:styleId="Index1">
    <w:name w:val="index 1"/>
    <w:basedOn w:val="Normal"/>
    <w:next w:val="Normal"/>
    <w:semiHidden/>
    <w:rsid w:val="00753B4D"/>
  </w:style>
  <w:style w:type="paragraph" w:styleId="Index2">
    <w:name w:val="index 2"/>
    <w:basedOn w:val="Normal"/>
    <w:next w:val="Normal"/>
    <w:semiHidden/>
    <w:rsid w:val="00753B4D"/>
    <w:pPr>
      <w:ind w:left="283"/>
    </w:pPr>
  </w:style>
  <w:style w:type="paragraph" w:styleId="Index3">
    <w:name w:val="index 3"/>
    <w:basedOn w:val="Normal"/>
    <w:next w:val="Normal"/>
    <w:semiHidden/>
    <w:rsid w:val="00753B4D"/>
    <w:pPr>
      <w:ind w:left="566"/>
    </w:pPr>
  </w:style>
  <w:style w:type="paragraph" w:customStyle="1" w:styleId="Normalaftertitle">
    <w:name w:val="Normal_after_title"/>
    <w:basedOn w:val="Normal"/>
    <w:next w:val="Normal"/>
    <w:rsid w:val="00753B4D"/>
    <w:pPr>
      <w:spacing w:before="360"/>
    </w:pPr>
  </w:style>
  <w:style w:type="character" w:styleId="PageNumber">
    <w:name w:val="page number"/>
    <w:basedOn w:val="DefaultParagraphFont"/>
    <w:rsid w:val="00753B4D"/>
  </w:style>
  <w:style w:type="paragraph" w:customStyle="1" w:styleId="PartNo">
    <w:name w:val="Part_No"/>
    <w:basedOn w:val="Normal"/>
    <w:next w:val="Normal"/>
    <w:rsid w:val="00753B4D"/>
    <w:pPr>
      <w:keepNext/>
      <w:keepLines/>
      <w:spacing w:before="480" w:after="80"/>
      <w:jc w:val="center"/>
    </w:pPr>
    <w:rPr>
      <w:caps/>
      <w:sz w:val="28"/>
    </w:rPr>
  </w:style>
  <w:style w:type="paragraph" w:customStyle="1" w:styleId="Partref">
    <w:name w:val="Part_ref"/>
    <w:basedOn w:val="Normal"/>
    <w:next w:val="Normal"/>
    <w:rsid w:val="00753B4D"/>
    <w:pPr>
      <w:keepNext/>
      <w:keepLines/>
      <w:spacing w:before="280"/>
      <w:jc w:val="center"/>
    </w:pPr>
  </w:style>
  <w:style w:type="paragraph" w:customStyle="1" w:styleId="Parttitle">
    <w:name w:val="Part_title"/>
    <w:basedOn w:val="Normal"/>
    <w:next w:val="Normalaftertitle"/>
    <w:rsid w:val="00753B4D"/>
    <w:pPr>
      <w:keepNext/>
      <w:keepLines/>
      <w:spacing w:before="240" w:after="280"/>
      <w:jc w:val="center"/>
    </w:pPr>
    <w:rPr>
      <w:b/>
      <w:sz w:val="28"/>
    </w:rPr>
  </w:style>
  <w:style w:type="paragraph" w:customStyle="1" w:styleId="Recdate">
    <w:name w:val="Rec_date"/>
    <w:basedOn w:val="Normal"/>
    <w:next w:val="Normalaftertitle"/>
    <w:rsid w:val="00753B4D"/>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753B4D"/>
  </w:style>
  <w:style w:type="paragraph" w:customStyle="1" w:styleId="RecNo">
    <w:name w:val="Rec_No"/>
    <w:basedOn w:val="Normal"/>
    <w:next w:val="Normal"/>
    <w:rsid w:val="00753B4D"/>
    <w:pPr>
      <w:keepNext/>
      <w:keepLines/>
      <w:spacing w:before="0"/>
    </w:pPr>
    <w:rPr>
      <w:b/>
      <w:sz w:val="28"/>
    </w:rPr>
  </w:style>
  <w:style w:type="paragraph" w:customStyle="1" w:styleId="QuestionNo">
    <w:name w:val="Question_No"/>
    <w:basedOn w:val="RecNo"/>
    <w:next w:val="Normal"/>
    <w:rsid w:val="00753B4D"/>
  </w:style>
  <w:style w:type="paragraph" w:customStyle="1" w:styleId="RecNoBR">
    <w:name w:val="Rec_No_BR"/>
    <w:basedOn w:val="Normal"/>
    <w:next w:val="Normal"/>
    <w:rsid w:val="00753B4D"/>
    <w:pPr>
      <w:keepNext/>
      <w:keepLines/>
      <w:spacing w:before="480"/>
      <w:jc w:val="center"/>
    </w:pPr>
    <w:rPr>
      <w:caps/>
      <w:sz w:val="28"/>
    </w:rPr>
  </w:style>
  <w:style w:type="paragraph" w:customStyle="1" w:styleId="QuestionNoBR">
    <w:name w:val="Question_No_BR"/>
    <w:basedOn w:val="RecNoBR"/>
    <w:next w:val="Normal"/>
    <w:rsid w:val="00753B4D"/>
  </w:style>
  <w:style w:type="paragraph" w:customStyle="1" w:styleId="Recref">
    <w:name w:val="Rec_ref"/>
    <w:basedOn w:val="Normal"/>
    <w:next w:val="Recdate"/>
    <w:rsid w:val="00753B4D"/>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753B4D"/>
  </w:style>
  <w:style w:type="paragraph" w:customStyle="1" w:styleId="Rectitle">
    <w:name w:val="Rec_title"/>
    <w:basedOn w:val="Normal"/>
    <w:next w:val="Normalaftertitle"/>
    <w:rsid w:val="00753B4D"/>
    <w:pPr>
      <w:keepNext/>
      <w:keepLines/>
      <w:spacing w:before="360"/>
      <w:jc w:val="center"/>
    </w:pPr>
    <w:rPr>
      <w:b/>
      <w:sz w:val="28"/>
    </w:rPr>
  </w:style>
  <w:style w:type="paragraph" w:customStyle="1" w:styleId="Questiontitle">
    <w:name w:val="Question_title"/>
    <w:basedOn w:val="Rectitle"/>
    <w:next w:val="Questionref"/>
    <w:rsid w:val="00753B4D"/>
  </w:style>
  <w:style w:type="character" w:customStyle="1" w:styleId="Recdef">
    <w:name w:val="Rec_def"/>
    <w:rsid w:val="00753B4D"/>
    <w:rPr>
      <w:b/>
    </w:rPr>
  </w:style>
  <w:style w:type="paragraph" w:customStyle="1" w:styleId="Reftext">
    <w:name w:val="Ref_text"/>
    <w:basedOn w:val="Normal"/>
    <w:rsid w:val="00753B4D"/>
    <w:pPr>
      <w:ind w:left="794" w:hanging="794"/>
    </w:pPr>
  </w:style>
  <w:style w:type="paragraph" w:customStyle="1" w:styleId="Reftitle">
    <w:name w:val="Ref_title"/>
    <w:basedOn w:val="Normal"/>
    <w:next w:val="Reftext"/>
    <w:rsid w:val="00753B4D"/>
    <w:pPr>
      <w:spacing w:before="480"/>
      <w:jc w:val="center"/>
    </w:pPr>
    <w:rPr>
      <w:b/>
    </w:rPr>
  </w:style>
  <w:style w:type="paragraph" w:customStyle="1" w:styleId="Repdate">
    <w:name w:val="Rep_date"/>
    <w:basedOn w:val="Recdate"/>
    <w:next w:val="Normalaftertitle"/>
    <w:rsid w:val="00753B4D"/>
  </w:style>
  <w:style w:type="paragraph" w:customStyle="1" w:styleId="RepNo">
    <w:name w:val="Rep_No"/>
    <w:basedOn w:val="RecNo"/>
    <w:next w:val="Normal"/>
    <w:rsid w:val="00753B4D"/>
  </w:style>
  <w:style w:type="paragraph" w:customStyle="1" w:styleId="RepNoBR">
    <w:name w:val="Rep_No_BR"/>
    <w:basedOn w:val="RecNoBR"/>
    <w:next w:val="Normal"/>
    <w:rsid w:val="00753B4D"/>
  </w:style>
  <w:style w:type="paragraph" w:customStyle="1" w:styleId="Repref">
    <w:name w:val="Rep_ref"/>
    <w:basedOn w:val="Recref"/>
    <w:next w:val="Repdate"/>
    <w:rsid w:val="00753B4D"/>
  </w:style>
  <w:style w:type="paragraph" w:customStyle="1" w:styleId="Reptitle">
    <w:name w:val="Rep_title"/>
    <w:basedOn w:val="Rectitle"/>
    <w:next w:val="Repref"/>
    <w:rsid w:val="00753B4D"/>
  </w:style>
  <w:style w:type="paragraph" w:customStyle="1" w:styleId="Resdate">
    <w:name w:val="Res_date"/>
    <w:basedOn w:val="Recdate"/>
    <w:next w:val="Normalaftertitle"/>
    <w:rsid w:val="00753B4D"/>
  </w:style>
  <w:style w:type="character" w:customStyle="1" w:styleId="Resdef">
    <w:name w:val="Res_def"/>
    <w:rsid w:val="00753B4D"/>
    <w:rPr>
      <w:rFonts w:ascii="Times New Roman" w:hAnsi="Times New Roman"/>
      <w:b/>
    </w:rPr>
  </w:style>
  <w:style w:type="paragraph" w:customStyle="1" w:styleId="ResNo">
    <w:name w:val="Res_No"/>
    <w:basedOn w:val="RecNo"/>
    <w:next w:val="Normal"/>
    <w:rsid w:val="00753B4D"/>
  </w:style>
  <w:style w:type="paragraph" w:customStyle="1" w:styleId="ResNoBR">
    <w:name w:val="Res_No_BR"/>
    <w:basedOn w:val="RecNoBR"/>
    <w:next w:val="Normal"/>
    <w:rsid w:val="00753B4D"/>
  </w:style>
  <w:style w:type="paragraph" w:customStyle="1" w:styleId="Resref">
    <w:name w:val="Res_ref"/>
    <w:basedOn w:val="Recref"/>
    <w:next w:val="Resdate"/>
    <w:rsid w:val="00753B4D"/>
  </w:style>
  <w:style w:type="paragraph" w:customStyle="1" w:styleId="Restitle">
    <w:name w:val="Res_title"/>
    <w:basedOn w:val="Rectitle"/>
    <w:next w:val="Resref"/>
    <w:rsid w:val="00753B4D"/>
  </w:style>
  <w:style w:type="paragraph" w:customStyle="1" w:styleId="Section1">
    <w:name w:val="Section_1"/>
    <w:basedOn w:val="Normal"/>
    <w:next w:val="Normal"/>
    <w:rsid w:val="00753B4D"/>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753B4D"/>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753B4D"/>
    <w:pPr>
      <w:keepNext/>
      <w:keepLines/>
      <w:spacing w:before="480" w:after="80"/>
      <w:jc w:val="center"/>
    </w:pPr>
    <w:rPr>
      <w:caps/>
      <w:sz w:val="28"/>
    </w:rPr>
  </w:style>
  <w:style w:type="paragraph" w:customStyle="1" w:styleId="Sectiontitle">
    <w:name w:val="Section_title"/>
    <w:basedOn w:val="Normal"/>
    <w:next w:val="Normalaftertitle"/>
    <w:rsid w:val="00753B4D"/>
    <w:pPr>
      <w:keepNext/>
      <w:keepLines/>
      <w:spacing w:before="480" w:after="280"/>
      <w:jc w:val="center"/>
    </w:pPr>
    <w:rPr>
      <w:b/>
      <w:sz w:val="28"/>
    </w:rPr>
  </w:style>
  <w:style w:type="paragraph" w:customStyle="1" w:styleId="Source">
    <w:name w:val="Source"/>
    <w:basedOn w:val="Normal"/>
    <w:next w:val="Normalaftertitle"/>
    <w:rsid w:val="00753B4D"/>
    <w:pPr>
      <w:spacing w:before="840" w:after="200"/>
      <w:jc w:val="center"/>
    </w:pPr>
    <w:rPr>
      <w:b/>
      <w:sz w:val="28"/>
    </w:rPr>
  </w:style>
  <w:style w:type="paragraph" w:customStyle="1" w:styleId="SpecialFooter">
    <w:name w:val="Special Footer"/>
    <w:basedOn w:val="Footer"/>
    <w:rsid w:val="00753B4D"/>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753B4D"/>
    <w:rPr>
      <w:b/>
      <w:color w:val="auto"/>
    </w:rPr>
  </w:style>
  <w:style w:type="paragraph" w:customStyle="1" w:styleId="Tablehead">
    <w:name w:val="Table_head"/>
    <w:basedOn w:val="Normal"/>
    <w:next w:val="Normal"/>
    <w:rsid w:val="00753B4D"/>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753B4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753B4D"/>
    <w:pPr>
      <w:keepNext/>
      <w:keepLines/>
      <w:spacing w:before="360" w:after="120"/>
      <w:jc w:val="center"/>
    </w:pPr>
    <w:rPr>
      <w:b/>
    </w:rPr>
  </w:style>
  <w:style w:type="paragraph" w:customStyle="1" w:styleId="TableNoBR">
    <w:name w:val="Table_No_BR"/>
    <w:basedOn w:val="Normal"/>
    <w:next w:val="TabletitleBR"/>
    <w:rsid w:val="00753B4D"/>
    <w:pPr>
      <w:keepNext/>
      <w:spacing w:before="560" w:after="120"/>
      <w:jc w:val="center"/>
    </w:pPr>
    <w:rPr>
      <w:caps/>
    </w:rPr>
  </w:style>
  <w:style w:type="paragraph" w:customStyle="1" w:styleId="Tableref">
    <w:name w:val="Table_ref"/>
    <w:basedOn w:val="Normal"/>
    <w:next w:val="TabletitleBR"/>
    <w:rsid w:val="00753B4D"/>
    <w:pPr>
      <w:keepNext/>
      <w:spacing w:before="0" w:after="120"/>
      <w:jc w:val="center"/>
    </w:pPr>
  </w:style>
  <w:style w:type="paragraph" w:customStyle="1" w:styleId="Tabletext">
    <w:name w:val="Table_text"/>
    <w:basedOn w:val="Normal"/>
    <w:rsid w:val="00753B4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753B4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753B4D"/>
  </w:style>
  <w:style w:type="paragraph" w:customStyle="1" w:styleId="Title3">
    <w:name w:val="Title 3"/>
    <w:basedOn w:val="Title2"/>
    <w:next w:val="Normal"/>
    <w:rsid w:val="00753B4D"/>
    <w:rPr>
      <w:caps w:val="0"/>
    </w:rPr>
  </w:style>
  <w:style w:type="paragraph" w:customStyle="1" w:styleId="Title4">
    <w:name w:val="Title 4"/>
    <w:basedOn w:val="Title3"/>
    <w:next w:val="Heading1"/>
    <w:rsid w:val="00753B4D"/>
    <w:rPr>
      <w:b/>
    </w:rPr>
  </w:style>
  <w:style w:type="paragraph" w:customStyle="1" w:styleId="toc0">
    <w:name w:val="toc 0"/>
    <w:basedOn w:val="Normal"/>
    <w:next w:val="TOC1"/>
    <w:rsid w:val="00753B4D"/>
    <w:pPr>
      <w:tabs>
        <w:tab w:val="clear" w:pos="794"/>
        <w:tab w:val="clear" w:pos="1191"/>
        <w:tab w:val="clear" w:pos="1588"/>
        <w:tab w:val="clear" w:pos="1985"/>
        <w:tab w:val="right" w:pos="9639"/>
      </w:tabs>
    </w:pPr>
    <w:rPr>
      <w:b/>
    </w:rPr>
  </w:style>
  <w:style w:type="paragraph" w:styleId="TOC1">
    <w:name w:val="toc 1"/>
    <w:basedOn w:val="Normal"/>
    <w:semiHidden/>
    <w:rsid w:val="00772C35"/>
    <w:pPr>
      <w:keepLines/>
      <w:tabs>
        <w:tab w:val="clear" w:pos="794"/>
        <w:tab w:val="clear" w:pos="1191"/>
        <w:tab w:val="clear" w:pos="1588"/>
        <w:tab w:val="clear" w:pos="1985"/>
        <w:tab w:val="left" w:pos="964"/>
        <w:tab w:val="left" w:leader="dot" w:pos="8789"/>
        <w:tab w:val="right" w:pos="9639"/>
      </w:tabs>
      <w:spacing w:before="240"/>
      <w:ind w:left="680" w:right="851" w:hanging="680"/>
    </w:pPr>
    <w:rPr>
      <w:rFonts w:eastAsia="Batang"/>
    </w:rPr>
  </w:style>
  <w:style w:type="paragraph" w:styleId="TOC2">
    <w:name w:val="toc 2"/>
    <w:basedOn w:val="TOC1"/>
    <w:semiHidden/>
    <w:rsid w:val="00772C35"/>
    <w:pPr>
      <w:tabs>
        <w:tab w:val="clear" w:pos="964"/>
      </w:tabs>
      <w:spacing w:before="80"/>
      <w:ind w:left="1531" w:hanging="851"/>
    </w:pPr>
  </w:style>
  <w:style w:type="paragraph" w:styleId="TOC3">
    <w:name w:val="toc 3"/>
    <w:basedOn w:val="TOC2"/>
    <w:semiHidden/>
    <w:rsid w:val="00772C35"/>
    <w:pPr>
      <w:ind w:left="2269"/>
    </w:pPr>
  </w:style>
  <w:style w:type="paragraph" w:styleId="TOC4">
    <w:name w:val="toc 4"/>
    <w:basedOn w:val="TOC3"/>
    <w:semiHidden/>
    <w:rsid w:val="00753B4D"/>
  </w:style>
  <w:style w:type="paragraph" w:styleId="TOC5">
    <w:name w:val="toc 5"/>
    <w:basedOn w:val="TOC4"/>
    <w:semiHidden/>
    <w:rsid w:val="00753B4D"/>
  </w:style>
  <w:style w:type="paragraph" w:styleId="TOC6">
    <w:name w:val="toc 6"/>
    <w:basedOn w:val="TOC4"/>
    <w:semiHidden/>
    <w:rsid w:val="00753B4D"/>
  </w:style>
  <w:style w:type="paragraph" w:styleId="TOC7">
    <w:name w:val="toc 7"/>
    <w:basedOn w:val="TOC4"/>
    <w:semiHidden/>
    <w:rsid w:val="00753B4D"/>
  </w:style>
  <w:style w:type="paragraph" w:styleId="TOC8">
    <w:name w:val="toc 8"/>
    <w:basedOn w:val="TOC4"/>
    <w:semiHidden/>
    <w:rsid w:val="00753B4D"/>
  </w:style>
  <w:style w:type="character" w:styleId="Strong">
    <w:name w:val="Strong"/>
    <w:basedOn w:val="DefaultParagraphFont"/>
    <w:uiPriority w:val="22"/>
    <w:qFormat/>
    <w:rsid w:val="006819BD"/>
    <w:rPr>
      <w:b/>
      <w:bCs/>
    </w:rPr>
  </w:style>
  <w:style w:type="paragraph" w:styleId="BalloonText">
    <w:name w:val="Balloon Text"/>
    <w:basedOn w:val="Normal"/>
    <w:link w:val="BalloonTextChar"/>
    <w:rsid w:val="00657501"/>
    <w:pPr>
      <w:spacing w:before="0"/>
    </w:pPr>
    <w:rPr>
      <w:rFonts w:ascii="Tahoma" w:hAnsi="Tahoma" w:cs="Tahoma"/>
      <w:sz w:val="16"/>
      <w:szCs w:val="16"/>
    </w:rPr>
  </w:style>
  <w:style w:type="character" w:customStyle="1" w:styleId="BalloonTextChar">
    <w:name w:val="Balloon Text Char"/>
    <w:basedOn w:val="DefaultParagraphFont"/>
    <w:link w:val="BalloonText"/>
    <w:rsid w:val="00657501"/>
    <w:rPr>
      <w:rFonts w:ascii="Tahoma" w:hAnsi="Tahoma" w:cs="Tahoma"/>
      <w:sz w:val="16"/>
      <w:szCs w:val="16"/>
      <w:lang w:val="en-GB" w:eastAsia="en-US"/>
    </w:rPr>
  </w:style>
  <w:style w:type="table" w:styleId="TableGrid">
    <w:name w:val="Table Grid"/>
    <w:basedOn w:val="TableNormal"/>
    <w:rsid w:val="00F41BF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41BF1"/>
    <w:rPr>
      <w:color w:val="0000FF" w:themeColor="hyperlink"/>
      <w:u w:val="single"/>
    </w:rPr>
  </w:style>
  <w:style w:type="character" w:customStyle="1" w:styleId="apple-converted-space">
    <w:name w:val="apple-converted-space"/>
    <w:basedOn w:val="DefaultParagraphFont"/>
    <w:rsid w:val="00F41BF1"/>
  </w:style>
  <w:style w:type="paragraph" w:styleId="ListParagraph">
    <w:name w:val="List Paragraph"/>
    <w:basedOn w:val="Normal"/>
    <w:uiPriority w:val="34"/>
    <w:qFormat/>
    <w:rsid w:val="00F41BF1"/>
    <w:pPr>
      <w:tabs>
        <w:tab w:val="clear" w:pos="794"/>
        <w:tab w:val="clear" w:pos="1191"/>
        <w:tab w:val="clear" w:pos="1588"/>
        <w:tab w:val="clear" w:pos="1985"/>
      </w:tabs>
      <w:overflowPunct/>
      <w:autoSpaceDE/>
      <w:autoSpaceDN/>
      <w:adjustRightInd/>
      <w:spacing w:before="0" w:after="200" w:line="276" w:lineRule="auto"/>
      <w:ind w:left="720"/>
      <w:contextualSpacing/>
      <w:textAlignment w:val="auto"/>
    </w:pPr>
    <w:rPr>
      <w:rFonts w:asciiTheme="minorHAnsi" w:hAnsiTheme="minorHAnsi" w:cstheme="minorBidi"/>
      <w:sz w:val="22"/>
      <w:szCs w:val="22"/>
      <w:lang w:val="en-US" w:eastAsia="zh-CN"/>
    </w:rPr>
  </w:style>
  <w:style w:type="paragraph" w:customStyle="1" w:styleId="LetterStart">
    <w:name w:val="Letter_Start"/>
    <w:basedOn w:val="Normal"/>
    <w:rsid w:val="00F41BF1"/>
    <w:pPr>
      <w:tabs>
        <w:tab w:val="clear" w:pos="794"/>
        <w:tab w:val="clear" w:pos="1191"/>
        <w:tab w:val="clear" w:pos="1588"/>
        <w:tab w:val="clear" w:pos="1985"/>
        <w:tab w:val="left" w:pos="1361"/>
        <w:tab w:val="left" w:pos="1758"/>
        <w:tab w:val="left" w:pos="2155"/>
        <w:tab w:val="left" w:pos="2552"/>
      </w:tabs>
      <w:overflowPunct/>
      <w:autoSpaceDE/>
      <w:autoSpaceDN/>
      <w:adjustRightInd/>
      <w:spacing w:before="284"/>
      <w:ind w:left="567"/>
      <w:textAlignment w:val="auto"/>
    </w:pPr>
  </w:style>
  <w:style w:type="paragraph" w:styleId="BodyText">
    <w:name w:val="Body Text"/>
    <w:basedOn w:val="Normal"/>
    <w:link w:val="BodyTextChar"/>
    <w:rsid w:val="005D1BFE"/>
    <w:pPr>
      <w:spacing w:before="136"/>
    </w:pPr>
    <w:rPr>
      <w:rFonts w:eastAsia="MS Mincho"/>
      <w:sz w:val="22"/>
      <w:szCs w:val="22"/>
    </w:rPr>
  </w:style>
  <w:style w:type="character" w:customStyle="1" w:styleId="BodyTextChar">
    <w:name w:val="Body Text Char"/>
    <w:basedOn w:val="DefaultParagraphFont"/>
    <w:link w:val="BodyText"/>
    <w:rsid w:val="005D1BFE"/>
    <w:rPr>
      <w:rFonts w:eastAsia="MS Mincho"/>
      <w:sz w:val="22"/>
      <w:szCs w:val="22"/>
      <w:lang w:val="en-GB" w:eastAsia="en-US"/>
    </w:rPr>
  </w:style>
  <w:style w:type="character" w:styleId="FollowedHyperlink">
    <w:name w:val="FollowedHyperlink"/>
    <w:basedOn w:val="DefaultParagraphFont"/>
    <w:rsid w:val="00322D25"/>
    <w:rPr>
      <w:color w:val="800080" w:themeColor="followedHyperlink"/>
      <w:u w:val="single"/>
    </w:rPr>
  </w:style>
  <w:style w:type="paragraph" w:styleId="BodyTextIndent">
    <w:name w:val="Body Text Indent"/>
    <w:basedOn w:val="Normal"/>
    <w:link w:val="BodyTextIndentChar"/>
    <w:rsid w:val="00B17C05"/>
    <w:pPr>
      <w:spacing w:after="120"/>
      <w:ind w:left="283"/>
    </w:pPr>
  </w:style>
  <w:style w:type="character" w:customStyle="1" w:styleId="BodyTextIndentChar">
    <w:name w:val="Body Text Indent Char"/>
    <w:basedOn w:val="DefaultParagraphFont"/>
    <w:link w:val="BodyTextIndent"/>
    <w:rsid w:val="00B17C05"/>
    <w:rPr>
      <w:sz w:val="24"/>
      <w:lang w:val="en-GB" w:eastAsia="en-US"/>
    </w:rPr>
  </w:style>
  <w:style w:type="paragraph" w:customStyle="1" w:styleId="Docnumber">
    <w:name w:val="Docnumber"/>
    <w:basedOn w:val="Normal"/>
    <w:link w:val="DocnumberChar"/>
    <w:rsid w:val="00626C56"/>
    <w:pPr>
      <w:jc w:val="right"/>
    </w:pPr>
    <w:rPr>
      <w:b/>
      <w:bCs/>
      <w:sz w:val="40"/>
    </w:rPr>
  </w:style>
  <w:style w:type="character" w:customStyle="1" w:styleId="DocnumberChar">
    <w:name w:val="Docnumber Char"/>
    <w:basedOn w:val="DefaultParagraphFont"/>
    <w:link w:val="Docnumber"/>
    <w:rsid w:val="00626C56"/>
    <w:rPr>
      <w:b/>
      <w:bCs/>
      <w:sz w:val="4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416214">
      <w:bodyDiv w:val="1"/>
      <w:marLeft w:val="0"/>
      <w:marRight w:val="0"/>
      <w:marTop w:val="0"/>
      <w:marBottom w:val="0"/>
      <w:divBdr>
        <w:top w:val="none" w:sz="0" w:space="0" w:color="auto"/>
        <w:left w:val="none" w:sz="0" w:space="0" w:color="auto"/>
        <w:bottom w:val="none" w:sz="0" w:space="0" w:color="auto"/>
        <w:right w:val="none" w:sz="0" w:space="0" w:color="auto"/>
      </w:divBdr>
    </w:div>
    <w:div w:id="324823575">
      <w:bodyDiv w:val="1"/>
      <w:marLeft w:val="0"/>
      <w:marRight w:val="0"/>
      <w:marTop w:val="0"/>
      <w:marBottom w:val="0"/>
      <w:divBdr>
        <w:top w:val="none" w:sz="0" w:space="0" w:color="auto"/>
        <w:left w:val="none" w:sz="0" w:space="0" w:color="auto"/>
        <w:bottom w:val="none" w:sz="0" w:space="0" w:color="auto"/>
        <w:right w:val="none" w:sz="0" w:space="0" w:color="auto"/>
      </w:divBdr>
      <w:divsChild>
        <w:div w:id="90667317">
          <w:marLeft w:val="0"/>
          <w:marRight w:val="0"/>
          <w:marTop w:val="0"/>
          <w:marBottom w:val="0"/>
          <w:divBdr>
            <w:top w:val="none" w:sz="0" w:space="0" w:color="auto"/>
            <w:left w:val="none" w:sz="0" w:space="0" w:color="auto"/>
            <w:bottom w:val="none" w:sz="0" w:space="0" w:color="auto"/>
            <w:right w:val="none" w:sz="0" w:space="0" w:color="auto"/>
          </w:divBdr>
          <w:divsChild>
            <w:div w:id="1926524329">
              <w:marLeft w:val="0"/>
              <w:marRight w:val="0"/>
              <w:marTop w:val="0"/>
              <w:marBottom w:val="0"/>
              <w:divBdr>
                <w:top w:val="none" w:sz="0" w:space="0" w:color="auto"/>
                <w:left w:val="none" w:sz="0" w:space="0" w:color="auto"/>
                <w:bottom w:val="none" w:sz="0" w:space="0" w:color="auto"/>
                <w:right w:val="none" w:sz="0" w:space="0" w:color="auto"/>
              </w:divBdr>
              <w:divsChild>
                <w:div w:id="1337852401">
                  <w:marLeft w:val="0"/>
                  <w:marRight w:val="0"/>
                  <w:marTop w:val="0"/>
                  <w:marBottom w:val="0"/>
                  <w:divBdr>
                    <w:top w:val="none" w:sz="0" w:space="0" w:color="auto"/>
                    <w:left w:val="none" w:sz="0" w:space="0" w:color="auto"/>
                    <w:bottom w:val="none" w:sz="0" w:space="0" w:color="auto"/>
                    <w:right w:val="none" w:sz="0" w:space="0" w:color="auto"/>
                  </w:divBdr>
                  <w:divsChild>
                    <w:div w:id="2000843476">
                      <w:marLeft w:val="0"/>
                      <w:marRight w:val="0"/>
                      <w:marTop w:val="0"/>
                      <w:marBottom w:val="0"/>
                      <w:divBdr>
                        <w:top w:val="none" w:sz="0" w:space="0" w:color="auto"/>
                        <w:left w:val="none" w:sz="0" w:space="0" w:color="auto"/>
                        <w:bottom w:val="none" w:sz="0" w:space="0" w:color="auto"/>
                        <w:right w:val="none" w:sz="0" w:space="0" w:color="auto"/>
                      </w:divBdr>
                      <w:divsChild>
                        <w:div w:id="2033259651">
                          <w:marLeft w:val="0"/>
                          <w:marRight w:val="0"/>
                          <w:marTop w:val="0"/>
                          <w:marBottom w:val="0"/>
                          <w:divBdr>
                            <w:top w:val="none" w:sz="0" w:space="0" w:color="auto"/>
                            <w:left w:val="none" w:sz="0" w:space="0" w:color="auto"/>
                            <w:bottom w:val="none" w:sz="0" w:space="0" w:color="auto"/>
                            <w:right w:val="none" w:sz="0" w:space="0" w:color="auto"/>
                          </w:divBdr>
                          <w:divsChild>
                            <w:div w:id="1836872885">
                              <w:marLeft w:val="0"/>
                              <w:marRight w:val="0"/>
                              <w:marTop w:val="0"/>
                              <w:marBottom w:val="0"/>
                              <w:divBdr>
                                <w:top w:val="none" w:sz="0" w:space="0" w:color="auto"/>
                                <w:left w:val="none" w:sz="0" w:space="0" w:color="auto"/>
                                <w:bottom w:val="none" w:sz="0" w:space="0" w:color="auto"/>
                                <w:right w:val="none" w:sz="0" w:space="0" w:color="auto"/>
                              </w:divBdr>
                              <w:divsChild>
                                <w:div w:id="1066338214">
                                  <w:marLeft w:val="0"/>
                                  <w:marRight w:val="0"/>
                                  <w:marTop w:val="0"/>
                                  <w:marBottom w:val="0"/>
                                  <w:divBdr>
                                    <w:top w:val="none" w:sz="0" w:space="0" w:color="auto"/>
                                    <w:left w:val="none" w:sz="0" w:space="0" w:color="auto"/>
                                    <w:bottom w:val="none" w:sz="0" w:space="0" w:color="auto"/>
                                    <w:right w:val="none" w:sz="0" w:space="0" w:color="auto"/>
                                  </w:divBdr>
                                  <w:divsChild>
                                    <w:div w:id="781219313">
                                      <w:marLeft w:val="0"/>
                                      <w:marRight w:val="0"/>
                                      <w:marTop w:val="0"/>
                                      <w:marBottom w:val="0"/>
                                      <w:divBdr>
                                        <w:top w:val="none" w:sz="0" w:space="0" w:color="auto"/>
                                        <w:left w:val="none" w:sz="0" w:space="0" w:color="auto"/>
                                        <w:bottom w:val="none" w:sz="0" w:space="0" w:color="auto"/>
                                        <w:right w:val="none" w:sz="0" w:space="0" w:color="auto"/>
                                      </w:divBdr>
                                      <w:divsChild>
                                        <w:div w:id="1569728002">
                                          <w:marLeft w:val="0"/>
                                          <w:marRight w:val="0"/>
                                          <w:marTop w:val="0"/>
                                          <w:marBottom w:val="0"/>
                                          <w:divBdr>
                                            <w:top w:val="none" w:sz="0" w:space="0" w:color="auto"/>
                                            <w:left w:val="none" w:sz="0" w:space="0" w:color="auto"/>
                                            <w:bottom w:val="none" w:sz="0" w:space="0" w:color="auto"/>
                                            <w:right w:val="none" w:sz="0" w:space="0" w:color="auto"/>
                                          </w:divBdr>
                                          <w:divsChild>
                                            <w:div w:id="431633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65004496">
      <w:bodyDiv w:val="1"/>
      <w:marLeft w:val="0"/>
      <w:marRight w:val="0"/>
      <w:marTop w:val="0"/>
      <w:marBottom w:val="0"/>
      <w:divBdr>
        <w:top w:val="none" w:sz="0" w:space="0" w:color="auto"/>
        <w:left w:val="none" w:sz="0" w:space="0" w:color="auto"/>
        <w:bottom w:val="none" w:sz="0" w:space="0" w:color="auto"/>
        <w:right w:val="none" w:sz="0" w:space="0" w:color="auto"/>
      </w:divBdr>
      <w:divsChild>
        <w:div w:id="539974716">
          <w:marLeft w:val="0"/>
          <w:marRight w:val="0"/>
          <w:marTop w:val="0"/>
          <w:marBottom w:val="0"/>
          <w:divBdr>
            <w:top w:val="none" w:sz="0" w:space="0" w:color="auto"/>
            <w:left w:val="none" w:sz="0" w:space="0" w:color="auto"/>
            <w:bottom w:val="none" w:sz="0" w:space="0" w:color="auto"/>
            <w:right w:val="none" w:sz="0" w:space="0" w:color="auto"/>
          </w:divBdr>
          <w:divsChild>
            <w:div w:id="2020111482">
              <w:marLeft w:val="0"/>
              <w:marRight w:val="0"/>
              <w:marTop w:val="0"/>
              <w:marBottom w:val="0"/>
              <w:divBdr>
                <w:top w:val="none" w:sz="0" w:space="0" w:color="auto"/>
                <w:left w:val="none" w:sz="0" w:space="0" w:color="auto"/>
                <w:bottom w:val="none" w:sz="0" w:space="0" w:color="auto"/>
                <w:right w:val="none" w:sz="0" w:space="0" w:color="auto"/>
              </w:divBdr>
              <w:divsChild>
                <w:div w:id="1830166850">
                  <w:marLeft w:val="0"/>
                  <w:marRight w:val="0"/>
                  <w:marTop w:val="0"/>
                  <w:marBottom w:val="0"/>
                  <w:divBdr>
                    <w:top w:val="none" w:sz="0" w:space="0" w:color="auto"/>
                    <w:left w:val="none" w:sz="0" w:space="0" w:color="auto"/>
                    <w:bottom w:val="none" w:sz="0" w:space="0" w:color="auto"/>
                    <w:right w:val="none" w:sz="0" w:space="0" w:color="auto"/>
                  </w:divBdr>
                  <w:divsChild>
                    <w:div w:id="1027634397">
                      <w:marLeft w:val="0"/>
                      <w:marRight w:val="0"/>
                      <w:marTop w:val="0"/>
                      <w:marBottom w:val="0"/>
                      <w:divBdr>
                        <w:top w:val="none" w:sz="0" w:space="0" w:color="auto"/>
                        <w:left w:val="none" w:sz="0" w:space="0" w:color="auto"/>
                        <w:bottom w:val="none" w:sz="0" w:space="0" w:color="auto"/>
                        <w:right w:val="none" w:sz="0" w:space="0" w:color="auto"/>
                      </w:divBdr>
                      <w:divsChild>
                        <w:div w:id="1925913743">
                          <w:marLeft w:val="0"/>
                          <w:marRight w:val="0"/>
                          <w:marTop w:val="0"/>
                          <w:marBottom w:val="0"/>
                          <w:divBdr>
                            <w:top w:val="none" w:sz="0" w:space="0" w:color="auto"/>
                            <w:left w:val="none" w:sz="0" w:space="0" w:color="auto"/>
                            <w:bottom w:val="none" w:sz="0" w:space="0" w:color="auto"/>
                            <w:right w:val="none" w:sz="0" w:space="0" w:color="auto"/>
                          </w:divBdr>
                          <w:divsChild>
                            <w:div w:id="177741022">
                              <w:marLeft w:val="0"/>
                              <w:marRight w:val="0"/>
                              <w:marTop w:val="0"/>
                              <w:marBottom w:val="0"/>
                              <w:divBdr>
                                <w:top w:val="none" w:sz="0" w:space="0" w:color="auto"/>
                                <w:left w:val="none" w:sz="0" w:space="0" w:color="auto"/>
                                <w:bottom w:val="none" w:sz="0" w:space="0" w:color="auto"/>
                                <w:right w:val="none" w:sz="0" w:space="0" w:color="auto"/>
                              </w:divBdr>
                              <w:divsChild>
                                <w:div w:id="236743905">
                                  <w:marLeft w:val="0"/>
                                  <w:marRight w:val="0"/>
                                  <w:marTop w:val="0"/>
                                  <w:marBottom w:val="0"/>
                                  <w:divBdr>
                                    <w:top w:val="none" w:sz="0" w:space="0" w:color="auto"/>
                                    <w:left w:val="none" w:sz="0" w:space="0" w:color="auto"/>
                                    <w:bottom w:val="none" w:sz="0" w:space="0" w:color="auto"/>
                                    <w:right w:val="none" w:sz="0" w:space="0" w:color="auto"/>
                                  </w:divBdr>
                                  <w:divsChild>
                                    <w:div w:id="203057386">
                                      <w:marLeft w:val="0"/>
                                      <w:marRight w:val="0"/>
                                      <w:marTop w:val="0"/>
                                      <w:marBottom w:val="0"/>
                                      <w:divBdr>
                                        <w:top w:val="none" w:sz="0" w:space="0" w:color="auto"/>
                                        <w:left w:val="none" w:sz="0" w:space="0" w:color="auto"/>
                                        <w:bottom w:val="none" w:sz="0" w:space="0" w:color="auto"/>
                                        <w:right w:val="none" w:sz="0" w:space="0" w:color="auto"/>
                                      </w:divBdr>
                                      <w:divsChild>
                                        <w:div w:id="1004551659">
                                          <w:marLeft w:val="0"/>
                                          <w:marRight w:val="0"/>
                                          <w:marTop w:val="0"/>
                                          <w:marBottom w:val="0"/>
                                          <w:divBdr>
                                            <w:top w:val="none" w:sz="0" w:space="0" w:color="auto"/>
                                            <w:left w:val="none" w:sz="0" w:space="0" w:color="auto"/>
                                            <w:bottom w:val="none" w:sz="0" w:space="0" w:color="auto"/>
                                            <w:right w:val="none" w:sz="0" w:space="0" w:color="auto"/>
                                          </w:divBdr>
                                          <w:divsChild>
                                            <w:div w:id="1254898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99928014">
      <w:bodyDiv w:val="1"/>
      <w:marLeft w:val="0"/>
      <w:marRight w:val="0"/>
      <w:marTop w:val="0"/>
      <w:marBottom w:val="0"/>
      <w:divBdr>
        <w:top w:val="none" w:sz="0" w:space="0" w:color="auto"/>
        <w:left w:val="none" w:sz="0" w:space="0" w:color="auto"/>
        <w:bottom w:val="none" w:sz="0" w:space="0" w:color="auto"/>
        <w:right w:val="none" w:sz="0" w:space="0" w:color="auto"/>
      </w:divBdr>
    </w:div>
    <w:div w:id="569926815">
      <w:bodyDiv w:val="1"/>
      <w:marLeft w:val="0"/>
      <w:marRight w:val="0"/>
      <w:marTop w:val="0"/>
      <w:marBottom w:val="0"/>
      <w:divBdr>
        <w:top w:val="none" w:sz="0" w:space="0" w:color="auto"/>
        <w:left w:val="none" w:sz="0" w:space="0" w:color="auto"/>
        <w:bottom w:val="none" w:sz="0" w:space="0" w:color="auto"/>
        <w:right w:val="none" w:sz="0" w:space="0" w:color="auto"/>
      </w:divBdr>
    </w:div>
    <w:div w:id="684749133">
      <w:bodyDiv w:val="1"/>
      <w:marLeft w:val="0"/>
      <w:marRight w:val="0"/>
      <w:marTop w:val="0"/>
      <w:marBottom w:val="0"/>
      <w:divBdr>
        <w:top w:val="none" w:sz="0" w:space="0" w:color="auto"/>
        <w:left w:val="none" w:sz="0" w:space="0" w:color="auto"/>
        <w:bottom w:val="none" w:sz="0" w:space="0" w:color="auto"/>
        <w:right w:val="none" w:sz="0" w:space="0" w:color="auto"/>
      </w:divBdr>
      <w:divsChild>
        <w:div w:id="219944195">
          <w:marLeft w:val="0"/>
          <w:marRight w:val="0"/>
          <w:marTop w:val="0"/>
          <w:marBottom w:val="0"/>
          <w:divBdr>
            <w:top w:val="none" w:sz="0" w:space="0" w:color="auto"/>
            <w:left w:val="none" w:sz="0" w:space="0" w:color="auto"/>
            <w:bottom w:val="none" w:sz="0" w:space="0" w:color="auto"/>
            <w:right w:val="none" w:sz="0" w:space="0" w:color="auto"/>
          </w:divBdr>
          <w:divsChild>
            <w:div w:id="402022914">
              <w:marLeft w:val="0"/>
              <w:marRight w:val="0"/>
              <w:marTop w:val="0"/>
              <w:marBottom w:val="0"/>
              <w:divBdr>
                <w:top w:val="none" w:sz="0" w:space="0" w:color="auto"/>
                <w:left w:val="none" w:sz="0" w:space="0" w:color="auto"/>
                <w:bottom w:val="none" w:sz="0" w:space="0" w:color="auto"/>
                <w:right w:val="none" w:sz="0" w:space="0" w:color="auto"/>
              </w:divBdr>
              <w:divsChild>
                <w:div w:id="872427267">
                  <w:marLeft w:val="0"/>
                  <w:marRight w:val="0"/>
                  <w:marTop w:val="0"/>
                  <w:marBottom w:val="0"/>
                  <w:divBdr>
                    <w:top w:val="none" w:sz="0" w:space="0" w:color="auto"/>
                    <w:left w:val="none" w:sz="0" w:space="0" w:color="auto"/>
                    <w:bottom w:val="none" w:sz="0" w:space="0" w:color="auto"/>
                    <w:right w:val="none" w:sz="0" w:space="0" w:color="auto"/>
                  </w:divBdr>
                  <w:divsChild>
                    <w:div w:id="1394237972">
                      <w:marLeft w:val="0"/>
                      <w:marRight w:val="0"/>
                      <w:marTop w:val="0"/>
                      <w:marBottom w:val="0"/>
                      <w:divBdr>
                        <w:top w:val="none" w:sz="0" w:space="0" w:color="auto"/>
                        <w:left w:val="none" w:sz="0" w:space="0" w:color="auto"/>
                        <w:bottom w:val="none" w:sz="0" w:space="0" w:color="auto"/>
                        <w:right w:val="none" w:sz="0" w:space="0" w:color="auto"/>
                      </w:divBdr>
                      <w:divsChild>
                        <w:div w:id="1975868678">
                          <w:marLeft w:val="0"/>
                          <w:marRight w:val="0"/>
                          <w:marTop w:val="0"/>
                          <w:marBottom w:val="0"/>
                          <w:divBdr>
                            <w:top w:val="none" w:sz="0" w:space="0" w:color="auto"/>
                            <w:left w:val="none" w:sz="0" w:space="0" w:color="auto"/>
                            <w:bottom w:val="none" w:sz="0" w:space="0" w:color="auto"/>
                            <w:right w:val="none" w:sz="0" w:space="0" w:color="auto"/>
                          </w:divBdr>
                          <w:divsChild>
                            <w:div w:id="1286231579">
                              <w:marLeft w:val="0"/>
                              <w:marRight w:val="0"/>
                              <w:marTop w:val="0"/>
                              <w:marBottom w:val="0"/>
                              <w:divBdr>
                                <w:top w:val="none" w:sz="0" w:space="0" w:color="auto"/>
                                <w:left w:val="none" w:sz="0" w:space="0" w:color="auto"/>
                                <w:bottom w:val="none" w:sz="0" w:space="0" w:color="auto"/>
                                <w:right w:val="none" w:sz="0" w:space="0" w:color="auto"/>
                              </w:divBdr>
                              <w:divsChild>
                                <w:div w:id="1152605072">
                                  <w:marLeft w:val="0"/>
                                  <w:marRight w:val="0"/>
                                  <w:marTop w:val="0"/>
                                  <w:marBottom w:val="0"/>
                                  <w:divBdr>
                                    <w:top w:val="none" w:sz="0" w:space="0" w:color="auto"/>
                                    <w:left w:val="none" w:sz="0" w:space="0" w:color="auto"/>
                                    <w:bottom w:val="none" w:sz="0" w:space="0" w:color="auto"/>
                                    <w:right w:val="none" w:sz="0" w:space="0" w:color="auto"/>
                                  </w:divBdr>
                                  <w:divsChild>
                                    <w:div w:id="1696150480">
                                      <w:marLeft w:val="0"/>
                                      <w:marRight w:val="0"/>
                                      <w:marTop w:val="0"/>
                                      <w:marBottom w:val="0"/>
                                      <w:divBdr>
                                        <w:top w:val="none" w:sz="0" w:space="0" w:color="auto"/>
                                        <w:left w:val="none" w:sz="0" w:space="0" w:color="auto"/>
                                        <w:bottom w:val="none" w:sz="0" w:space="0" w:color="auto"/>
                                        <w:right w:val="none" w:sz="0" w:space="0" w:color="auto"/>
                                      </w:divBdr>
                                      <w:divsChild>
                                        <w:div w:id="1334334452">
                                          <w:marLeft w:val="0"/>
                                          <w:marRight w:val="0"/>
                                          <w:marTop w:val="0"/>
                                          <w:marBottom w:val="0"/>
                                          <w:divBdr>
                                            <w:top w:val="none" w:sz="0" w:space="0" w:color="auto"/>
                                            <w:left w:val="none" w:sz="0" w:space="0" w:color="auto"/>
                                            <w:bottom w:val="none" w:sz="0" w:space="0" w:color="auto"/>
                                            <w:right w:val="none" w:sz="0" w:space="0" w:color="auto"/>
                                          </w:divBdr>
                                          <w:divsChild>
                                            <w:div w:id="2096851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6277554">
      <w:bodyDiv w:val="1"/>
      <w:marLeft w:val="0"/>
      <w:marRight w:val="0"/>
      <w:marTop w:val="0"/>
      <w:marBottom w:val="0"/>
      <w:divBdr>
        <w:top w:val="none" w:sz="0" w:space="0" w:color="auto"/>
        <w:left w:val="none" w:sz="0" w:space="0" w:color="auto"/>
        <w:bottom w:val="none" w:sz="0" w:space="0" w:color="auto"/>
        <w:right w:val="none" w:sz="0" w:space="0" w:color="auto"/>
      </w:divBdr>
    </w:div>
    <w:div w:id="785850569">
      <w:bodyDiv w:val="1"/>
      <w:marLeft w:val="0"/>
      <w:marRight w:val="0"/>
      <w:marTop w:val="0"/>
      <w:marBottom w:val="0"/>
      <w:divBdr>
        <w:top w:val="none" w:sz="0" w:space="0" w:color="auto"/>
        <w:left w:val="none" w:sz="0" w:space="0" w:color="auto"/>
        <w:bottom w:val="none" w:sz="0" w:space="0" w:color="auto"/>
        <w:right w:val="none" w:sz="0" w:space="0" w:color="auto"/>
      </w:divBdr>
    </w:div>
    <w:div w:id="899287133">
      <w:bodyDiv w:val="1"/>
      <w:marLeft w:val="0"/>
      <w:marRight w:val="0"/>
      <w:marTop w:val="0"/>
      <w:marBottom w:val="0"/>
      <w:divBdr>
        <w:top w:val="none" w:sz="0" w:space="0" w:color="auto"/>
        <w:left w:val="none" w:sz="0" w:space="0" w:color="auto"/>
        <w:bottom w:val="none" w:sz="0" w:space="0" w:color="auto"/>
        <w:right w:val="none" w:sz="0" w:space="0" w:color="auto"/>
      </w:divBdr>
      <w:divsChild>
        <w:div w:id="2142841844">
          <w:marLeft w:val="0"/>
          <w:marRight w:val="0"/>
          <w:marTop w:val="0"/>
          <w:marBottom w:val="0"/>
          <w:divBdr>
            <w:top w:val="none" w:sz="0" w:space="0" w:color="auto"/>
            <w:left w:val="none" w:sz="0" w:space="0" w:color="auto"/>
            <w:bottom w:val="none" w:sz="0" w:space="0" w:color="auto"/>
            <w:right w:val="none" w:sz="0" w:space="0" w:color="auto"/>
          </w:divBdr>
          <w:divsChild>
            <w:div w:id="447630338">
              <w:marLeft w:val="0"/>
              <w:marRight w:val="0"/>
              <w:marTop w:val="0"/>
              <w:marBottom w:val="0"/>
              <w:divBdr>
                <w:top w:val="none" w:sz="0" w:space="0" w:color="auto"/>
                <w:left w:val="none" w:sz="0" w:space="0" w:color="auto"/>
                <w:bottom w:val="none" w:sz="0" w:space="0" w:color="auto"/>
                <w:right w:val="none" w:sz="0" w:space="0" w:color="auto"/>
              </w:divBdr>
              <w:divsChild>
                <w:div w:id="1838181491">
                  <w:marLeft w:val="0"/>
                  <w:marRight w:val="0"/>
                  <w:marTop w:val="0"/>
                  <w:marBottom w:val="0"/>
                  <w:divBdr>
                    <w:top w:val="none" w:sz="0" w:space="0" w:color="auto"/>
                    <w:left w:val="none" w:sz="0" w:space="0" w:color="auto"/>
                    <w:bottom w:val="none" w:sz="0" w:space="0" w:color="auto"/>
                    <w:right w:val="none" w:sz="0" w:space="0" w:color="auto"/>
                  </w:divBdr>
                  <w:divsChild>
                    <w:div w:id="2124028883">
                      <w:marLeft w:val="0"/>
                      <w:marRight w:val="0"/>
                      <w:marTop w:val="0"/>
                      <w:marBottom w:val="0"/>
                      <w:divBdr>
                        <w:top w:val="none" w:sz="0" w:space="0" w:color="auto"/>
                        <w:left w:val="none" w:sz="0" w:space="0" w:color="auto"/>
                        <w:bottom w:val="none" w:sz="0" w:space="0" w:color="auto"/>
                        <w:right w:val="none" w:sz="0" w:space="0" w:color="auto"/>
                      </w:divBdr>
                      <w:divsChild>
                        <w:div w:id="1671788976">
                          <w:marLeft w:val="0"/>
                          <w:marRight w:val="0"/>
                          <w:marTop w:val="0"/>
                          <w:marBottom w:val="0"/>
                          <w:divBdr>
                            <w:top w:val="none" w:sz="0" w:space="0" w:color="auto"/>
                            <w:left w:val="none" w:sz="0" w:space="0" w:color="auto"/>
                            <w:bottom w:val="none" w:sz="0" w:space="0" w:color="auto"/>
                            <w:right w:val="none" w:sz="0" w:space="0" w:color="auto"/>
                          </w:divBdr>
                          <w:divsChild>
                            <w:div w:id="1771926966">
                              <w:marLeft w:val="0"/>
                              <w:marRight w:val="0"/>
                              <w:marTop w:val="0"/>
                              <w:marBottom w:val="0"/>
                              <w:divBdr>
                                <w:top w:val="none" w:sz="0" w:space="0" w:color="auto"/>
                                <w:left w:val="none" w:sz="0" w:space="0" w:color="auto"/>
                                <w:bottom w:val="none" w:sz="0" w:space="0" w:color="auto"/>
                                <w:right w:val="none" w:sz="0" w:space="0" w:color="auto"/>
                              </w:divBdr>
                              <w:divsChild>
                                <w:div w:id="2047218478">
                                  <w:marLeft w:val="0"/>
                                  <w:marRight w:val="0"/>
                                  <w:marTop w:val="0"/>
                                  <w:marBottom w:val="0"/>
                                  <w:divBdr>
                                    <w:top w:val="none" w:sz="0" w:space="0" w:color="auto"/>
                                    <w:left w:val="none" w:sz="0" w:space="0" w:color="auto"/>
                                    <w:bottom w:val="none" w:sz="0" w:space="0" w:color="auto"/>
                                    <w:right w:val="none" w:sz="0" w:space="0" w:color="auto"/>
                                  </w:divBdr>
                                  <w:divsChild>
                                    <w:div w:id="952858155">
                                      <w:marLeft w:val="0"/>
                                      <w:marRight w:val="0"/>
                                      <w:marTop w:val="0"/>
                                      <w:marBottom w:val="0"/>
                                      <w:divBdr>
                                        <w:top w:val="none" w:sz="0" w:space="0" w:color="auto"/>
                                        <w:left w:val="none" w:sz="0" w:space="0" w:color="auto"/>
                                        <w:bottom w:val="none" w:sz="0" w:space="0" w:color="auto"/>
                                        <w:right w:val="none" w:sz="0" w:space="0" w:color="auto"/>
                                      </w:divBdr>
                                      <w:divsChild>
                                        <w:div w:id="1524976069">
                                          <w:marLeft w:val="0"/>
                                          <w:marRight w:val="0"/>
                                          <w:marTop w:val="0"/>
                                          <w:marBottom w:val="0"/>
                                          <w:divBdr>
                                            <w:top w:val="none" w:sz="0" w:space="0" w:color="auto"/>
                                            <w:left w:val="none" w:sz="0" w:space="0" w:color="auto"/>
                                            <w:bottom w:val="none" w:sz="0" w:space="0" w:color="auto"/>
                                            <w:right w:val="none" w:sz="0" w:space="0" w:color="auto"/>
                                          </w:divBdr>
                                          <w:divsChild>
                                            <w:div w:id="586766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6883257">
      <w:bodyDiv w:val="1"/>
      <w:marLeft w:val="0"/>
      <w:marRight w:val="0"/>
      <w:marTop w:val="0"/>
      <w:marBottom w:val="0"/>
      <w:divBdr>
        <w:top w:val="none" w:sz="0" w:space="0" w:color="auto"/>
        <w:left w:val="none" w:sz="0" w:space="0" w:color="auto"/>
        <w:bottom w:val="none" w:sz="0" w:space="0" w:color="auto"/>
        <w:right w:val="none" w:sz="0" w:space="0" w:color="auto"/>
      </w:divBdr>
    </w:div>
    <w:div w:id="1816726368">
      <w:bodyDiv w:val="1"/>
      <w:marLeft w:val="0"/>
      <w:marRight w:val="0"/>
      <w:marTop w:val="0"/>
      <w:marBottom w:val="0"/>
      <w:divBdr>
        <w:top w:val="none" w:sz="0" w:space="0" w:color="auto"/>
        <w:left w:val="none" w:sz="0" w:space="0" w:color="auto"/>
        <w:bottom w:val="none" w:sz="0" w:space="0" w:color="auto"/>
        <w:right w:val="none" w:sz="0" w:space="0" w:color="auto"/>
      </w:divBdr>
    </w:div>
    <w:div w:id="1951276502">
      <w:bodyDiv w:val="1"/>
      <w:marLeft w:val="0"/>
      <w:marRight w:val="0"/>
      <w:marTop w:val="0"/>
      <w:marBottom w:val="0"/>
      <w:divBdr>
        <w:top w:val="none" w:sz="0" w:space="0" w:color="auto"/>
        <w:left w:val="none" w:sz="0" w:space="0" w:color="auto"/>
        <w:bottom w:val="none" w:sz="0" w:space="0" w:color="auto"/>
        <w:right w:val="none" w:sz="0" w:space="0" w:color="auto"/>
      </w:divBdr>
    </w:div>
    <w:div w:id="19606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itu.int/md/T13-SG11-C-0097/en" TargetMode="External"/><Relationship Id="rId18" Type="http://schemas.openxmlformats.org/officeDocument/2006/relationships/hyperlink" Target="http://www.itu.int/md/T13-SG11-140709-TD-GEN-0370/en" TargetMode="External"/><Relationship Id="rId26" Type="http://schemas.openxmlformats.org/officeDocument/2006/relationships/hyperlink" Target="http://ifa.itu.int/t/2013/sg11/exchange/wp4/q11/2014-05-14_CG/WD6_Convener_action-items-CG-15-May.docx" TargetMode="External"/><Relationship Id="rId39" Type="http://schemas.openxmlformats.org/officeDocument/2006/relationships/hyperlink" Target="http://ifa.itu.int/t/2013/sg11/exchange/wp4/q11/2014-05-14_CG/WD5_Convener_draft-agenda-CG-14-May.docx" TargetMode="External"/><Relationship Id="rId21" Type="http://schemas.openxmlformats.org/officeDocument/2006/relationships/hyperlink" Target="http://ifa.itu.int/t/2013/sg11/exchange/wp4/q11/2014-06-11_CG/" TargetMode="External"/><Relationship Id="rId34" Type="http://schemas.openxmlformats.org/officeDocument/2006/relationships/hyperlink" Target="http://ifa.itu.int/t/2013/sg11/exchange/wp4/q11/2014-04-09_CG/WD1_Alcatel_Lucent_Comments_on_Contribution_C-97.doc" TargetMode="External"/><Relationship Id="rId42" Type="http://schemas.openxmlformats.org/officeDocument/2006/relationships/hyperlink" Target="http://ifa.itu.int/t/2013/sg11/exchange/wp4/q11/2014-07-02_CG/WD7r2_CONVENER_CG_report-structure-ALU-modified.docx" TargetMode="External"/><Relationship Id="rId47" Type="http://schemas.openxmlformats.org/officeDocument/2006/relationships/hyperlink" Target="http://ifa.itu.int/t/2013/sg11/exchange/wp4/q11/2014-07-02_CG/WD8r1_ILAC_Revised_Contribution_C-97.doc" TargetMode="External"/><Relationship Id="rId50" Type="http://schemas.openxmlformats.org/officeDocument/2006/relationships/hyperlink" Target="http://ifa.itu.int/t/2013/sg11/exchange/wp4/q11/2014-06-11_CG/WD10_Convener_draft-agenda-CG-11-June.docx" TargetMode="External"/><Relationship Id="rId55" Type="http://schemas.openxmlformats.org/officeDocument/2006/relationships/hyperlink" Target="http://www.itu.int/md/T13-SG11-C-0097/en" TargetMode="External"/><Relationship Id="rId7"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hyperlink" Target="http://ifa.itu.int/t/2013/sg11/exchange/wp4/q11/2014-04-09_CG/TD294Rev1_CG-ToR.doc" TargetMode="External"/><Relationship Id="rId20" Type="http://schemas.openxmlformats.org/officeDocument/2006/relationships/hyperlink" Target="http://ifa.itu.int/t/2013/sg11/exchange/wp4/q11/2014-05-14_CG/" TargetMode="External"/><Relationship Id="rId29" Type="http://schemas.openxmlformats.org/officeDocument/2006/relationships/hyperlink" Target="http://www.itu.int/md/T13-SG11-C-0097/en" TargetMode="External"/><Relationship Id="rId41" Type="http://schemas.openxmlformats.org/officeDocument/2006/relationships/hyperlink" Target="http://ifa.itu.int/t/2013/sg11/exchange/wp4/q11/2014-06-11_CG/WD7r1_CONVENER_CG_report-structure.docx" TargetMode="External"/><Relationship Id="rId54" Type="http://schemas.openxmlformats.org/officeDocument/2006/relationships/hyperlink" Target="http://ifa.itu.int/t/2013/sg11/exchange/wp4/q11/2014-07-02_CG/WD13r1_Convener_draft-agenda-CG-2-July.docx"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mailto:t13sg11cgtl@lists.itu.int" TargetMode="External"/><Relationship Id="rId32" Type="http://schemas.openxmlformats.org/officeDocument/2006/relationships/hyperlink" Target="http://ifa.itu.int/t/2013/sg11/exchange/wp4/q11/2014-04-09_CG/TD-370_CG-meeting-report-20Feb2014.docx" TargetMode="External"/><Relationship Id="rId37" Type="http://schemas.openxmlformats.org/officeDocument/2006/relationships/hyperlink" Target="http://ifa.itu.int/t/2013/sg11/exchange/wp4/q11/2014-04-09_CG/WD3_Convener_draft-agenda-CG-9-April.docx" TargetMode="External"/><Relationship Id="rId40" Type="http://schemas.openxmlformats.org/officeDocument/2006/relationships/hyperlink" Target="http://ifa.itu.int/t/2013/sg11/exchange/wp4/q11/2014-05-14_CG/WD6_Convener_action-items-CG-15-May.docx" TargetMode="External"/><Relationship Id="rId45" Type="http://schemas.openxmlformats.org/officeDocument/2006/relationships/hyperlink" Target="http://www.itu.int/md/T13-SG11-140709-TD-GEN-0475/en" TargetMode="External"/><Relationship Id="rId53" Type="http://schemas.openxmlformats.org/officeDocument/2006/relationships/hyperlink" Target="http://ifa.itu.int/t/2013/sg11/exchange/wp4/q11/2014-07-02_CG/WD13_Convener_draft-agenda-CG-2-July.docx" TargetMode="External"/><Relationship Id="rId58" Type="http://schemas.openxmlformats.org/officeDocument/2006/relationships/hyperlink" Target="http://ifa.itu.int/t/2013/sg11/exchange/wp4/q11/2014-06-11_CG/WD8_Editor_Revised_Contribution_C-97.doc" TargetMode="External"/><Relationship Id="rId5" Type="http://schemas.openxmlformats.org/officeDocument/2006/relationships/numbering" Target="numbering.xml"/><Relationship Id="rId15" Type="http://schemas.openxmlformats.org/officeDocument/2006/relationships/hyperlink" Target="http://www.itu.int/md/T13-SG11-140709-TD-GEN-0474/en" TargetMode="External"/><Relationship Id="rId23" Type="http://schemas.openxmlformats.org/officeDocument/2006/relationships/hyperlink" Target="http://www.itu.int/md/T13-SG11-140709-TD-GEN-0474/en" TargetMode="External"/><Relationship Id="rId28" Type="http://schemas.openxmlformats.org/officeDocument/2006/relationships/hyperlink" Target="http://www.itu.int/md/T13-SG11-140709-TD-GEN-0370/en" TargetMode="External"/><Relationship Id="rId36" Type="http://schemas.openxmlformats.org/officeDocument/2006/relationships/hyperlink" Target="http://ifa.itu.int/t/2013/sg11/exchange/wp4/q11/2014-04-09_CG/WD1_Alcatel_Lucent_Comments_on_Contribution_C-97.doc" TargetMode="External"/><Relationship Id="rId49" Type="http://schemas.openxmlformats.org/officeDocument/2006/relationships/hyperlink" Target="http://ifa.itu.int/t/2013/sg11/exchange/wp4/q11/2014-06-11_CG/WD9_TSB_best_practices_recognition.docx" TargetMode="External"/><Relationship Id="rId57" Type="http://schemas.openxmlformats.org/officeDocument/2006/relationships/hyperlink" Target="http://ifa.itu.int/t/2013/sg11/exchange/wp4/q11/2014-06-11_CG/WD9_TSB_best_practices_recognition.docx" TargetMode="External"/><Relationship Id="rId61"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ifa.itu.int/t/2013/sg11/exchange/wp4/q11/2014-04-09_CG/" TargetMode="External"/><Relationship Id="rId31" Type="http://schemas.openxmlformats.org/officeDocument/2006/relationships/hyperlink" Target="http://ifa.itu.int/t/2013/sg11/exchange/wp4/q11/2014-February-Geneva/WD1_20Feb_Agenda_CG_Collaboration.docx" TargetMode="External"/><Relationship Id="rId44" Type="http://schemas.openxmlformats.org/officeDocument/2006/relationships/hyperlink" Target="http://ifa.itu.int/t/2013/sg11/exchange/wp4/q11/2014-07-02_CG/WD7r4_CONVENER_CG_report-structure-ALU-modified-Rel02.docx" TargetMode="External"/><Relationship Id="rId52" Type="http://schemas.openxmlformats.org/officeDocument/2006/relationships/hyperlink" Target="http://ifa.itu.int/t/2013/sg11/exchange/wp4/q11/2014-07-02_CG/WD12_CG_report_11-June-2014.docx" TargetMode="External"/><Relationship Id="rId6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itu.int/md/T13-SG11-C-0097/en" TargetMode="External"/><Relationship Id="rId22" Type="http://schemas.openxmlformats.org/officeDocument/2006/relationships/hyperlink" Target="http://ifa.itu.int/t/2013/sg11/exchange/wp4/q11/2014-07-02_CG/" TargetMode="External"/><Relationship Id="rId27" Type="http://schemas.openxmlformats.org/officeDocument/2006/relationships/hyperlink" Target="http://ifa.itu.int/t/2013/sg11/exchange/wp4/q11/2014-07-02_CG/WD12_CG_report_11-June-2014.docx" TargetMode="External"/><Relationship Id="rId30" Type="http://schemas.openxmlformats.org/officeDocument/2006/relationships/hyperlink" Target="https://www.itu.int/md/dologin_md.asp?lang=en&amp;id=S13-CL-C-0024!R1!MSW-E" TargetMode="External"/><Relationship Id="rId35" Type="http://schemas.openxmlformats.org/officeDocument/2006/relationships/hyperlink" Target="http://ifa.itu.int/t/2013/sg11/exchange/wp4/q11/2014-04-09_CG/WD2_Ghana_Comments-on-WD1.doc" TargetMode="External"/><Relationship Id="rId43" Type="http://schemas.openxmlformats.org/officeDocument/2006/relationships/hyperlink" Target="http://ifa.itu.int/t/2013/sg11/exchange/wp4/q11/2014-07-02_CG/WD7r3_CONVENER_CG_report-structure-ALU-modified.docx" TargetMode="External"/><Relationship Id="rId48" Type="http://schemas.openxmlformats.org/officeDocument/2006/relationships/hyperlink" Target="http://www.itu.int/md/T13-SG11-140709-TD-GEN-0474/en" TargetMode="External"/><Relationship Id="rId56" Type="http://schemas.openxmlformats.org/officeDocument/2006/relationships/hyperlink" Target="http://www.itu.int/md/T13-SG11-140709-TD-GEN-0474/en" TargetMode="External"/><Relationship Id="rId8" Type="http://schemas.openxmlformats.org/officeDocument/2006/relationships/settings" Target="settings.xml"/><Relationship Id="rId51" Type="http://schemas.openxmlformats.org/officeDocument/2006/relationships/hyperlink" Target="http://ifa.itu.int/t/2013/sg11/exchange/wp4/q11/2014-07-02_CG/WD11_AlcatelLucent_replies-to-Ghana_Comments-on-WD1-2.doc" TargetMode="External"/><Relationship Id="rId3" Type="http://schemas.openxmlformats.org/officeDocument/2006/relationships/customXml" Target="../customXml/item3.xml"/><Relationship Id="rId12" Type="http://schemas.openxmlformats.org/officeDocument/2006/relationships/hyperlink" Target="http://www.itu.int/md/T13-SG11-140709-TD-GEN-0475/en" TargetMode="External"/><Relationship Id="rId17" Type="http://schemas.openxmlformats.org/officeDocument/2006/relationships/hyperlink" Target="https://www.itu.int/md/dologin_md.asp?lang=en&amp;id=S13-CL-C-0024!R1!MSW-E" TargetMode="External"/><Relationship Id="rId25" Type="http://schemas.openxmlformats.org/officeDocument/2006/relationships/hyperlink" Target="http://ifa.itu.int/t/2013/sg11/exchange/wp4/q11/2014-05-14_CG/WD4r2_CG_report_10-April-2014.docx" TargetMode="External"/><Relationship Id="rId33" Type="http://schemas.openxmlformats.org/officeDocument/2006/relationships/hyperlink" Target="http://ifa.itu.int/t/2013/sg11/exchange/wp4/q11/2014-04-09_CG/TD294Rev1_CG-ToR.doc" TargetMode="External"/><Relationship Id="rId38" Type="http://schemas.openxmlformats.org/officeDocument/2006/relationships/hyperlink" Target="http://ifa.itu.int/t/2013/sg11/exchange/wp4/q11/2014-05-14_CG/WD4r2_CG_report_10-April-2014.docx" TargetMode="External"/><Relationship Id="rId46" Type="http://schemas.openxmlformats.org/officeDocument/2006/relationships/hyperlink" Target="http://ifa.itu.int/t/2013/sg11/exchange/wp4/q11/2014-06-11_CG/WD8_Editor_Revised_Contribution_C-97.doc" TargetMode="External"/><Relationship Id="rId5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tsbjcacit@itu.in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4F32BEF0DA7B04A99FC62794E3E9539" ma:contentTypeVersion="1" ma:contentTypeDescription="Create a new document." ma:contentTypeScope="" ma:versionID="c620034d42a3129556210dfcb8befb23">
  <xsd:schema xmlns:xsd="http://www.w3.org/2001/XMLSchema" xmlns:xs="http://www.w3.org/2001/XMLSchema" xmlns:p="http://schemas.microsoft.com/office/2006/metadata/properties" xmlns:ns1="http://schemas.microsoft.com/sharepoint/v3" targetNamespace="http://schemas.microsoft.com/office/2006/metadata/properties" ma:root="true" ma:fieldsID="ef2aa9ed40e72a78c3822fc753b43e87"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729822-E204-4F73-950C-6544A09F2132}">
  <ds:schemaRefs>
    <ds:schemaRef ds:uri="http://schemas.microsoft.com/sharepoint/v3/contenttype/forms"/>
  </ds:schemaRefs>
</ds:datastoreItem>
</file>

<file path=customXml/itemProps2.xml><?xml version="1.0" encoding="utf-8"?>
<ds:datastoreItem xmlns:ds="http://schemas.openxmlformats.org/officeDocument/2006/customXml" ds:itemID="{9C96AC35-71A5-4FC2-ADD5-00144B0F84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039915-63EB-4ACE-AFCF-C8544EF2D246}">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E21C037D-4395-4A92-9DF7-FB8D464FD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131</TotalTime>
  <Pages>8</Pages>
  <Words>2488</Words>
  <Characters>14463</Characters>
  <Application>Microsoft Office Word</Application>
  <DocSecurity>0</DocSecurity>
  <Lines>485</Lines>
  <Paragraphs>310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DOCUMENT</vt:lpstr>
      <vt:lpstr/>
    </vt:vector>
  </TitlesOfParts>
  <Manager>ITU-T</Manager>
  <Company>International Telecommunication Union (ITU)</Company>
  <LinksUpToDate>false</LinksUpToDate>
  <CharactersWithSpaces>16689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Report of the Correspondence Group (CG) on Collaboration between ITU-T and testing laboratories for ITU C&amp;I programme; November 2013 to July 2014</dc:title>
  <dc:creator>Convener of CG (Ghana)</dc:creator>
  <cp:keywords>Geneva, 11 July 2014</cp:keywords>
  <dc:description>JCA-CIT-I-050  For: _x000d_Document date: _x000d_Saved by ITU51006821 at 08:41:41 on 09/07/2014</dc:description>
  <cp:lastModifiedBy>Norton Viard, Emma</cp:lastModifiedBy>
  <cp:revision>21</cp:revision>
  <cp:lastPrinted>2014-07-08T12:47:00Z</cp:lastPrinted>
  <dcterms:created xsi:type="dcterms:W3CDTF">2014-07-08T08:44:00Z</dcterms:created>
  <dcterms:modified xsi:type="dcterms:W3CDTF">2014-07-09T06:41:00Z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JCA-CIT-I-050</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Geneva, 11 July 2014</vt:lpwstr>
  </property>
  <property fmtid="{D5CDD505-2E9C-101B-9397-08002B2CF9AE}" pid="6" name="Docdest">
    <vt:lpwstr/>
  </property>
  <property fmtid="{D5CDD505-2E9C-101B-9397-08002B2CF9AE}" pid="7" name="Docauthor">
    <vt:lpwstr>Convener of CG (Ghana)</vt:lpwstr>
  </property>
  <property fmtid="{D5CDD505-2E9C-101B-9397-08002B2CF9AE}" pid="8" name="ContentTypeId">
    <vt:lpwstr>0x01010034F32BEF0DA7B04A99FC62794E3E9539</vt:lpwstr>
  </property>
</Properties>
</file>