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567"/>
        <w:gridCol w:w="2673"/>
        <w:gridCol w:w="1012"/>
        <w:gridCol w:w="4054"/>
      </w:tblGrid>
      <w:tr w:rsidR="006D3B28" w:rsidRPr="006D3B28">
        <w:trPr>
          <w:cantSplit/>
        </w:trPr>
        <w:tc>
          <w:tcPr>
            <w:tcW w:w="4857" w:type="dxa"/>
            <w:gridSpan w:val="3"/>
          </w:tcPr>
          <w:p w:rsidR="006D3B28" w:rsidRPr="006D3B28" w:rsidRDefault="006D3B28" w:rsidP="006D3B28">
            <w:pPr>
              <w:rPr>
                <w:sz w:val="20"/>
              </w:rPr>
            </w:pPr>
            <w:bookmarkStart w:id="0" w:name="dsg" w:colFirst="1" w:colLast="1"/>
            <w:bookmarkStart w:id="1" w:name="dtableau"/>
            <w:r w:rsidRPr="006D3B28">
              <w:rPr>
                <w:sz w:val="20"/>
              </w:rPr>
              <w:t>INTERNATIONAL TELECOMMUNICATION UNION</w:t>
            </w:r>
          </w:p>
        </w:tc>
        <w:tc>
          <w:tcPr>
            <w:tcW w:w="5066" w:type="dxa"/>
            <w:gridSpan w:val="2"/>
          </w:tcPr>
          <w:p w:rsidR="006D3B28" w:rsidRPr="006D3B28" w:rsidRDefault="006D3B28" w:rsidP="006D3B28">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D3B28" w:rsidRPr="006D3B28">
        <w:trPr>
          <w:cantSplit/>
          <w:trHeight w:val="461"/>
        </w:trPr>
        <w:tc>
          <w:tcPr>
            <w:tcW w:w="4857" w:type="dxa"/>
            <w:gridSpan w:val="3"/>
            <w:vMerge w:val="restart"/>
            <w:tcBorders>
              <w:bottom w:val="nil"/>
            </w:tcBorders>
          </w:tcPr>
          <w:p w:rsidR="006D3B28" w:rsidRPr="006D3B28" w:rsidRDefault="006D3B28" w:rsidP="006D3B28">
            <w:pPr>
              <w:rPr>
                <w:b/>
                <w:bCs/>
                <w:sz w:val="26"/>
              </w:rPr>
            </w:pPr>
            <w:bookmarkStart w:id="2" w:name="dnum" w:colFirst="1" w:colLast="1"/>
            <w:bookmarkEnd w:id="0"/>
            <w:r w:rsidRPr="006D3B28">
              <w:rPr>
                <w:b/>
                <w:bCs/>
                <w:sz w:val="26"/>
              </w:rPr>
              <w:t>TELECOMMUNICATION</w:t>
            </w:r>
            <w:r w:rsidRPr="006D3B28">
              <w:rPr>
                <w:b/>
                <w:bCs/>
                <w:sz w:val="26"/>
              </w:rPr>
              <w:br/>
              <w:t>STANDARDIZATION SECTOR</w:t>
            </w:r>
          </w:p>
          <w:p w:rsidR="006D3B28" w:rsidRPr="006D3B28" w:rsidRDefault="006D3B28" w:rsidP="006D3B28">
            <w:pPr>
              <w:rPr>
                <w:smallCaps/>
                <w:sz w:val="20"/>
              </w:rPr>
            </w:pPr>
            <w:r w:rsidRPr="006D3B28">
              <w:rPr>
                <w:sz w:val="20"/>
              </w:rPr>
              <w:t xml:space="preserve">STUDY PERIOD </w:t>
            </w:r>
            <w:r>
              <w:rPr>
                <w:sz w:val="20"/>
              </w:rPr>
              <w:t>2013-2016</w:t>
            </w:r>
          </w:p>
        </w:tc>
        <w:tc>
          <w:tcPr>
            <w:tcW w:w="5066" w:type="dxa"/>
            <w:gridSpan w:val="2"/>
            <w:tcBorders>
              <w:bottom w:val="nil"/>
            </w:tcBorders>
          </w:tcPr>
          <w:p w:rsidR="006D3B28" w:rsidRPr="00DB35B9" w:rsidRDefault="006D3B28" w:rsidP="00447316">
            <w:pPr>
              <w:jc w:val="right"/>
              <w:rPr>
                <w:rFonts w:eastAsia="Batang"/>
                <w:b/>
                <w:bCs/>
                <w:sz w:val="40"/>
              </w:rPr>
            </w:pPr>
            <w:r>
              <w:rPr>
                <w:rFonts w:eastAsia="Batang"/>
                <w:b/>
                <w:bCs/>
                <w:sz w:val="40"/>
                <w:szCs w:val="40"/>
              </w:rPr>
              <w:t>JCA-CIT-I-024</w:t>
            </w:r>
            <w:r w:rsidRPr="00DB35B9">
              <w:rPr>
                <w:rFonts w:eastAsia="Batang"/>
                <w:b/>
                <w:bCs/>
                <w:sz w:val="40"/>
              </w:rPr>
              <w:t xml:space="preserve">    </w:t>
            </w:r>
          </w:p>
        </w:tc>
      </w:tr>
      <w:tr w:rsidR="006D3B28" w:rsidRPr="006D3B28">
        <w:trPr>
          <w:cantSplit/>
          <w:trHeight w:val="355"/>
        </w:trPr>
        <w:tc>
          <w:tcPr>
            <w:tcW w:w="4857" w:type="dxa"/>
            <w:gridSpan w:val="3"/>
            <w:vMerge/>
            <w:tcBorders>
              <w:bottom w:val="single" w:sz="12" w:space="0" w:color="auto"/>
            </w:tcBorders>
          </w:tcPr>
          <w:p w:rsidR="006D3B28" w:rsidRPr="006D3B28" w:rsidRDefault="006D3B28" w:rsidP="006D3B28">
            <w:pPr>
              <w:rPr>
                <w:b/>
                <w:bCs/>
                <w:sz w:val="26"/>
              </w:rPr>
            </w:pPr>
            <w:bookmarkStart w:id="3" w:name="dorlang" w:colFirst="1" w:colLast="1"/>
            <w:bookmarkEnd w:id="2"/>
          </w:p>
        </w:tc>
        <w:tc>
          <w:tcPr>
            <w:tcW w:w="5066" w:type="dxa"/>
            <w:gridSpan w:val="2"/>
            <w:tcBorders>
              <w:bottom w:val="single" w:sz="12" w:space="0" w:color="auto"/>
            </w:tcBorders>
          </w:tcPr>
          <w:p w:rsidR="006D3B28" w:rsidRDefault="006D3B28" w:rsidP="006D3B28">
            <w:pPr>
              <w:jc w:val="right"/>
              <w:rPr>
                <w:b/>
                <w:bCs/>
                <w:sz w:val="28"/>
              </w:rPr>
            </w:pPr>
            <w:r>
              <w:rPr>
                <w:b/>
                <w:bCs/>
                <w:sz w:val="28"/>
              </w:rPr>
              <w:t>English only</w:t>
            </w:r>
          </w:p>
          <w:p w:rsidR="006D3B28" w:rsidRPr="006D3B28" w:rsidRDefault="006D3B28" w:rsidP="006D3B28">
            <w:pPr>
              <w:jc w:val="right"/>
              <w:rPr>
                <w:b/>
                <w:bCs/>
                <w:sz w:val="28"/>
              </w:rPr>
            </w:pPr>
            <w:r>
              <w:rPr>
                <w:b/>
                <w:bCs/>
                <w:sz w:val="28"/>
              </w:rPr>
              <w:t>Original: English</w:t>
            </w:r>
          </w:p>
        </w:tc>
      </w:tr>
      <w:tr w:rsidR="006D3B28" w:rsidRPr="006D3B28" w:rsidTr="002453CE">
        <w:trPr>
          <w:cantSplit/>
          <w:trHeight w:val="357"/>
        </w:trPr>
        <w:tc>
          <w:tcPr>
            <w:tcW w:w="4857" w:type="dxa"/>
            <w:gridSpan w:val="3"/>
          </w:tcPr>
          <w:p w:rsidR="006D3B28" w:rsidRPr="006D3B28" w:rsidRDefault="006D3B28" w:rsidP="006D3B28">
            <w:bookmarkStart w:id="4" w:name="dmeeting" w:colFirst="2" w:colLast="2"/>
            <w:bookmarkStart w:id="5" w:name="dbluepink" w:colFirst="1" w:colLast="1"/>
            <w:bookmarkEnd w:id="3"/>
            <w:bookmarkEnd w:id="1"/>
          </w:p>
        </w:tc>
        <w:tc>
          <w:tcPr>
            <w:tcW w:w="5066" w:type="dxa"/>
            <w:gridSpan w:val="2"/>
          </w:tcPr>
          <w:p w:rsidR="006D3B28" w:rsidRPr="00DB35B9" w:rsidRDefault="006D3B28" w:rsidP="00447316">
            <w:pPr>
              <w:jc w:val="right"/>
            </w:pPr>
            <w:r w:rsidRPr="00DB35B9">
              <w:t>Geneva, 19 November 2013</w:t>
            </w:r>
          </w:p>
        </w:tc>
      </w:tr>
      <w:tr w:rsidR="006D3B28" w:rsidRPr="006D3B28">
        <w:trPr>
          <w:cantSplit/>
          <w:trHeight w:val="357"/>
        </w:trPr>
        <w:tc>
          <w:tcPr>
            <w:tcW w:w="9923" w:type="dxa"/>
            <w:gridSpan w:val="5"/>
          </w:tcPr>
          <w:p w:rsidR="006D3B28" w:rsidRPr="006D3B28" w:rsidRDefault="006D3B28" w:rsidP="006D3B28">
            <w:pPr>
              <w:jc w:val="center"/>
              <w:rPr>
                <w:b/>
                <w:bCs/>
              </w:rPr>
            </w:pPr>
            <w:bookmarkStart w:id="6" w:name="dtitle" w:colFirst="0" w:colLast="0"/>
            <w:bookmarkEnd w:id="4"/>
            <w:bookmarkEnd w:id="5"/>
            <w:r>
              <w:rPr>
                <w:b/>
                <w:bCs/>
              </w:rPr>
              <w:t>DOCUMENT</w:t>
            </w:r>
          </w:p>
          <w:p w:rsidR="006D3B28" w:rsidRPr="006D3B28" w:rsidRDefault="006D3B28" w:rsidP="006D3B28">
            <w:pPr>
              <w:jc w:val="center"/>
              <w:rPr>
                <w:b/>
                <w:bCs/>
              </w:rPr>
            </w:pPr>
            <w:r w:rsidRPr="006D3B28">
              <w:rPr>
                <w:b/>
                <w:bCs/>
              </w:rPr>
              <w:t xml:space="preserve">(Ref. : COM 16 – </w:t>
            </w:r>
            <w:proofErr w:type="spellStart"/>
            <w:r w:rsidRPr="006D3B28">
              <w:rPr>
                <w:b/>
                <w:bCs/>
              </w:rPr>
              <w:t>LS</w:t>
            </w:r>
            <w:proofErr w:type="spellEnd"/>
            <w:r w:rsidRPr="006D3B28">
              <w:rPr>
                <w:b/>
                <w:bCs/>
              </w:rPr>
              <w:t xml:space="preserve"> 57 – E)</w:t>
            </w:r>
          </w:p>
        </w:tc>
      </w:tr>
      <w:tr w:rsidR="006D3B28" w:rsidRPr="006D3B28">
        <w:trPr>
          <w:cantSplit/>
          <w:trHeight w:val="357"/>
        </w:trPr>
        <w:tc>
          <w:tcPr>
            <w:tcW w:w="1617" w:type="dxa"/>
          </w:tcPr>
          <w:p w:rsidR="006D3B28" w:rsidRPr="006D3B28" w:rsidRDefault="006D3B28" w:rsidP="006D3B28">
            <w:pPr>
              <w:rPr>
                <w:b/>
                <w:bCs/>
              </w:rPr>
            </w:pPr>
            <w:bookmarkStart w:id="7" w:name="dsource" w:colFirst="1" w:colLast="1"/>
            <w:bookmarkEnd w:id="6"/>
            <w:r w:rsidRPr="006D3B28">
              <w:rPr>
                <w:b/>
                <w:bCs/>
              </w:rPr>
              <w:t>Source:</w:t>
            </w:r>
          </w:p>
        </w:tc>
        <w:tc>
          <w:tcPr>
            <w:tcW w:w="8306" w:type="dxa"/>
            <w:gridSpan w:val="4"/>
          </w:tcPr>
          <w:p w:rsidR="006D3B28" w:rsidRPr="006D3B28" w:rsidRDefault="006D3B28" w:rsidP="006D3B28">
            <w:r w:rsidRPr="006D3B28">
              <w:t>ITU-T SG16</w:t>
            </w:r>
          </w:p>
        </w:tc>
      </w:tr>
      <w:tr w:rsidR="006D3B28" w:rsidRPr="006D3B28">
        <w:trPr>
          <w:cantSplit/>
          <w:trHeight w:val="357"/>
        </w:trPr>
        <w:tc>
          <w:tcPr>
            <w:tcW w:w="1617" w:type="dxa"/>
            <w:tcBorders>
              <w:bottom w:val="single" w:sz="12" w:space="0" w:color="auto"/>
            </w:tcBorders>
          </w:tcPr>
          <w:p w:rsidR="006D3B28" w:rsidRPr="006D3B28" w:rsidRDefault="006D3B28" w:rsidP="006D3B28">
            <w:pPr>
              <w:spacing w:after="120"/>
            </w:pPr>
            <w:bookmarkStart w:id="8" w:name="dtitle1" w:colFirst="1" w:colLast="1"/>
            <w:bookmarkEnd w:id="7"/>
            <w:r w:rsidRPr="006D3B28">
              <w:rPr>
                <w:b/>
                <w:bCs/>
              </w:rPr>
              <w:t>Title:</w:t>
            </w:r>
          </w:p>
        </w:tc>
        <w:tc>
          <w:tcPr>
            <w:tcW w:w="8306" w:type="dxa"/>
            <w:gridSpan w:val="4"/>
            <w:tcBorders>
              <w:bottom w:val="single" w:sz="12" w:space="0" w:color="auto"/>
            </w:tcBorders>
          </w:tcPr>
          <w:p w:rsidR="006D3B28" w:rsidRPr="006D3B28" w:rsidRDefault="006D3B28" w:rsidP="006D3B28">
            <w:pPr>
              <w:spacing w:after="120"/>
            </w:pPr>
            <w:proofErr w:type="spellStart"/>
            <w:r w:rsidRPr="006D3B28">
              <w:t>LS</w:t>
            </w:r>
            <w:proofErr w:type="spellEnd"/>
            <w:r>
              <w:t>/i</w:t>
            </w:r>
            <w:r w:rsidRPr="006D3B28">
              <w:t>/r on request to all Study Groups to update the reference table of ITU-T Recommendations to be tested for conformity/interoperability, parameters and available test suites (</w:t>
            </w:r>
            <w:r>
              <w:t xml:space="preserve">reply to </w:t>
            </w:r>
            <w:r w:rsidRPr="006D3B28">
              <w:t>COM11-LS-10) [</w:t>
            </w:r>
            <w:r>
              <w:t>from</w:t>
            </w:r>
            <w:r w:rsidRPr="006D3B28">
              <w:t xml:space="preserve"> ITU-T SG1</w:t>
            </w:r>
            <w:r>
              <w:t>6</w:t>
            </w:r>
            <w:r w:rsidRPr="006D3B28">
              <w:t>]</w:t>
            </w:r>
          </w:p>
        </w:tc>
      </w:tr>
      <w:bookmarkEnd w:id="8"/>
      <w:tr w:rsidR="006D3B28" w:rsidRPr="00257D30" w:rsidTr="00B1046A">
        <w:trPr>
          <w:cantSplit/>
          <w:trHeight w:val="357"/>
        </w:trPr>
        <w:tc>
          <w:tcPr>
            <w:tcW w:w="9923" w:type="dxa"/>
            <w:gridSpan w:val="5"/>
            <w:tcBorders>
              <w:top w:val="single" w:sz="12" w:space="0" w:color="auto"/>
            </w:tcBorders>
          </w:tcPr>
          <w:p w:rsidR="006D3B28" w:rsidRPr="00257D30" w:rsidRDefault="006D3B28" w:rsidP="00B1046A">
            <w:pPr>
              <w:jc w:val="center"/>
              <w:rPr>
                <w:b/>
                <w:bCs/>
              </w:rPr>
            </w:pPr>
            <w:r w:rsidRPr="00257D30">
              <w:rPr>
                <w:b/>
                <w:bCs/>
              </w:rPr>
              <w:t>LIAISON STATEMENT</w:t>
            </w:r>
          </w:p>
        </w:tc>
      </w:tr>
      <w:tr w:rsidR="006D3B28" w:rsidRPr="00257D30" w:rsidTr="00B1046A">
        <w:trPr>
          <w:cantSplit/>
          <w:trHeight w:val="357"/>
        </w:trPr>
        <w:tc>
          <w:tcPr>
            <w:tcW w:w="2184" w:type="dxa"/>
            <w:gridSpan w:val="2"/>
          </w:tcPr>
          <w:p w:rsidR="006D3B28" w:rsidRPr="00257D30" w:rsidRDefault="006D3B28" w:rsidP="00B1046A">
            <w:pPr>
              <w:rPr>
                <w:b/>
                <w:bCs/>
              </w:rPr>
            </w:pPr>
            <w:r w:rsidRPr="00257D30">
              <w:rPr>
                <w:b/>
                <w:bCs/>
              </w:rPr>
              <w:t>For action to:</w:t>
            </w:r>
          </w:p>
        </w:tc>
        <w:tc>
          <w:tcPr>
            <w:tcW w:w="7739" w:type="dxa"/>
            <w:gridSpan w:val="3"/>
          </w:tcPr>
          <w:p w:rsidR="006D3B28" w:rsidRPr="006D3B28" w:rsidRDefault="006D3B28" w:rsidP="00B1046A">
            <w:pPr>
              <w:pStyle w:val="LSForAction"/>
              <w:rPr>
                <w:b w:val="0"/>
                <w:bCs w:val="0"/>
              </w:rPr>
            </w:pPr>
            <w:bookmarkStart w:id="9" w:name="_Toc371875875"/>
            <w:r w:rsidRPr="006D3B28">
              <w:rPr>
                <w:b w:val="0"/>
                <w:bCs w:val="0"/>
              </w:rPr>
              <w:t>ITU-T SG11</w:t>
            </w:r>
            <w:bookmarkEnd w:id="9"/>
          </w:p>
        </w:tc>
      </w:tr>
      <w:tr w:rsidR="006D3B28" w:rsidRPr="00257D30" w:rsidTr="00B1046A">
        <w:trPr>
          <w:cantSplit/>
          <w:trHeight w:val="357"/>
        </w:trPr>
        <w:tc>
          <w:tcPr>
            <w:tcW w:w="2184" w:type="dxa"/>
            <w:gridSpan w:val="2"/>
          </w:tcPr>
          <w:p w:rsidR="006D3B28" w:rsidRPr="00257D30" w:rsidRDefault="006D3B28" w:rsidP="00B1046A">
            <w:pPr>
              <w:rPr>
                <w:b/>
                <w:bCs/>
              </w:rPr>
            </w:pPr>
            <w:r w:rsidRPr="00257D30">
              <w:rPr>
                <w:b/>
                <w:bCs/>
              </w:rPr>
              <w:t>For comment to:</w:t>
            </w:r>
          </w:p>
        </w:tc>
        <w:tc>
          <w:tcPr>
            <w:tcW w:w="7739" w:type="dxa"/>
            <w:gridSpan w:val="3"/>
          </w:tcPr>
          <w:p w:rsidR="006D3B28" w:rsidRPr="006D3B28" w:rsidRDefault="006D3B28" w:rsidP="00B1046A">
            <w:pPr>
              <w:pStyle w:val="LSForComment"/>
              <w:rPr>
                <w:b w:val="0"/>
                <w:bCs w:val="0"/>
                <w:highlight w:val="yellow"/>
              </w:rPr>
            </w:pPr>
            <w:bookmarkStart w:id="10" w:name="_Toc371875876"/>
            <w:r w:rsidRPr="006D3B28">
              <w:rPr>
                <w:b w:val="0"/>
                <w:bCs w:val="0"/>
              </w:rPr>
              <w:t>-</w:t>
            </w:r>
            <w:bookmarkEnd w:id="10"/>
          </w:p>
        </w:tc>
      </w:tr>
      <w:tr w:rsidR="006D3B28" w:rsidRPr="00257D30" w:rsidTr="00B1046A">
        <w:trPr>
          <w:cantSplit/>
          <w:trHeight w:val="357"/>
        </w:trPr>
        <w:tc>
          <w:tcPr>
            <w:tcW w:w="2184" w:type="dxa"/>
            <w:gridSpan w:val="2"/>
          </w:tcPr>
          <w:p w:rsidR="006D3B28" w:rsidRPr="00257D30" w:rsidRDefault="006D3B28" w:rsidP="00B1046A">
            <w:pPr>
              <w:rPr>
                <w:b/>
                <w:bCs/>
              </w:rPr>
            </w:pPr>
            <w:r w:rsidRPr="00257D30">
              <w:rPr>
                <w:b/>
                <w:bCs/>
              </w:rPr>
              <w:t>For information to:</w:t>
            </w:r>
          </w:p>
        </w:tc>
        <w:tc>
          <w:tcPr>
            <w:tcW w:w="7739" w:type="dxa"/>
            <w:gridSpan w:val="3"/>
          </w:tcPr>
          <w:p w:rsidR="006D3B28" w:rsidRPr="006D3B28" w:rsidRDefault="006D3B28" w:rsidP="00B1046A">
            <w:pPr>
              <w:pStyle w:val="LSForInfo"/>
              <w:rPr>
                <w:b w:val="0"/>
                <w:bCs w:val="0"/>
                <w:highlight w:val="yellow"/>
              </w:rPr>
            </w:pPr>
            <w:bookmarkStart w:id="11" w:name="_Toc371875877"/>
            <w:r w:rsidRPr="006D3B28">
              <w:rPr>
                <w:b w:val="0"/>
                <w:bCs w:val="0"/>
              </w:rPr>
              <w:t xml:space="preserve">JCA-CIT, </w:t>
            </w:r>
            <w:proofErr w:type="spellStart"/>
            <w:r w:rsidRPr="006D3B28">
              <w:rPr>
                <w:b w:val="0"/>
                <w:bCs w:val="0"/>
              </w:rPr>
              <w:t>IMTC</w:t>
            </w:r>
            <w:bookmarkEnd w:id="11"/>
            <w:proofErr w:type="spellEnd"/>
          </w:p>
        </w:tc>
      </w:tr>
      <w:tr w:rsidR="006D3B28" w:rsidRPr="00257D30" w:rsidTr="00B1046A">
        <w:trPr>
          <w:cantSplit/>
          <w:trHeight w:val="357"/>
        </w:trPr>
        <w:tc>
          <w:tcPr>
            <w:tcW w:w="2184" w:type="dxa"/>
            <w:gridSpan w:val="2"/>
          </w:tcPr>
          <w:p w:rsidR="006D3B28" w:rsidRPr="00257D30" w:rsidRDefault="006D3B28" w:rsidP="00B1046A">
            <w:pPr>
              <w:rPr>
                <w:b/>
                <w:bCs/>
              </w:rPr>
            </w:pPr>
            <w:r w:rsidRPr="00257D30">
              <w:rPr>
                <w:b/>
                <w:bCs/>
              </w:rPr>
              <w:t>Approval:</w:t>
            </w:r>
          </w:p>
        </w:tc>
        <w:tc>
          <w:tcPr>
            <w:tcW w:w="7739" w:type="dxa"/>
            <w:gridSpan w:val="3"/>
          </w:tcPr>
          <w:p w:rsidR="006D3B28" w:rsidRPr="006D3B28" w:rsidRDefault="006D3B28" w:rsidP="00B1046A">
            <w:r w:rsidRPr="006D3B28">
              <w:t>ITU-T SG16 meeting (Geneva, 8 November 2013)</w:t>
            </w:r>
          </w:p>
        </w:tc>
      </w:tr>
      <w:tr w:rsidR="006D3B28" w:rsidRPr="00257D30" w:rsidTr="00B1046A">
        <w:trPr>
          <w:cantSplit/>
          <w:trHeight w:val="357"/>
        </w:trPr>
        <w:tc>
          <w:tcPr>
            <w:tcW w:w="2184" w:type="dxa"/>
            <w:gridSpan w:val="2"/>
            <w:tcBorders>
              <w:bottom w:val="single" w:sz="12" w:space="0" w:color="auto"/>
            </w:tcBorders>
          </w:tcPr>
          <w:p w:rsidR="006D3B28" w:rsidRPr="00257D30" w:rsidRDefault="006D3B28" w:rsidP="00B1046A">
            <w:pPr>
              <w:rPr>
                <w:b/>
                <w:bCs/>
              </w:rPr>
            </w:pPr>
            <w:r w:rsidRPr="00257D30">
              <w:rPr>
                <w:b/>
                <w:bCs/>
              </w:rPr>
              <w:t>Deadline:</w:t>
            </w:r>
          </w:p>
        </w:tc>
        <w:tc>
          <w:tcPr>
            <w:tcW w:w="7739" w:type="dxa"/>
            <w:gridSpan w:val="3"/>
            <w:tcBorders>
              <w:bottom w:val="single" w:sz="12" w:space="0" w:color="auto"/>
            </w:tcBorders>
          </w:tcPr>
          <w:p w:rsidR="006D3B28" w:rsidRPr="006D3B28" w:rsidRDefault="006D3B28" w:rsidP="00B1046A">
            <w:pPr>
              <w:pStyle w:val="LSDeadline"/>
              <w:rPr>
                <w:b w:val="0"/>
                <w:bCs w:val="0"/>
              </w:rPr>
            </w:pPr>
            <w:bookmarkStart w:id="12" w:name="_Toc371875878"/>
            <w:r w:rsidRPr="006D3B28">
              <w:rPr>
                <w:b w:val="0"/>
                <w:bCs w:val="0"/>
              </w:rPr>
              <w:t>16 June 2014</w:t>
            </w:r>
            <w:bookmarkEnd w:id="12"/>
          </w:p>
        </w:tc>
      </w:tr>
      <w:tr w:rsidR="006D3B28" w:rsidRPr="002C10F5" w:rsidTr="00B1046A">
        <w:trPr>
          <w:cantSplit/>
          <w:trHeight w:val="204"/>
        </w:trPr>
        <w:tc>
          <w:tcPr>
            <w:tcW w:w="1617" w:type="dxa"/>
            <w:tcBorders>
              <w:top w:val="single" w:sz="12" w:space="0" w:color="auto"/>
            </w:tcBorders>
          </w:tcPr>
          <w:p w:rsidR="006D3B28" w:rsidRPr="00257D30" w:rsidRDefault="006D3B28" w:rsidP="00B1046A">
            <w:pPr>
              <w:rPr>
                <w:b/>
                <w:bCs/>
              </w:rPr>
            </w:pPr>
            <w:r w:rsidRPr="00257D30">
              <w:rPr>
                <w:b/>
                <w:bCs/>
              </w:rPr>
              <w:t>Contact:</w:t>
            </w:r>
          </w:p>
        </w:tc>
        <w:tc>
          <w:tcPr>
            <w:tcW w:w="4252" w:type="dxa"/>
            <w:gridSpan w:val="3"/>
            <w:tcBorders>
              <w:top w:val="single" w:sz="12" w:space="0" w:color="auto"/>
            </w:tcBorders>
          </w:tcPr>
          <w:p w:rsidR="006D3B28" w:rsidRPr="00D0271F" w:rsidRDefault="006D3B28" w:rsidP="00B1046A">
            <w:pPr>
              <w:rPr>
                <w:lang w:val="es-ES"/>
              </w:rPr>
            </w:pPr>
            <w:r w:rsidRPr="00D0271F">
              <w:rPr>
                <w:lang w:val="es-ES"/>
              </w:rPr>
              <w:t>Paul E. Jones</w:t>
            </w:r>
            <w:r w:rsidRPr="00D0271F">
              <w:rPr>
                <w:lang w:val="es-ES"/>
              </w:rPr>
              <w:br/>
              <w:t xml:space="preserve">Cisco </w:t>
            </w:r>
            <w:proofErr w:type="spellStart"/>
            <w:r w:rsidRPr="00D0271F">
              <w:rPr>
                <w:lang w:val="es-ES"/>
              </w:rPr>
              <w:t>Systems</w:t>
            </w:r>
            <w:proofErr w:type="spellEnd"/>
            <w:r w:rsidRPr="00D0271F">
              <w:rPr>
                <w:lang w:val="es-ES"/>
              </w:rPr>
              <w:br/>
              <w:t>USA</w:t>
            </w:r>
          </w:p>
        </w:tc>
        <w:tc>
          <w:tcPr>
            <w:tcW w:w="4054" w:type="dxa"/>
            <w:tcBorders>
              <w:top w:val="single" w:sz="12" w:space="0" w:color="auto"/>
            </w:tcBorders>
          </w:tcPr>
          <w:p w:rsidR="006D3B28" w:rsidRPr="00D0271F" w:rsidRDefault="006D3B28" w:rsidP="00D0271F">
            <w:pPr>
              <w:rPr>
                <w:lang w:val="de-CH"/>
              </w:rPr>
            </w:pPr>
            <w:r w:rsidRPr="00D0271F">
              <w:rPr>
                <w:lang w:val="de-CH"/>
              </w:rPr>
              <w:t xml:space="preserve">Tel: </w:t>
            </w:r>
            <w:r w:rsidRPr="00D0271F">
              <w:rPr>
                <w:lang w:val="de-CH"/>
              </w:rPr>
              <w:tab/>
              <w:t>+1 919 476 2048</w:t>
            </w:r>
            <w:r w:rsidRPr="00D0271F">
              <w:rPr>
                <w:lang w:val="de-CH"/>
              </w:rPr>
              <w:br/>
              <w:t>Fax:</w:t>
            </w:r>
            <w:r w:rsidRPr="00D0271F">
              <w:rPr>
                <w:lang w:val="de-CH"/>
              </w:rPr>
              <w:br/>
              <w:t>Email:</w:t>
            </w:r>
            <w:r w:rsidRPr="00D0271F">
              <w:rPr>
                <w:lang w:val="de-CH"/>
              </w:rPr>
              <w:tab/>
            </w:r>
            <w:r>
              <w:fldChar w:fldCharType="begin"/>
            </w:r>
            <w:r>
              <w:instrText xml:space="preserve"> HYPERLINK "mailto:paulej@packetizer.com" </w:instrText>
            </w:r>
            <w:r>
              <w:fldChar w:fldCharType="separate"/>
            </w:r>
            <w:r w:rsidRPr="00D0271F">
              <w:rPr>
                <w:rStyle w:val="Hyperlink"/>
                <w:lang w:val="de-CH"/>
              </w:rPr>
              <w:t>paulej@packetizer.com</w:t>
            </w:r>
            <w:r>
              <w:rPr>
                <w:rStyle w:val="Hyperlink"/>
                <w:lang w:val="de-CH"/>
              </w:rPr>
              <w:fldChar w:fldCharType="end"/>
            </w:r>
          </w:p>
        </w:tc>
      </w:tr>
      <w:tr w:rsidR="006D3B28" w:rsidRPr="002C10F5" w:rsidTr="00B1046A">
        <w:trPr>
          <w:cantSplit/>
          <w:trHeight w:val="204"/>
        </w:trPr>
        <w:tc>
          <w:tcPr>
            <w:tcW w:w="9923" w:type="dxa"/>
            <w:gridSpan w:val="5"/>
            <w:tcBorders>
              <w:top w:val="single" w:sz="12" w:space="0" w:color="auto"/>
            </w:tcBorders>
          </w:tcPr>
          <w:p w:rsidR="006D3B28" w:rsidRPr="005D2409" w:rsidRDefault="006D3B28" w:rsidP="00B1046A">
            <w:pPr>
              <w:spacing w:before="0"/>
              <w:rPr>
                <w:sz w:val="18"/>
                <w:szCs w:val="18"/>
                <w:lang w:val="de-CH"/>
              </w:rPr>
            </w:pPr>
          </w:p>
        </w:tc>
      </w:tr>
    </w:tbl>
    <w:p w:rsidR="00D0271F" w:rsidRPr="00257D30" w:rsidRDefault="00D0271F" w:rsidP="00D0271F">
      <w:r w:rsidRPr="00257D30">
        <w:t>ITU-T Q2/16 reviewed the request received to update the reference table of ITU-T Recommendations to be tested for conformance and interoperability (our TD 93/Gen, your COM11</w:t>
      </w:r>
      <w:r>
        <w:noBreakHyphen/>
        <w:t>LS</w:t>
      </w:r>
      <w:r>
        <w:noBreakHyphen/>
      </w:r>
      <w:r w:rsidRPr="00257D30">
        <w:t>10).  Experts in Q2/16 notes that the entry to H.323 might benefit from a small change. The suggested change is the</w:t>
      </w:r>
      <w:bookmarkStart w:id="13" w:name="_GoBack"/>
      <w:bookmarkEnd w:id="13"/>
      <w:r w:rsidRPr="00257D30">
        <w:t xml:space="preserve"> addition of </w:t>
      </w:r>
      <w:proofErr w:type="spellStart"/>
      <w:r w:rsidRPr="00257D30">
        <w:t>IMTC</w:t>
      </w:r>
      <w:proofErr w:type="spellEnd"/>
      <w:r w:rsidRPr="00257D30">
        <w:t xml:space="preserve"> as shown in the table below.</w:t>
      </w:r>
    </w:p>
    <w:p w:rsidR="00D0271F" w:rsidRPr="00257D30" w:rsidRDefault="00D0271F" w:rsidP="006D3B28">
      <w:pPr>
        <w:spacing w:after="120"/>
      </w:pPr>
      <w:r w:rsidRPr="00257D30">
        <w:t>Additionally, we note that the International Multimedia Telecommunications Consortium has long held H.323 interoperability events and the organization maintains and updates a set of test suites for H.323 equipment.</w:t>
      </w:r>
    </w:p>
    <w:tbl>
      <w:tblPr>
        <w:tblW w:w="4947" w:type="pct"/>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4"/>
        <w:gridCol w:w="1084"/>
        <w:gridCol w:w="1022"/>
        <w:gridCol w:w="1135"/>
        <w:gridCol w:w="1135"/>
        <w:gridCol w:w="1277"/>
        <w:gridCol w:w="1531"/>
        <w:gridCol w:w="1552"/>
      </w:tblGrid>
      <w:tr w:rsidR="002C10F5" w:rsidRPr="00257D30" w:rsidTr="002C10F5">
        <w:trPr>
          <w:tblHeader/>
          <w:jc w:val="center"/>
        </w:trPr>
        <w:tc>
          <w:tcPr>
            <w:tcW w:w="520" w:type="pct"/>
            <w:vMerge w:val="restart"/>
            <w:shd w:val="clear" w:color="auto" w:fill="auto"/>
            <w:vAlign w:val="center"/>
          </w:tcPr>
          <w:p w:rsidR="00D0271F" w:rsidRPr="00257D30" w:rsidRDefault="00D0271F" w:rsidP="002C10F5">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sz w:val="18"/>
                <w:szCs w:val="24"/>
              </w:rPr>
            </w:pPr>
            <w:r w:rsidRPr="00257D30">
              <w:rPr>
                <w:sz w:val="18"/>
                <w:szCs w:val="24"/>
              </w:rPr>
              <w:t>ITU-T Rec</w:t>
            </w:r>
            <w:r w:rsidR="002C10F5">
              <w:rPr>
                <w:sz w:val="18"/>
                <w:szCs w:val="24"/>
              </w:rPr>
              <w:t>.</w:t>
            </w:r>
            <w:r w:rsidRPr="00257D30">
              <w:rPr>
                <w:sz w:val="18"/>
                <w:szCs w:val="24"/>
              </w:rPr>
              <w:t>/</w:t>
            </w:r>
            <w:r w:rsidRPr="00257D30">
              <w:rPr>
                <w:sz w:val="18"/>
                <w:szCs w:val="24"/>
              </w:rPr>
              <w:br/>
              <w:t xml:space="preserve">Sub-series or </w:t>
            </w:r>
            <w:r w:rsidRPr="00257D30">
              <w:rPr>
                <w:sz w:val="18"/>
                <w:szCs w:val="24"/>
              </w:rPr>
              <w:br/>
            </w:r>
            <w:proofErr w:type="spellStart"/>
            <w:r w:rsidRPr="00257D30">
              <w:rPr>
                <w:sz w:val="18"/>
                <w:szCs w:val="24"/>
              </w:rPr>
              <w:t>Supl</w:t>
            </w:r>
            <w:proofErr w:type="spellEnd"/>
            <w:r w:rsidRPr="00257D30">
              <w:rPr>
                <w:sz w:val="18"/>
                <w:szCs w:val="24"/>
              </w:rPr>
              <w:t>. or System</w:t>
            </w:r>
          </w:p>
        </w:tc>
        <w:tc>
          <w:tcPr>
            <w:tcW w:w="1079" w:type="pct"/>
            <w:gridSpan w:val="2"/>
            <w:shd w:val="clear" w:color="auto" w:fill="auto"/>
            <w:vAlign w:val="center"/>
          </w:tcPr>
          <w:p w:rsidR="00D0271F" w:rsidRPr="00257D30" w:rsidRDefault="00D0271F" w:rsidP="002C10F5">
            <w:pPr>
              <w:pStyle w:val="Tablehead"/>
              <w:rPr>
                <w:sz w:val="18"/>
                <w:szCs w:val="24"/>
              </w:rPr>
            </w:pPr>
            <w:r w:rsidRPr="00257D30">
              <w:rPr>
                <w:sz w:val="18"/>
                <w:szCs w:val="24"/>
              </w:rPr>
              <w:t>Suitability for testing</w:t>
            </w:r>
          </w:p>
        </w:tc>
        <w:tc>
          <w:tcPr>
            <w:tcW w:w="582" w:type="pct"/>
            <w:vMerge w:val="restart"/>
            <w:shd w:val="clear" w:color="auto" w:fill="auto"/>
          </w:tcPr>
          <w:p w:rsidR="00D0271F" w:rsidRPr="00257D30" w:rsidRDefault="00D0271F" w:rsidP="002C10F5">
            <w:pPr>
              <w:pStyle w:val="Tabletext"/>
              <w:jc w:val="center"/>
              <w:rPr>
                <w:b/>
                <w:bCs/>
                <w:sz w:val="18"/>
                <w:szCs w:val="24"/>
              </w:rPr>
            </w:pPr>
            <w:r w:rsidRPr="00257D30">
              <w:rPr>
                <w:b/>
                <w:bCs/>
                <w:sz w:val="18"/>
                <w:szCs w:val="24"/>
              </w:rPr>
              <w:t>Parameters</w:t>
            </w:r>
            <w:r w:rsidR="002C10F5">
              <w:rPr>
                <w:b/>
                <w:bCs/>
                <w:sz w:val="18"/>
                <w:szCs w:val="24"/>
              </w:rPr>
              <w:br/>
            </w:r>
            <w:r w:rsidRPr="00257D30">
              <w:rPr>
                <w:b/>
                <w:bCs/>
                <w:sz w:val="18"/>
                <w:szCs w:val="24"/>
              </w:rPr>
              <w:t>to be tested</w:t>
            </w:r>
          </w:p>
        </w:tc>
        <w:tc>
          <w:tcPr>
            <w:tcW w:w="582" w:type="pct"/>
            <w:vMerge w:val="restart"/>
            <w:shd w:val="clear" w:color="auto" w:fill="auto"/>
          </w:tcPr>
          <w:p w:rsidR="00D0271F" w:rsidRPr="00D0271F" w:rsidRDefault="00D0271F" w:rsidP="002C10F5">
            <w:pPr>
              <w:pStyle w:val="Tabletext"/>
              <w:jc w:val="center"/>
              <w:rPr>
                <w:b/>
                <w:bCs/>
                <w:sz w:val="18"/>
                <w:szCs w:val="24"/>
                <w:lang w:val="fr-CH"/>
              </w:rPr>
            </w:pPr>
            <w:r w:rsidRPr="00D0271F">
              <w:rPr>
                <w:b/>
                <w:bCs/>
                <w:sz w:val="18"/>
                <w:szCs w:val="24"/>
                <w:lang w:val="fr-CH"/>
              </w:rPr>
              <w:t xml:space="preserve">Tests suites </w:t>
            </w:r>
            <w:proofErr w:type="spellStart"/>
            <w:r w:rsidRPr="00D0271F">
              <w:rPr>
                <w:b/>
                <w:bCs/>
                <w:sz w:val="18"/>
                <w:szCs w:val="24"/>
                <w:lang w:val="fr-CH"/>
              </w:rPr>
              <w:t>available</w:t>
            </w:r>
            <w:proofErr w:type="spellEnd"/>
            <w:r w:rsidRPr="00D0271F">
              <w:rPr>
                <w:b/>
                <w:bCs/>
                <w:sz w:val="18"/>
                <w:szCs w:val="24"/>
                <w:lang w:val="fr-CH"/>
              </w:rPr>
              <w:t xml:space="preserve"> in ITU-T </w:t>
            </w:r>
            <w:proofErr w:type="spellStart"/>
            <w:r w:rsidRPr="00D0271F">
              <w:rPr>
                <w:b/>
                <w:bCs/>
                <w:sz w:val="18"/>
                <w:szCs w:val="24"/>
                <w:lang w:val="fr-CH"/>
              </w:rPr>
              <w:t>Recs</w:t>
            </w:r>
            <w:proofErr w:type="spellEnd"/>
            <w:r w:rsidRPr="00D0271F">
              <w:rPr>
                <w:b/>
                <w:bCs/>
                <w:sz w:val="18"/>
                <w:szCs w:val="24"/>
                <w:lang w:val="fr-CH"/>
              </w:rPr>
              <w:t xml:space="preserve"> [Y/N]</w:t>
            </w:r>
          </w:p>
        </w:tc>
        <w:tc>
          <w:tcPr>
            <w:tcW w:w="655" w:type="pct"/>
            <w:vMerge w:val="restart"/>
            <w:shd w:val="clear" w:color="auto" w:fill="auto"/>
          </w:tcPr>
          <w:p w:rsidR="00D0271F" w:rsidRPr="00257D30" w:rsidRDefault="00D0271F" w:rsidP="002C10F5">
            <w:pPr>
              <w:pStyle w:val="Tabletext"/>
              <w:jc w:val="center"/>
              <w:rPr>
                <w:b/>
                <w:bCs/>
                <w:sz w:val="18"/>
                <w:szCs w:val="24"/>
              </w:rPr>
            </w:pPr>
            <w:r w:rsidRPr="00257D30">
              <w:rPr>
                <w:b/>
                <w:bCs/>
                <w:sz w:val="18"/>
                <w:szCs w:val="24"/>
              </w:rPr>
              <w:t xml:space="preserve">Tests suites available from </w:t>
            </w:r>
            <w:proofErr w:type="spellStart"/>
            <w:r w:rsidRPr="00257D30">
              <w:rPr>
                <w:b/>
                <w:bCs/>
                <w:sz w:val="18"/>
                <w:szCs w:val="24"/>
              </w:rPr>
              <w:t>SDOs</w:t>
            </w:r>
            <w:proofErr w:type="spellEnd"/>
            <w:r w:rsidRPr="00257D30">
              <w:rPr>
                <w:b/>
                <w:bCs/>
                <w:sz w:val="18"/>
                <w:szCs w:val="24"/>
              </w:rPr>
              <w:t xml:space="preserve"> / Forums / Labs [Y/N]</w:t>
            </w:r>
          </w:p>
        </w:tc>
        <w:tc>
          <w:tcPr>
            <w:tcW w:w="785" w:type="pct"/>
            <w:vMerge w:val="restart"/>
          </w:tcPr>
          <w:p w:rsidR="00D0271F" w:rsidRPr="00257D30" w:rsidRDefault="00D0271F" w:rsidP="002C10F5">
            <w:pPr>
              <w:pStyle w:val="Tabletext"/>
              <w:jc w:val="center"/>
              <w:rPr>
                <w:b/>
                <w:bCs/>
                <w:sz w:val="18"/>
              </w:rPr>
            </w:pPr>
            <w:r w:rsidRPr="00257D30">
              <w:rPr>
                <w:b/>
                <w:bCs/>
                <w:sz w:val="18"/>
              </w:rPr>
              <w:t>Reference to the applicable Test Suite</w:t>
            </w:r>
          </w:p>
          <w:p w:rsidR="00D0271F" w:rsidRPr="00257D30" w:rsidRDefault="00D0271F" w:rsidP="002C10F5">
            <w:pPr>
              <w:pStyle w:val="Tabletext"/>
              <w:jc w:val="center"/>
              <w:rPr>
                <w:b/>
                <w:bCs/>
                <w:sz w:val="18"/>
                <w:szCs w:val="18"/>
              </w:rPr>
            </w:pPr>
            <w:r w:rsidRPr="00257D30">
              <w:rPr>
                <w:sz w:val="18"/>
                <w:szCs w:val="18"/>
              </w:rPr>
              <w:t xml:space="preserve">(existing ITU-T Recs. and/or other </w:t>
            </w:r>
            <w:proofErr w:type="spellStart"/>
            <w:r w:rsidRPr="00257D30">
              <w:rPr>
                <w:sz w:val="18"/>
                <w:szCs w:val="18"/>
              </w:rPr>
              <w:t>SDOs</w:t>
            </w:r>
            <w:proofErr w:type="spellEnd"/>
            <w:r w:rsidRPr="00257D30">
              <w:rPr>
                <w:sz w:val="18"/>
                <w:szCs w:val="18"/>
              </w:rPr>
              <w:t xml:space="preserve"> / Forums)</w:t>
            </w:r>
          </w:p>
        </w:tc>
        <w:tc>
          <w:tcPr>
            <w:tcW w:w="797" w:type="pct"/>
            <w:vMerge w:val="restart"/>
          </w:tcPr>
          <w:p w:rsidR="00D0271F" w:rsidRPr="00257D30" w:rsidRDefault="00D0271F" w:rsidP="002C10F5">
            <w:pPr>
              <w:pStyle w:val="Tabletext"/>
              <w:jc w:val="center"/>
              <w:rPr>
                <w:b/>
                <w:bCs/>
                <w:sz w:val="18"/>
                <w:szCs w:val="24"/>
              </w:rPr>
            </w:pPr>
            <w:r w:rsidRPr="00257D30">
              <w:rPr>
                <w:b/>
                <w:bCs/>
                <w:sz w:val="18"/>
                <w:szCs w:val="24"/>
              </w:rPr>
              <w:t>Who studies additional / new test suites ITU/ Others</w:t>
            </w:r>
          </w:p>
        </w:tc>
      </w:tr>
      <w:tr w:rsidR="002C10F5" w:rsidRPr="00257D30" w:rsidTr="002C10F5">
        <w:trPr>
          <w:tblHeader/>
          <w:jc w:val="center"/>
        </w:trPr>
        <w:tc>
          <w:tcPr>
            <w:tcW w:w="520" w:type="pct"/>
            <w:vMerge/>
            <w:shd w:val="clear" w:color="auto" w:fill="auto"/>
            <w:vAlign w:val="center"/>
          </w:tcPr>
          <w:p w:rsidR="00D0271F" w:rsidRPr="00257D30" w:rsidRDefault="00D0271F" w:rsidP="00B1046A">
            <w:pPr>
              <w:pStyle w:val="Tabletext"/>
              <w:jc w:val="center"/>
              <w:rPr>
                <w:sz w:val="18"/>
                <w:szCs w:val="24"/>
              </w:rPr>
            </w:pPr>
          </w:p>
        </w:tc>
        <w:tc>
          <w:tcPr>
            <w:tcW w:w="556" w:type="pct"/>
            <w:shd w:val="clear" w:color="auto" w:fill="auto"/>
            <w:vAlign w:val="center"/>
          </w:tcPr>
          <w:p w:rsidR="00D0271F" w:rsidRPr="002C10F5" w:rsidRDefault="00D0271F" w:rsidP="00B1046A">
            <w:pPr>
              <w:pStyle w:val="Tablehead"/>
              <w:rPr>
                <w:sz w:val="14"/>
                <w:szCs w:val="14"/>
              </w:rPr>
            </w:pPr>
            <w:r w:rsidRPr="002C10F5">
              <w:rPr>
                <w:sz w:val="14"/>
                <w:szCs w:val="14"/>
              </w:rPr>
              <w:t>Conformity</w:t>
            </w:r>
            <w:r w:rsidRPr="002C10F5">
              <w:rPr>
                <w:sz w:val="14"/>
                <w:szCs w:val="14"/>
              </w:rPr>
              <w:br/>
              <w:t>(c)</w:t>
            </w:r>
          </w:p>
        </w:tc>
        <w:tc>
          <w:tcPr>
            <w:tcW w:w="524" w:type="pct"/>
            <w:shd w:val="clear" w:color="auto" w:fill="auto"/>
            <w:vAlign w:val="center"/>
          </w:tcPr>
          <w:p w:rsidR="00D0271F" w:rsidRPr="002C10F5" w:rsidRDefault="00D0271F" w:rsidP="002C10F5">
            <w:pPr>
              <w:pStyle w:val="Tablehead"/>
              <w:rPr>
                <w:sz w:val="14"/>
                <w:szCs w:val="14"/>
              </w:rPr>
            </w:pPr>
            <w:proofErr w:type="spellStart"/>
            <w:r w:rsidRPr="002C10F5">
              <w:rPr>
                <w:sz w:val="14"/>
                <w:szCs w:val="14"/>
              </w:rPr>
              <w:t>Interopera</w:t>
            </w:r>
            <w:r w:rsidR="002C10F5">
              <w:rPr>
                <w:sz w:val="14"/>
                <w:szCs w:val="14"/>
              </w:rPr>
              <w:t>b</w:t>
            </w:r>
            <w:proofErr w:type="spellEnd"/>
            <w:r w:rsidR="002C10F5">
              <w:rPr>
                <w:sz w:val="14"/>
                <w:szCs w:val="14"/>
              </w:rPr>
              <w:t>-</w:t>
            </w:r>
            <w:r w:rsidR="002C10F5">
              <w:rPr>
                <w:sz w:val="14"/>
                <w:szCs w:val="14"/>
              </w:rPr>
              <w:br/>
            </w:r>
            <w:proofErr w:type="spellStart"/>
            <w:r w:rsidRPr="002C10F5">
              <w:rPr>
                <w:sz w:val="14"/>
                <w:szCs w:val="14"/>
              </w:rPr>
              <w:t>ility</w:t>
            </w:r>
            <w:proofErr w:type="spellEnd"/>
            <w:r w:rsidRPr="002C10F5">
              <w:rPr>
                <w:sz w:val="14"/>
                <w:szCs w:val="14"/>
              </w:rPr>
              <w:br/>
              <w:t>(i)</w:t>
            </w:r>
          </w:p>
        </w:tc>
        <w:tc>
          <w:tcPr>
            <w:tcW w:w="582" w:type="pct"/>
            <w:vMerge/>
            <w:shd w:val="clear" w:color="auto" w:fill="auto"/>
            <w:vAlign w:val="center"/>
          </w:tcPr>
          <w:p w:rsidR="00D0271F" w:rsidRPr="00257D30" w:rsidRDefault="00D0271F" w:rsidP="00B1046A">
            <w:pPr>
              <w:pStyle w:val="Tabletext"/>
              <w:jc w:val="center"/>
              <w:rPr>
                <w:sz w:val="18"/>
                <w:szCs w:val="24"/>
              </w:rPr>
            </w:pPr>
          </w:p>
        </w:tc>
        <w:tc>
          <w:tcPr>
            <w:tcW w:w="582" w:type="pct"/>
            <w:vMerge/>
            <w:shd w:val="clear" w:color="auto" w:fill="auto"/>
            <w:vAlign w:val="center"/>
          </w:tcPr>
          <w:p w:rsidR="00D0271F" w:rsidRPr="00257D30" w:rsidRDefault="00D0271F" w:rsidP="00B1046A">
            <w:pPr>
              <w:pStyle w:val="Tabletext"/>
              <w:jc w:val="center"/>
              <w:rPr>
                <w:sz w:val="18"/>
                <w:szCs w:val="24"/>
              </w:rPr>
            </w:pPr>
          </w:p>
        </w:tc>
        <w:tc>
          <w:tcPr>
            <w:tcW w:w="655" w:type="pct"/>
            <w:vMerge/>
            <w:shd w:val="clear" w:color="auto" w:fill="auto"/>
            <w:vAlign w:val="center"/>
          </w:tcPr>
          <w:p w:rsidR="00D0271F" w:rsidRPr="00257D30" w:rsidRDefault="00D0271F" w:rsidP="00B1046A">
            <w:pPr>
              <w:pStyle w:val="Tabletext"/>
              <w:jc w:val="center"/>
              <w:rPr>
                <w:sz w:val="18"/>
                <w:szCs w:val="24"/>
              </w:rPr>
            </w:pPr>
          </w:p>
        </w:tc>
        <w:tc>
          <w:tcPr>
            <w:tcW w:w="785" w:type="pct"/>
            <w:vMerge/>
          </w:tcPr>
          <w:p w:rsidR="00D0271F" w:rsidRPr="00257D30" w:rsidRDefault="00D0271F" w:rsidP="00B1046A">
            <w:pPr>
              <w:pStyle w:val="Tabletext"/>
              <w:jc w:val="center"/>
              <w:rPr>
                <w:sz w:val="18"/>
                <w:szCs w:val="24"/>
              </w:rPr>
            </w:pPr>
          </w:p>
        </w:tc>
        <w:tc>
          <w:tcPr>
            <w:tcW w:w="797" w:type="pct"/>
            <w:vMerge/>
          </w:tcPr>
          <w:p w:rsidR="00D0271F" w:rsidRPr="00257D30" w:rsidRDefault="00D0271F" w:rsidP="00B1046A">
            <w:pPr>
              <w:pStyle w:val="Tabletext"/>
              <w:jc w:val="center"/>
              <w:rPr>
                <w:sz w:val="18"/>
                <w:szCs w:val="24"/>
              </w:rPr>
            </w:pPr>
          </w:p>
        </w:tc>
      </w:tr>
      <w:tr w:rsidR="002C10F5" w:rsidRPr="00257D30" w:rsidTr="002C10F5">
        <w:trPr>
          <w:jc w:val="center"/>
        </w:trPr>
        <w:tc>
          <w:tcPr>
            <w:tcW w:w="520" w:type="pct"/>
            <w:shd w:val="clear" w:color="auto" w:fill="auto"/>
          </w:tcPr>
          <w:p w:rsidR="00D0271F" w:rsidRPr="00257D30" w:rsidRDefault="00D0271F" w:rsidP="00B1046A">
            <w:pPr>
              <w:pStyle w:val="Tabletext"/>
              <w:rPr>
                <w:sz w:val="18"/>
                <w:szCs w:val="24"/>
              </w:rPr>
            </w:pPr>
            <w:r w:rsidRPr="00257D30">
              <w:rPr>
                <w:sz w:val="18"/>
                <w:szCs w:val="24"/>
              </w:rPr>
              <w:t>H.323 systems (Note 2)</w:t>
            </w:r>
          </w:p>
        </w:tc>
        <w:tc>
          <w:tcPr>
            <w:tcW w:w="556" w:type="pct"/>
            <w:shd w:val="clear" w:color="auto" w:fill="auto"/>
          </w:tcPr>
          <w:p w:rsidR="00D0271F" w:rsidRPr="00257D30" w:rsidRDefault="00D0271F" w:rsidP="00B1046A">
            <w:pPr>
              <w:jc w:val="center"/>
              <w:rPr>
                <w:sz w:val="18"/>
              </w:rPr>
            </w:pPr>
            <w:r w:rsidRPr="00257D30">
              <w:rPr>
                <w:sz w:val="18"/>
              </w:rPr>
              <w:t>Y</w:t>
            </w:r>
          </w:p>
        </w:tc>
        <w:tc>
          <w:tcPr>
            <w:tcW w:w="524" w:type="pct"/>
            <w:shd w:val="clear" w:color="auto" w:fill="auto"/>
          </w:tcPr>
          <w:p w:rsidR="00D0271F" w:rsidRPr="00257D30" w:rsidRDefault="00D0271F" w:rsidP="00B1046A">
            <w:pPr>
              <w:jc w:val="center"/>
              <w:rPr>
                <w:sz w:val="18"/>
              </w:rPr>
            </w:pPr>
            <w:r w:rsidRPr="00257D30">
              <w:rPr>
                <w:sz w:val="18"/>
              </w:rPr>
              <w:t>Y</w:t>
            </w:r>
          </w:p>
        </w:tc>
        <w:tc>
          <w:tcPr>
            <w:tcW w:w="582" w:type="pct"/>
            <w:shd w:val="clear" w:color="auto" w:fill="auto"/>
          </w:tcPr>
          <w:p w:rsidR="00D0271F" w:rsidRPr="00257D30" w:rsidRDefault="00D0271F" w:rsidP="00B1046A">
            <w:pPr>
              <w:pStyle w:val="Tabletext"/>
              <w:jc w:val="center"/>
              <w:rPr>
                <w:sz w:val="18"/>
                <w:szCs w:val="24"/>
              </w:rPr>
            </w:pPr>
          </w:p>
        </w:tc>
        <w:tc>
          <w:tcPr>
            <w:tcW w:w="582" w:type="pct"/>
            <w:shd w:val="clear" w:color="auto" w:fill="auto"/>
          </w:tcPr>
          <w:p w:rsidR="00D0271F" w:rsidRPr="00257D30" w:rsidRDefault="00D0271F" w:rsidP="00B1046A">
            <w:pPr>
              <w:jc w:val="center"/>
              <w:rPr>
                <w:sz w:val="18"/>
              </w:rPr>
            </w:pPr>
            <w:r w:rsidRPr="00257D30">
              <w:rPr>
                <w:sz w:val="18"/>
              </w:rPr>
              <w:t>N</w:t>
            </w:r>
          </w:p>
        </w:tc>
        <w:tc>
          <w:tcPr>
            <w:tcW w:w="655" w:type="pct"/>
            <w:shd w:val="clear" w:color="auto" w:fill="auto"/>
          </w:tcPr>
          <w:p w:rsidR="00D0271F" w:rsidRPr="00257D30" w:rsidRDefault="00D0271F" w:rsidP="00B1046A">
            <w:pPr>
              <w:pStyle w:val="Tabletext"/>
              <w:jc w:val="center"/>
              <w:rPr>
                <w:sz w:val="18"/>
                <w:szCs w:val="24"/>
              </w:rPr>
            </w:pPr>
          </w:p>
        </w:tc>
        <w:tc>
          <w:tcPr>
            <w:tcW w:w="785" w:type="pct"/>
          </w:tcPr>
          <w:p w:rsidR="00D0271F" w:rsidRPr="00257D30" w:rsidRDefault="00D0271F" w:rsidP="00B1046A">
            <w:pPr>
              <w:pStyle w:val="Tabletext"/>
              <w:jc w:val="center"/>
              <w:rPr>
                <w:sz w:val="18"/>
                <w:szCs w:val="24"/>
              </w:rPr>
            </w:pPr>
            <w:proofErr w:type="spellStart"/>
            <w:r w:rsidRPr="00257D30">
              <w:rPr>
                <w:sz w:val="18"/>
                <w:szCs w:val="24"/>
              </w:rPr>
              <w:t>ETSI</w:t>
            </w:r>
            <w:proofErr w:type="spellEnd"/>
            <w:r w:rsidRPr="00257D30">
              <w:rPr>
                <w:color w:val="FF0000"/>
                <w:sz w:val="18"/>
                <w:szCs w:val="24"/>
                <w:u w:val="single"/>
              </w:rPr>
              <w:t xml:space="preserve">, </w:t>
            </w:r>
            <w:proofErr w:type="spellStart"/>
            <w:r w:rsidRPr="00257D30">
              <w:rPr>
                <w:color w:val="FF0000"/>
                <w:sz w:val="18"/>
                <w:szCs w:val="24"/>
                <w:u w:val="single"/>
              </w:rPr>
              <w:t>IMTC</w:t>
            </w:r>
            <w:proofErr w:type="spellEnd"/>
          </w:p>
        </w:tc>
        <w:tc>
          <w:tcPr>
            <w:tcW w:w="797" w:type="pct"/>
          </w:tcPr>
          <w:p w:rsidR="00D0271F" w:rsidRPr="00257D30" w:rsidRDefault="00D0271F" w:rsidP="00B1046A">
            <w:pPr>
              <w:jc w:val="center"/>
              <w:rPr>
                <w:sz w:val="18"/>
              </w:rPr>
            </w:pPr>
            <w:r w:rsidRPr="00257D30">
              <w:rPr>
                <w:strike/>
                <w:color w:val="FF0000"/>
                <w:sz w:val="18"/>
              </w:rPr>
              <w:t>N [specify]</w:t>
            </w:r>
            <w:r w:rsidRPr="00257D30">
              <w:rPr>
                <w:color w:val="FF0000"/>
                <w:sz w:val="18"/>
                <w:u w:val="single"/>
              </w:rPr>
              <w:t xml:space="preserve"> </w:t>
            </w:r>
            <w:proofErr w:type="spellStart"/>
            <w:r w:rsidRPr="00257D30">
              <w:rPr>
                <w:color w:val="FF0000"/>
                <w:sz w:val="18"/>
                <w:u w:val="single"/>
              </w:rPr>
              <w:t>IMTC</w:t>
            </w:r>
            <w:proofErr w:type="spellEnd"/>
          </w:p>
        </w:tc>
      </w:tr>
    </w:tbl>
    <w:p w:rsidR="00D0271F" w:rsidRDefault="00D0271F" w:rsidP="006D3B28">
      <w:pPr>
        <w:jc w:val="center"/>
      </w:pPr>
      <w:r w:rsidRPr="00257D30">
        <w:t>_______</w:t>
      </w:r>
      <w:r>
        <w:t>_______</w:t>
      </w:r>
      <w:r w:rsidRPr="00257D30">
        <w:t>__</w:t>
      </w:r>
    </w:p>
    <w:sectPr w:rsidR="00D0271F" w:rsidSect="006D3B28">
      <w:headerReference w:type="default" r:id="rId7"/>
      <w:footerReference w:type="first" r:id="rId8"/>
      <w:pgSz w:w="11906" w:h="16838"/>
      <w:pgMar w:top="1417" w:right="1134" w:bottom="141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71F" w:rsidRDefault="00D0271F" w:rsidP="00D0271F">
      <w:pPr>
        <w:spacing w:before="0"/>
      </w:pPr>
      <w:r>
        <w:separator/>
      </w:r>
    </w:p>
  </w:endnote>
  <w:endnote w:type="continuationSeparator" w:id="0">
    <w:p w:rsidR="00D0271F" w:rsidRDefault="00D0271F" w:rsidP="00D0271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6D3B28" w:rsidRPr="006D3B28">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6D3B28" w:rsidRPr="006D3B28" w:rsidRDefault="006D3B28" w:rsidP="006D3B28">
          <w:pPr>
            <w:spacing w:before="0"/>
            <w:rPr>
              <w:sz w:val="18"/>
            </w:rPr>
          </w:pPr>
          <w:r w:rsidRPr="006D3B28">
            <w:rPr>
              <w:b/>
              <w:bCs/>
              <w:sz w:val="18"/>
            </w:rPr>
            <w:t>Attention:</w:t>
          </w:r>
          <w:r w:rsidRPr="006D3B28">
            <w:rPr>
              <w:sz w:val="18"/>
            </w:rPr>
            <w:t xml:space="preserve"> This is not a publication made available to the public, but </w:t>
          </w:r>
          <w:r w:rsidRPr="006D3B28">
            <w:rPr>
              <w:b/>
              <w:bCs/>
              <w:sz w:val="18"/>
            </w:rPr>
            <w:t>an internal ITU-T Document</w:t>
          </w:r>
          <w:r w:rsidRPr="006D3B28">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6D3B28" w:rsidRPr="006D3B28" w:rsidRDefault="006D3B28" w:rsidP="006D3B28">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71F" w:rsidRDefault="00D0271F" w:rsidP="00D0271F">
      <w:pPr>
        <w:spacing w:before="0"/>
      </w:pPr>
      <w:r>
        <w:separator/>
      </w:r>
    </w:p>
  </w:footnote>
  <w:footnote w:type="continuationSeparator" w:id="0">
    <w:p w:rsidR="00D0271F" w:rsidRDefault="00D0271F" w:rsidP="00D0271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71F" w:rsidRPr="006D3B28" w:rsidRDefault="006D3B28" w:rsidP="006D3B28">
    <w:pPr>
      <w:pStyle w:val="Header"/>
      <w:jc w:val="center"/>
      <w:rPr>
        <w:sz w:val="18"/>
      </w:rPr>
    </w:pPr>
    <w:r w:rsidRPr="006D3B28">
      <w:rPr>
        <w:sz w:val="18"/>
      </w:rPr>
      <w:t xml:space="preserve">- </w:t>
    </w:r>
    <w:r w:rsidRPr="006D3B28">
      <w:rPr>
        <w:sz w:val="18"/>
      </w:rPr>
      <w:fldChar w:fldCharType="begin"/>
    </w:r>
    <w:r w:rsidRPr="006D3B28">
      <w:rPr>
        <w:sz w:val="18"/>
      </w:rPr>
      <w:instrText xml:space="preserve"> PAGE  \* MERGEFORMAT </w:instrText>
    </w:r>
    <w:r w:rsidRPr="006D3B28">
      <w:rPr>
        <w:sz w:val="18"/>
      </w:rPr>
      <w:fldChar w:fldCharType="separate"/>
    </w:r>
    <w:r>
      <w:rPr>
        <w:noProof/>
        <w:sz w:val="18"/>
      </w:rPr>
      <w:t>2</w:t>
    </w:r>
    <w:r w:rsidRPr="006D3B28">
      <w:rPr>
        <w:sz w:val="18"/>
      </w:rPr>
      <w:fldChar w:fldCharType="end"/>
    </w:r>
    <w:r w:rsidRPr="006D3B28">
      <w:rPr>
        <w:sz w:val="18"/>
      </w:rPr>
      <w:t xml:space="preserve"> -</w:t>
    </w:r>
  </w:p>
  <w:p w:rsidR="006D3B28" w:rsidRPr="006D3B28" w:rsidRDefault="006D3B28" w:rsidP="006D3B28">
    <w:pPr>
      <w:pStyle w:val="Header"/>
      <w:spacing w:after="240"/>
      <w:jc w:val="center"/>
      <w:rPr>
        <w:sz w:val="18"/>
      </w:rPr>
    </w:pPr>
    <w:r w:rsidRPr="006D3B28">
      <w:rPr>
        <w:sz w:val="18"/>
      </w:rPr>
      <w:fldChar w:fldCharType="begin"/>
    </w:r>
    <w:r w:rsidRPr="006D3B28">
      <w:rPr>
        <w:sz w:val="18"/>
      </w:rPr>
      <w:instrText xml:space="preserve"> STYLEREF  Docnumber  </w:instrText>
    </w:r>
    <w:r w:rsidRPr="006D3B28">
      <w:rPr>
        <w:sz w:val="18"/>
      </w:rPr>
      <w:fldChar w:fldCharType="separate"/>
    </w:r>
    <w:r>
      <w:rPr>
        <w:b/>
        <w:bCs/>
        <w:noProof/>
        <w:sz w:val="18"/>
        <w:lang w:val="en-US"/>
      </w:rPr>
      <w:t>Error! No text of specified style in document.</w:t>
    </w:r>
    <w:r w:rsidRPr="006D3B28">
      <w:rP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71F"/>
    <w:rsid w:val="00021E21"/>
    <w:rsid w:val="002C10F5"/>
    <w:rsid w:val="002E6B19"/>
    <w:rsid w:val="005D2409"/>
    <w:rsid w:val="006B06B3"/>
    <w:rsid w:val="006D3B28"/>
    <w:rsid w:val="007C0411"/>
    <w:rsid w:val="0086790E"/>
    <w:rsid w:val="00B70F0C"/>
    <w:rsid w:val="00D0271F"/>
    <w:rsid w:val="00D839AF"/>
    <w:rsid w:val="00F42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1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_head"/>
    <w:basedOn w:val="Normal"/>
    <w:next w:val="Normal"/>
    <w:link w:val="TableheadChar"/>
    <w:rsid w:val="00D027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D027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LSDeadline">
    <w:name w:val="LSDeadline"/>
    <w:basedOn w:val="Normal"/>
    <w:uiPriority w:val="99"/>
    <w:rsid w:val="00D0271F"/>
    <w:rPr>
      <w:b/>
      <w:bCs/>
    </w:rPr>
  </w:style>
  <w:style w:type="paragraph" w:customStyle="1" w:styleId="LSForAction">
    <w:name w:val="LSForAction"/>
    <w:basedOn w:val="Normal"/>
    <w:uiPriority w:val="99"/>
    <w:rsid w:val="00D0271F"/>
    <w:rPr>
      <w:b/>
      <w:bCs/>
    </w:rPr>
  </w:style>
  <w:style w:type="paragraph" w:customStyle="1" w:styleId="LSSource">
    <w:name w:val="LSSource"/>
    <w:basedOn w:val="Normal"/>
    <w:uiPriority w:val="99"/>
    <w:rsid w:val="00D0271F"/>
    <w:rPr>
      <w:b/>
      <w:bCs/>
    </w:rPr>
  </w:style>
  <w:style w:type="paragraph" w:customStyle="1" w:styleId="LSTitle">
    <w:name w:val="LSTitle"/>
    <w:basedOn w:val="Normal"/>
    <w:link w:val="LSTitleChar"/>
    <w:uiPriority w:val="99"/>
    <w:rsid w:val="00D0271F"/>
    <w:rPr>
      <w:b/>
      <w:bCs/>
    </w:rPr>
  </w:style>
  <w:style w:type="paragraph" w:customStyle="1" w:styleId="LSForInfo">
    <w:name w:val="LSForInfo"/>
    <w:basedOn w:val="LSForAction"/>
    <w:uiPriority w:val="99"/>
    <w:rsid w:val="00D0271F"/>
  </w:style>
  <w:style w:type="paragraph" w:customStyle="1" w:styleId="LSForComment">
    <w:name w:val="LSForComment"/>
    <w:basedOn w:val="LSForAction"/>
    <w:uiPriority w:val="99"/>
    <w:rsid w:val="00D0271F"/>
  </w:style>
  <w:style w:type="character" w:styleId="Hyperlink">
    <w:name w:val="Hyperlink"/>
    <w:aliases w:val="超级链接"/>
    <w:uiPriority w:val="99"/>
    <w:rsid w:val="00D0271F"/>
    <w:rPr>
      <w:color w:val="0000FF"/>
      <w:u w:val="single"/>
    </w:rPr>
  </w:style>
  <w:style w:type="character" w:customStyle="1" w:styleId="LSTitleChar">
    <w:name w:val="LSTitle Char"/>
    <w:link w:val="LSTitle"/>
    <w:uiPriority w:val="99"/>
    <w:rsid w:val="00D0271F"/>
    <w:rPr>
      <w:rFonts w:ascii="Times New Roman" w:hAnsi="Times New Roman" w:cs="Times New Roman"/>
      <w:b/>
      <w:bCs/>
      <w:sz w:val="24"/>
      <w:szCs w:val="20"/>
      <w:lang w:val="en-GB" w:eastAsia="en-US"/>
    </w:rPr>
  </w:style>
  <w:style w:type="character" w:customStyle="1" w:styleId="TabletextChar">
    <w:name w:val="Table_text Char"/>
    <w:link w:val="Tabletext"/>
    <w:locked/>
    <w:rsid w:val="00D0271F"/>
    <w:rPr>
      <w:rFonts w:ascii="Times New Roman" w:hAnsi="Times New Roman" w:cs="Times New Roman"/>
      <w:szCs w:val="20"/>
      <w:lang w:val="en-GB" w:eastAsia="en-US"/>
    </w:rPr>
  </w:style>
  <w:style w:type="paragraph" w:customStyle="1" w:styleId="LSnumber">
    <w:name w:val="LSnumber"/>
    <w:basedOn w:val="Normal"/>
    <w:rsid w:val="00D0271F"/>
    <w:pPr>
      <w:jc w:val="right"/>
    </w:pPr>
    <w:rPr>
      <w:b/>
      <w:bCs/>
      <w:sz w:val="32"/>
      <w:szCs w:val="32"/>
      <w:lang w:eastAsia="ja-JP"/>
    </w:rPr>
  </w:style>
  <w:style w:type="character" w:customStyle="1" w:styleId="TableheadChar">
    <w:name w:val="Table_head Char"/>
    <w:link w:val="Tablehead"/>
    <w:rsid w:val="00D0271F"/>
    <w:rPr>
      <w:rFonts w:ascii="Times New Roman" w:hAnsi="Times New Roman" w:cs="Times New Roman"/>
      <w:b/>
      <w:szCs w:val="20"/>
      <w:lang w:val="en-GB" w:eastAsia="en-US"/>
    </w:rPr>
  </w:style>
  <w:style w:type="paragraph" w:styleId="Header">
    <w:name w:val="header"/>
    <w:basedOn w:val="Normal"/>
    <w:link w:val="HeaderChar"/>
    <w:uiPriority w:val="99"/>
    <w:unhideWhenUsed/>
    <w:rsid w:val="00D0271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D0271F"/>
    <w:rPr>
      <w:rFonts w:ascii="Times New Roman" w:hAnsi="Times New Roman" w:cs="Times New Roman"/>
      <w:sz w:val="24"/>
      <w:szCs w:val="20"/>
      <w:lang w:val="en-GB" w:eastAsia="en-US"/>
    </w:rPr>
  </w:style>
  <w:style w:type="paragraph" w:styleId="Footer">
    <w:name w:val="footer"/>
    <w:basedOn w:val="Normal"/>
    <w:link w:val="FooterChar"/>
    <w:uiPriority w:val="99"/>
    <w:unhideWhenUsed/>
    <w:rsid w:val="00D0271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D0271F"/>
    <w:rPr>
      <w:rFonts w:ascii="Times New Roman" w:hAnsi="Times New Roman" w:cs="Times New Roman"/>
      <w:sz w:val="24"/>
      <w:szCs w:val="20"/>
      <w:lang w:val="en-GB" w:eastAsia="en-US"/>
    </w:rPr>
  </w:style>
  <w:style w:type="paragraph" w:customStyle="1" w:styleId="Docnumber">
    <w:name w:val="Docnumber"/>
    <w:basedOn w:val="Normal"/>
    <w:link w:val="DocnumberChar"/>
    <w:rsid w:val="00D0271F"/>
    <w:pPr>
      <w:jc w:val="right"/>
    </w:pPr>
    <w:rPr>
      <w:b/>
    </w:rPr>
  </w:style>
  <w:style w:type="character" w:customStyle="1" w:styleId="DocnumberChar">
    <w:name w:val="Docnumber Char"/>
    <w:basedOn w:val="DefaultParagraphFont"/>
    <w:link w:val="Docnumber"/>
    <w:rsid w:val="00D0271F"/>
    <w:rPr>
      <w:rFonts w:ascii="Times New Roman" w:hAnsi="Times New Roman" w:cs="Times New Roman"/>
      <w:b/>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1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_head"/>
    <w:basedOn w:val="Normal"/>
    <w:next w:val="Normal"/>
    <w:link w:val="TableheadChar"/>
    <w:rsid w:val="00D0271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D027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LSDeadline">
    <w:name w:val="LSDeadline"/>
    <w:basedOn w:val="Normal"/>
    <w:uiPriority w:val="99"/>
    <w:rsid w:val="00D0271F"/>
    <w:rPr>
      <w:b/>
      <w:bCs/>
    </w:rPr>
  </w:style>
  <w:style w:type="paragraph" w:customStyle="1" w:styleId="LSForAction">
    <w:name w:val="LSForAction"/>
    <w:basedOn w:val="Normal"/>
    <w:uiPriority w:val="99"/>
    <w:rsid w:val="00D0271F"/>
    <w:rPr>
      <w:b/>
      <w:bCs/>
    </w:rPr>
  </w:style>
  <w:style w:type="paragraph" w:customStyle="1" w:styleId="LSSource">
    <w:name w:val="LSSource"/>
    <w:basedOn w:val="Normal"/>
    <w:uiPriority w:val="99"/>
    <w:rsid w:val="00D0271F"/>
    <w:rPr>
      <w:b/>
      <w:bCs/>
    </w:rPr>
  </w:style>
  <w:style w:type="paragraph" w:customStyle="1" w:styleId="LSTitle">
    <w:name w:val="LSTitle"/>
    <w:basedOn w:val="Normal"/>
    <w:link w:val="LSTitleChar"/>
    <w:uiPriority w:val="99"/>
    <w:rsid w:val="00D0271F"/>
    <w:rPr>
      <w:b/>
      <w:bCs/>
    </w:rPr>
  </w:style>
  <w:style w:type="paragraph" w:customStyle="1" w:styleId="LSForInfo">
    <w:name w:val="LSForInfo"/>
    <w:basedOn w:val="LSForAction"/>
    <w:uiPriority w:val="99"/>
    <w:rsid w:val="00D0271F"/>
  </w:style>
  <w:style w:type="paragraph" w:customStyle="1" w:styleId="LSForComment">
    <w:name w:val="LSForComment"/>
    <w:basedOn w:val="LSForAction"/>
    <w:uiPriority w:val="99"/>
    <w:rsid w:val="00D0271F"/>
  </w:style>
  <w:style w:type="character" w:styleId="Hyperlink">
    <w:name w:val="Hyperlink"/>
    <w:aliases w:val="超级链接"/>
    <w:uiPriority w:val="99"/>
    <w:rsid w:val="00D0271F"/>
    <w:rPr>
      <w:color w:val="0000FF"/>
      <w:u w:val="single"/>
    </w:rPr>
  </w:style>
  <w:style w:type="character" w:customStyle="1" w:styleId="LSTitleChar">
    <w:name w:val="LSTitle Char"/>
    <w:link w:val="LSTitle"/>
    <w:uiPriority w:val="99"/>
    <w:rsid w:val="00D0271F"/>
    <w:rPr>
      <w:rFonts w:ascii="Times New Roman" w:hAnsi="Times New Roman" w:cs="Times New Roman"/>
      <w:b/>
      <w:bCs/>
      <w:sz w:val="24"/>
      <w:szCs w:val="20"/>
      <w:lang w:val="en-GB" w:eastAsia="en-US"/>
    </w:rPr>
  </w:style>
  <w:style w:type="character" w:customStyle="1" w:styleId="TabletextChar">
    <w:name w:val="Table_text Char"/>
    <w:link w:val="Tabletext"/>
    <w:locked/>
    <w:rsid w:val="00D0271F"/>
    <w:rPr>
      <w:rFonts w:ascii="Times New Roman" w:hAnsi="Times New Roman" w:cs="Times New Roman"/>
      <w:szCs w:val="20"/>
      <w:lang w:val="en-GB" w:eastAsia="en-US"/>
    </w:rPr>
  </w:style>
  <w:style w:type="paragraph" w:customStyle="1" w:styleId="LSnumber">
    <w:name w:val="LSnumber"/>
    <w:basedOn w:val="Normal"/>
    <w:rsid w:val="00D0271F"/>
    <w:pPr>
      <w:jc w:val="right"/>
    </w:pPr>
    <w:rPr>
      <w:b/>
      <w:bCs/>
      <w:sz w:val="32"/>
      <w:szCs w:val="32"/>
      <w:lang w:eastAsia="ja-JP"/>
    </w:rPr>
  </w:style>
  <w:style w:type="character" w:customStyle="1" w:styleId="TableheadChar">
    <w:name w:val="Table_head Char"/>
    <w:link w:val="Tablehead"/>
    <w:rsid w:val="00D0271F"/>
    <w:rPr>
      <w:rFonts w:ascii="Times New Roman" w:hAnsi="Times New Roman" w:cs="Times New Roman"/>
      <w:b/>
      <w:szCs w:val="20"/>
      <w:lang w:val="en-GB" w:eastAsia="en-US"/>
    </w:rPr>
  </w:style>
  <w:style w:type="paragraph" w:styleId="Header">
    <w:name w:val="header"/>
    <w:basedOn w:val="Normal"/>
    <w:link w:val="HeaderChar"/>
    <w:uiPriority w:val="99"/>
    <w:unhideWhenUsed/>
    <w:rsid w:val="00D0271F"/>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D0271F"/>
    <w:rPr>
      <w:rFonts w:ascii="Times New Roman" w:hAnsi="Times New Roman" w:cs="Times New Roman"/>
      <w:sz w:val="24"/>
      <w:szCs w:val="20"/>
      <w:lang w:val="en-GB" w:eastAsia="en-US"/>
    </w:rPr>
  </w:style>
  <w:style w:type="paragraph" w:styleId="Footer">
    <w:name w:val="footer"/>
    <w:basedOn w:val="Normal"/>
    <w:link w:val="FooterChar"/>
    <w:uiPriority w:val="99"/>
    <w:unhideWhenUsed/>
    <w:rsid w:val="00D0271F"/>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D0271F"/>
    <w:rPr>
      <w:rFonts w:ascii="Times New Roman" w:hAnsi="Times New Roman" w:cs="Times New Roman"/>
      <w:sz w:val="24"/>
      <w:szCs w:val="20"/>
      <w:lang w:val="en-GB" w:eastAsia="en-US"/>
    </w:rPr>
  </w:style>
  <w:style w:type="paragraph" w:customStyle="1" w:styleId="Docnumber">
    <w:name w:val="Docnumber"/>
    <w:basedOn w:val="Normal"/>
    <w:link w:val="DocnumberChar"/>
    <w:rsid w:val="00D0271F"/>
    <w:pPr>
      <w:jc w:val="right"/>
    </w:pPr>
    <w:rPr>
      <w:b/>
    </w:rPr>
  </w:style>
  <w:style w:type="character" w:customStyle="1" w:styleId="DocnumberChar">
    <w:name w:val="Docnumber Char"/>
    <w:basedOn w:val="DefaultParagraphFont"/>
    <w:link w:val="Docnumber"/>
    <w:rsid w:val="00D0271F"/>
    <w:rPr>
      <w:rFonts w:ascii="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BC229B-5316-4DB8-8597-469B8358DCE0}"/>
</file>

<file path=customXml/itemProps2.xml><?xml version="1.0" encoding="utf-8"?>
<ds:datastoreItem xmlns:ds="http://schemas.openxmlformats.org/officeDocument/2006/customXml" ds:itemID="{3A47D667-B24B-4D48-8626-2C1E39829760}"/>
</file>

<file path=customXml/itemProps3.xml><?xml version="1.0" encoding="utf-8"?>
<ds:datastoreItem xmlns:ds="http://schemas.openxmlformats.org/officeDocument/2006/customXml" ds:itemID="{05183112-E21A-40F4-8BDE-23C76630100A}"/>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1589</Characters>
  <Application>Microsoft Office Word</Application>
  <DocSecurity>0</DocSecurity>
  <Lines>105</Lines>
  <Paragraphs>58</Paragraphs>
  <ScaleCrop>false</ScaleCrop>
  <HeadingPairs>
    <vt:vector size="2" baseType="variant">
      <vt:variant>
        <vt:lpstr>Title</vt:lpstr>
      </vt:variant>
      <vt:variant>
        <vt:i4>1</vt:i4>
      </vt:variant>
    </vt:vector>
  </HeadingPairs>
  <TitlesOfParts>
    <vt:vector size="1" baseType="lpstr">
      <vt:lpstr>LS/r on request to all Study Groups to update the reference table of ITU-T Recommendations to be tested for conformity/interoperability, parameters and available test suites (COM11-LS-10) [to ITU-T SG11]</vt:lpstr>
    </vt:vector>
  </TitlesOfParts>
  <Manager>ITU-T</Manager>
  <Company>International Telecommunication Union (ITU)</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request to all Study Groups to update the reference table of ITU-T Recommendations to be tested for conformity/interoperability, parameters and available test suites (COM11-LS-10) [to ITU-T SG11]</dc:title>
  <dc:creator>ITU-T SG16</dc:creator>
  <cp:keywords>2/16</cp:keywords>
  <dc:description>TD 24  For: _x000d_Document date: _x000d_Saved by RC-51004269 at 16:58:30 on 11/11/2013</dc:description>
  <cp:lastModifiedBy>RC</cp:lastModifiedBy>
  <cp:revision>3</cp:revision>
  <cp:lastPrinted>2013-11-11T13:23:00Z</cp:lastPrinted>
  <dcterms:created xsi:type="dcterms:W3CDTF">2013-11-11T15:58:00Z</dcterms:created>
  <dcterms:modified xsi:type="dcterms:W3CDTF">2013-11-11T15:59:00Z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24</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2/16</vt:lpwstr>
  </property>
  <property fmtid="{D5CDD505-2E9C-101B-9397-08002B2CF9AE}" pid="6" name="Docdest">
    <vt:lpwstr/>
  </property>
  <property fmtid="{D5CDD505-2E9C-101B-9397-08002B2CF9AE}" pid="7" name="Docauthor">
    <vt:lpwstr>ITU-T SG16</vt:lpwstr>
  </property>
  <property fmtid="{D5CDD505-2E9C-101B-9397-08002B2CF9AE}" pid="8" name="ContentTypeId">
    <vt:lpwstr>0x01010034F32BEF0DA7B04A99FC62794E3E9539</vt:lpwstr>
  </property>
</Properties>
</file>