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567"/>
        <w:gridCol w:w="2673"/>
        <w:gridCol w:w="1154"/>
        <w:gridCol w:w="3912"/>
      </w:tblGrid>
      <w:tr w:rsidR="00C63B9B" w:rsidRPr="00BF56AC" w:rsidTr="00D8220A">
        <w:trPr>
          <w:cantSplit/>
        </w:trPr>
        <w:tc>
          <w:tcPr>
            <w:tcW w:w="4857" w:type="dxa"/>
            <w:gridSpan w:val="3"/>
          </w:tcPr>
          <w:p w:rsidR="00C63B9B" w:rsidRPr="00BF56AC" w:rsidRDefault="00C63B9B" w:rsidP="00D8220A">
            <w:pPr>
              <w:rPr>
                <w:sz w:val="20"/>
              </w:rPr>
            </w:pPr>
            <w:r w:rsidRPr="00BF56AC">
              <w:rPr>
                <w:sz w:val="20"/>
              </w:rPr>
              <w:t>INTERNATIONAL TELECOMMUNICATION UNION</w:t>
            </w:r>
          </w:p>
        </w:tc>
        <w:tc>
          <w:tcPr>
            <w:tcW w:w="5066" w:type="dxa"/>
            <w:gridSpan w:val="2"/>
          </w:tcPr>
          <w:p w:rsidR="00C63B9B" w:rsidRPr="00BF56AC" w:rsidRDefault="00C63B9B" w:rsidP="00D8220A">
            <w:pPr>
              <w:ind w:right="170"/>
              <w:jc w:val="center"/>
              <w:rPr>
                <w:b/>
                <w:bCs/>
                <w:smallCaps/>
                <w:sz w:val="32"/>
              </w:rPr>
            </w:pPr>
            <w:r>
              <w:rPr>
                <w:rFonts w:hint="eastAsia"/>
                <w:b/>
                <w:bCs/>
                <w:smallCaps/>
                <w:sz w:val="32"/>
                <w:lang w:eastAsia="ko-KR"/>
              </w:rPr>
              <w:t>Cloud Computing</w:t>
            </w:r>
            <w:r>
              <w:rPr>
                <w:rFonts w:hint="eastAsia"/>
                <w:b/>
                <w:bCs/>
                <w:smallCaps/>
                <w:sz w:val="32"/>
                <w:lang w:eastAsia="ko-KR"/>
              </w:rPr>
              <w:br/>
            </w:r>
            <w:r w:rsidRPr="00BF56AC">
              <w:rPr>
                <w:b/>
                <w:bCs/>
                <w:smallCaps/>
                <w:sz w:val="32"/>
              </w:rPr>
              <w:t>‘joint coordination activity’</w:t>
            </w:r>
          </w:p>
        </w:tc>
      </w:tr>
      <w:tr w:rsidR="00C63B9B" w:rsidRPr="00BF56AC" w:rsidTr="00D8220A">
        <w:trPr>
          <w:cantSplit/>
          <w:trHeight w:val="461"/>
        </w:trPr>
        <w:tc>
          <w:tcPr>
            <w:tcW w:w="4857" w:type="dxa"/>
            <w:gridSpan w:val="3"/>
            <w:vMerge w:val="restart"/>
            <w:tcBorders>
              <w:bottom w:val="nil"/>
            </w:tcBorders>
          </w:tcPr>
          <w:p w:rsidR="00C63B9B" w:rsidRPr="00BF56AC" w:rsidRDefault="00C63B9B" w:rsidP="00D8220A">
            <w:pPr>
              <w:rPr>
                <w:b/>
                <w:bCs/>
                <w:sz w:val="26"/>
              </w:rPr>
            </w:pPr>
            <w:r w:rsidRPr="00BF56AC">
              <w:rPr>
                <w:b/>
                <w:bCs/>
                <w:sz w:val="26"/>
              </w:rPr>
              <w:t>TELECOMMUNICATION</w:t>
            </w:r>
            <w:r w:rsidRPr="00BF56AC">
              <w:rPr>
                <w:b/>
                <w:bCs/>
                <w:sz w:val="26"/>
              </w:rPr>
              <w:br/>
              <w:t>STANDARDIZATION SECTOR</w:t>
            </w:r>
          </w:p>
          <w:p w:rsidR="00C63B9B" w:rsidRPr="00BF56AC" w:rsidRDefault="00C63B9B" w:rsidP="00D8220A">
            <w:pPr>
              <w:rPr>
                <w:smallCaps/>
                <w:sz w:val="20"/>
                <w:lang w:eastAsia="ko-KR"/>
              </w:rPr>
            </w:pPr>
            <w:r w:rsidRPr="00BF56AC">
              <w:rPr>
                <w:sz w:val="20"/>
              </w:rPr>
              <w:t xml:space="preserve">STUDY PERIOD </w:t>
            </w:r>
            <w:r>
              <w:rPr>
                <w:sz w:val="20"/>
              </w:rPr>
              <w:t>2013-2016</w:t>
            </w:r>
          </w:p>
        </w:tc>
        <w:tc>
          <w:tcPr>
            <w:tcW w:w="5066" w:type="dxa"/>
            <w:gridSpan w:val="2"/>
            <w:tcBorders>
              <w:bottom w:val="nil"/>
            </w:tcBorders>
          </w:tcPr>
          <w:p w:rsidR="00C63B9B" w:rsidRPr="00BF56AC" w:rsidRDefault="00C63B9B" w:rsidP="00D8220A">
            <w:pPr>
              <w:jc w:val="right"/>
              <w:rPr>
                <w:b/>
                <w:bCs/>
                <w:sz w:val="40"/>
                <w:lang w:eastAsia="ko-KR"/>
              </w:rPr>
            </w:pPr>
            <w:r w:rsidRPr="00BF56AC">
              <w:rPr>
                <w:b/>
                <w:bCs/>
                <w:sz w:val="40"/>
              </w:rPr>
              <w:t>Doc</w:t>
            </w:r>
            <w:r>
              <w:rPr>
                <w:b/>
                <w:bCs/>
                <w:sz w:val="40"/>
              </w:rPr>
              <w:t xml:space="preserve"> 174</w:t>
            </w:r>
            <w:r w:rsidRPr="00BF56AC">
              <w:rPr>
                <w:b/>
                <w:bCs/>
                <w:sz w:val="40"/>
              </w:rPr>
              <w:t xml:space="preserve"> </w:t>
            </w:r>
          </w:p>
        </w:tc>
      </w:tr>
      <w:tr w:rsidR="00C63B9B" w:rsidRPr="00BF56AC" w:rsidTr="00D8220A">
        <w:trPr>
          <w:cantSplit/>
          <w:trHeight w:val="355"/>
        </w:trPr>
        <w:tc>
          <w:tcPr>
            <w:tcW w:w="4857" w:type="dxa"/>
            <w:gridSpan w:val="3"/>
            <w:vMerge/>
            <w:tcBorders>
              <w:bottom w:val="single" w:sz="12" w:space="0" w:color="auto"/>
            </w:tcBorders>
          </w:tcPr>
          <w:p w:rsidR="00C63B9B" w:rsidRPr="00BF56AC" w:rsidRDefault="00C63B9B" w:rsidP="00D8220A">
            <w:pPr>
              <w:rPr>
                <w:b/>
                <w:bCs/>
                <w:sz w:val="26"/>
              </w:rPr>
            </w:pPr>
          </w:p>
        </w:tc>
        <w:tc>
          <w:tcPr>
            <w:tcW w:w="5066" w:type="dxa"/>
            <w:gridSpan w:val="2"/>
            <w:tcBorders>
              <w:bottom w:val="single" w:sz="12" w:space="0" w:color="auto"/>
            </w:tcBorders>
          </w:tcPr>
          <w:p w:rsidR="00C63B9B" w:rsidRPr="00BF56AC" w:rsidRDefault="00C63B9B" w:rsidP="00D8220A">
            <w:pPr>
              <w:jc w:val="right"/>
              <w:rPr>
                <w:b/>
                <w:bCs/>
                <w:sz w:val="28"/>
              </w:rPr>
            </w:pPr>
            <w:r w:rsidRPr="00BF56AC">
              <w:rPr>
                <w:b/>
                <w:bCs/>
                <w:sz w:val="28"/>
              </w:rPr>
              <w:t>English only</w:t>
            </w:r>
          </w:p>
          <w:p w:rsidR="00C63B9B" w:rsidRPr="00BF56AC" w:rsidRDefault="00C63B9B" w:rsidP="00D8220A">
            <w:pPr>
              <w:jc w:val="right"/>
              <w:rPr>
                <w:b/>
                <w:bCs/>
                <w:sz w:val="28"/>
              </w:rPr>
            </w:pPr>
            <w:r w:rsidRPr="00BF56AC">
              <w:rPr>
                <w:b/>
                <w:bCs/>
                <w:sz w:val="28"/>
              </w:rPr>
              <w:t>Original: English</w:t>
            </w:r>
          </w:p>
        </w:tc>
      </w:tr>
      <w:tr w:rsidR="00C63B9B" w:rsidRPr="00381494">
        <w:trPr>
          <w:cantSplit/>
          <w:trHeight w:val="357"/>
        </w:trPr>
        <w:tc>
          <w:tcPr>
            <w:tcW w:w="9923" w:type="dxa"/>
            <w:gridSpan w:val="5"/>
          </w:tcPr>
          <w:p w:rsidR="00C63B9B" w:rsidRDefault="00DB66E8" w:rsidP="00C63B9B">
            <w:pPr>
              <w:jc w:val="center"/>
              <w:rPr>
                <w:b/>
                <w:bCs/>
              </w:rPr>
            </w:pPr>
            <w:bookmarkStart w:id="0" w:name="InsertLogo"/>
            <w:bookmarkStart w:id="1" w:name="dtableau"/>
            <w:bookmarkStart w:id="2" w:name="dtitle" w:colFirst="0" w:colLast="0"/>
            <w:bookmarkEnd w:id="0"/>
            <w:r>
              <w:rPr>
                <w:b/>
                <w:bCs/>
              </w:rPr>
              <w:t>TD</w:t>
            </w:r>
          </w:p>
          <w:p w:rsidR="00C63B9B" w:rsidRPr="00381494" w:rsidRDefault="00C63B9B" w:rsidP="00C63B9B">
            <w:pPr>
              <w:jc w:val="center"/>
              <w:rPr>
                <w:b/>
                <w:bCs/>
              </w:rPr>
            </w:pPr>
            <w:r>
              <w:rPr>
                <w:b/>
                <w:bCs/>
              </w:rPr>
              <w:t xml:space="preserve">(Ref: </w:t>
            </w:r>
            <w:hyperlink r:id="rId7" w:history="1">
              <w:r>
                <w:rPr>
                  <w:rStyle w:val="Hyperlink"/>
                </w:rPr>
                <w:t>SG5 - LS 109</w:t>
              </w:r>
            </w:hyperlink>
            <w:r>
              <w:rPr>
                <w:b/>
                <w:bCs/>
              </w:rPr>
              <w:t>)</w:t>
            </w:r>
          </w:p>
        </w:tc>
      </w:tr>
      <w:tr w:rsidR="00C63B9B" w:rsidRPr="00381494">
        <w:trPr>
          <w:cantSplit/>
          <w:trHeight w:val="357"/>
        </w:trPr>
        <w:tc>
          <w:tcPr>
            <w:tcW w:w="1617" w:type="dxa"/>
          </w:tcPr>
          <w:p w:rsidR="00C63B9B" w:rsidRPr="00381494" w:rsidRDefault="00C63B9B" w:rsidP="00C63B9B">
            <w:pPr>
              <w:rPr>
                <w:b/>
                <w:bCs/>
              </w:rPr>
            </w:pPr>
            <w:bookmarkStart w:id="3" w:name="dsource" w:colFirst="1" w:colLast="1"/>
            <w:bookmarkEnd w:id="2"/>
            <w:r w:rsidRPr="00381494">
              <w:rPr>
                <w:b/>
                <w:bCs/>
              </w:rPr>
              <w:t>Source:</w:t>
            </w:r>
          </w:p>
        </w:tc>
        <w:tc>
          <w:tcPr>
            <w:tcW w:w="8306" w:type="dxa"/>
            <w:gridSpan w:val="4"/>
          </w:tcPr>
          <w:p w:rsidR="00C63B9B" w:rsidRPr="00381494" w:rsidRDefault="00C63B9B" w:rsidP="00C63B9B">
            <w:r>
              <w:rPr>
                <w:szCs w:val="24"/>
                <w:lang w:eastAsia="sw-KE"/>
              </w:rPr>
              <w:t>ITU-T Study Group 5</w:t>
            </w:r>
          </w:p>
        </w:tc>
      </w:tr>
      <w:tr w:rsidR="00C63B9B" w:rsidRPr="00381494">
        <w:trPr>
          <w:cantSplit/>
          <w:trHeight w:val="357"/>
        </w:trPr>
        <w:tc>
          <w:tcPr>
            <w:tcW w:w="1617" w:type="dxa"/>
            <w:tcBorders>
              <w:bottom w:val="single" w:sz="12" w:space="0" w:color="auto"/>
            </w:tcBorders>
          </w:tcPr>
          <w:p w:rsidR="00C63B9B" w:rsidRPr="00381494" w:rsidRDefault="00C63B9B" w:rsidP="00C63B9B">
            <w:pPr>
              <w:spacing w:after="120"/>
            </w:pPr>
            <w:bookmarkStart w:id="4" w:name="dtitle1" w:colFirst="1" w:colLast="1"/>
            <w:bookmarkEnd w:id="3"/>
            <w:r w:rsidRPr="00381494">
              <w:rPr>
                <w:b/>
                <w:bCs/>
              </w:rPr>
              <w:t>Title:</w:t>
            </w:r>
          </w:p>
        </w:tc>
        <w:tc>
          <w:tcPr>
            <w:tcW w:w="8306" w:type="dxa"/>
            <w:gridSpan w:val="4"/>
            <w:tcBorders>
              <w:bottom w:val="single" w:sz="12" w:space="0" w:color="auto"/>
            </w:tcBorders>
          </w:tcPr>
          <w:p w:rsidR="00C63B9B" w:rsidRPr="00381494" w:rsidRDefault="00C63B9B" w:rsidP="00DB66E8">
            <w:pPr>
              <w:spacing w:after="120"/>
            </w:pPr>
            <w:r>
              <w:t>LS/i/r</w:t>
            </w:r>
            <w:r w:rsidRPr="00381494">
              <w:t xml:space="preserve"> on Invitation to update the information in the cloud computing roadmap (reply to JCA-Cloud-LS23 and LS26)</w:t>
            </w:r>
            <w:r>
              <w:t xml:space="preserve"> </w:t>
            </w:r>
            <w:r w:rsidR="00DB66E8">
              <w:t>[from</w:t>
            </w:r>
            <w:r w:rsidR="00DB66E8">
              <w:rPr>
                <w:szCs w:val="24"/>
                <w:lang w:eastAsia="sw-KE"/>
              </w:rPr>
              <w:t xml:space="preserve"> </w:t>
            </w:r>
            <w:r w:rsidR="00DB66E8">
              <w:rPr>
                <w:szCs w:val="24"/>
                <w:lang w:eastAsia="sw-KE"/>
              </w:rPr>
              <w:t>ITU-T Study Group 5</w:t>
            </w:r>
            <w:r w:rsidR="00DB66E8">
              <w:t>]</w:t>
            </w:r>
          </w:p>
        </w:tc>
      </w:tr>
      <w:bookmarkEnd w:id="1"/>
      <w:bookmarkEnd w:id="4"/>
      <w:tr w:rsidR="00C63B9B" w:rsidTr="003869CD">
        <w:trPr>
          <w:cantSplit/>
          <w:trHeight w:val="357"/>
        </w:trPr>
        <w:tc>
          <w:tcPr>
            <w:tcW w:w="9923" w:type="dxa"/>
            <w:gridSpan w:val="5"/>
            <w:tcBorders>
              <w:top w:val="single" w:sz="12" w:space="0" w:color="auto"/>
            </w:tcBorders>
          </w:tcPr>
          <w:p w:rsidR="00C63B9B" w:rsidRDefault="00C63B9B" w:rsidP="00C63B9B">
            <w:pPr>
              <w:jc w:val="center"/>
              <w:rPr>
                <w:b/>
              </w:rPr>
            </w:pPr>
            <w:r>
              <w:rPr>
                <w:b/>
              </w:rPr>
              <w:t>LIAISON STATEMENT</w:t>
            </w:r>
          </w:p>
        </w:tc>
      </w:tr>
      <w:tr w:rsidR="00C63B9B" w:rsidTr="003869CD">
        <w:trPr>
          <w:cantSplit/>
          <w:trHeight w:val="357"/>
        </w:trPr>
        <w:tc>
          <w:tcPr>
            <w:tcW w:w="2184" w:type="dxa"/>
            <w:gridSpan w:val="2"/>
          </w:tcPr>
          <w:p w:rsidR="00C63B9B" w:rsidRPr="003869CD" w:rsidRDefault="00C63B9B" w:rsidP="00C63B9B">
            <w:pPr>
              <w:rPr>
                <w:b/>
                <w:bCs/>
              </w:rPr>
            </w:pPr>
            <w:r w:rsidRPr="003869CD">
              <w:rPr>
                <w:b/>
                <w:bCs/>
              </w:rPr>
              <w:t>For action to:</w:t>
            </w:r>
          </w:p>
        </w:tc>
        <w:tc>
          <w:tcPr>
            <w:tcW w:w="7739" w:type="dxa"/>
            <w:gridSpan w:val="3"/>
          </w:tcPr>
          <w:p w:rsidR="00C63B9B" w:rsidRPr="00A22A92" w:rsidRDefault="00C63B9B" w:rsidP="00C63B9B">
            <w:pPr>
              <w:pStyle w:val="LSForAction"/>
              <w:rPr>
                <w:b w:val="0"/>
                <w:bCs w:val="0"/>
              </w:rPr>
            </w:pPr>
            <w:r w:rsidRPr="007F3BA6">
              <w:rPr>
                <w:rFonts w:cs="Segoe UI"/>
                <w:b w:val="0"/>
                <w:bCs w:val="0"/>
                <w:color w:val="000000"/>
              </w:rPr>
              <w:t>Joint Coordination Activity on Cloud Computing (JCA-Cloud)</w:t>
            </w:r>
          </w:p>
        </w:tc>
      </w:tr>
      <w:tr w:rsidR="00C63B9B" w:rsidTr="003869CD">
        <w:trPr>
          <w:cantSplit/>
          <w:trHeight w:val="357"/>
        </w:trPr>
        <w:tc>
          <w:tcPr>
            <w:tcW w:w="2184" w:type="dxa"/>
            <w:gridSpan w:val="2"/>
          </w:tcPr>
          <w:p w:rsidR="00C63B9B" w:rsidRPr="003869CD" w:rsidRDefault="00C63B9B" w:rsidP="00C63B9B">
            <w:pPr>
              <w:rPr>
                <w:b/>
                <w:bCs/>
              </w:rPr>
            </w:pPr>
            <w:r w:rsidRPr="003869CD">
              <w:rPr>
                <w:b/>
                <w:bCs/>
              </w:rPr>
              <w:t>For comment to:</w:t>
            </w:r>
          </w:p>
        </w:tc>
        <w:tc>
          <w:tcPr>
            <w:tcW w:w="7739" w:type="dxa"/>
            <w:gridSpan w:val="3"/>
          </w:tcPr>
          <w:p w:rsidR="00C63B9B" w:rsidRPr="008377DC" w:rsidRDefault="00C63B9B" w:rsidP="00C63B9B">
            <w:pPr>
              <w:pStyle w:val="LSForComment"/>
              <w:rPr>
                <w:b w:val="0"/>
                <w:bCs w:val="0"/>
              </w:rPr>
            </w:pPr>
            <w:r w:rsidRPr="008377DC">
              <w:rPr>
                <w:b w:val="0"/>
                <w:bCs w:val="0"/>
              </w:rPr>
              <w:t>-</w:t>
            </w:r>
          </w:p>
        </w:tc>
      </w:tr>
      <w:tr w:rsidR="00C63B9B" w:rsidTr="003869CD">
        <w:trPr>
          <w:cantSplit/>
          <w:trHeight w:val="357"/>
        </w:trPr>
        <w:tc>
          <w:tcPr>
            <w:tcW w:w="2184" w:type="dxa"/>
            <w:gridSpan w:val="2"/>
          </w:tcPr>
          <w:p w:rsidR="00C63B9B" w:rsidRPr="003869CD" w:rsidRDefault="00C63B9B" w:rsidP="00C63B9B">
            <w:pPr>
              <w:rPr>
                <w:b/>
                <w:bCs/>
              </w:rPr>
            </w:pPr>
            <w:r w:rsidRPr="003869CD">
              <w:rPr>
                <w:b/>
                <w:bCs/>
              </w:rPr>
              <w:t>For information to:</w:t>
            </w:r>
          </w:p>
        </w:tc>
        <w:tc>
          <w:tcPr>
            <w:tcW w:w="7739" w:type="dxa"/>
            <w:gridSpan w:val="3"/>
          </w:tcPr>
          <w:p w:rsidR="00C63B9B" w:rsidRPr="008377DC" w:rsidRDefault="00C63B9B" w:rsidP="00C63B9B">
            <w:pPr>
              <w:pStyle w:val="LSForInfo"/>
              <w:rPr>
                <w:b w:val="0"/>
                <w:bCs w:val="0"/>
                <w:lang w:eastAsia="zh-CN"/>
              </w:rPr>
            </w:pPr>
            <w:r>
              <w:rPr>
                <w:b w:val="0"/>
                <w:bCs w:val="0"/>
                <w:lang w:eastAsia="zh-CN"/>
              </w:rPr>
              <w:t>-</w:t>
            </w:r>
          </w:p>
        </w:tc>
      </w:tr>
      <w:tr w:rsidR="00C63B9B" w:rsidTr="003869CD">
        <w:trPr>
          <w:cantSplit/>
          <w:trHeight w:val="357"/>
        </w:trPr>
        <w:tc>
          <w:tcPr>
            <w:tcW w:w="2184" w:type="dxa"/>
            <w:gridSpan w:val="2"/>
          </w:tcPr>
          <w:p w:rsidR="00C63B9B" w:rsidRDefault="00C63B9B" w:rsidP="00C63B9B">
            <w:pPr>
              <w:rPr>
                <w:b/>
                <w:bCs/>
              </w:rPr>
            </w:pPr>
            <w:r>
              <w:rPr>
                <w:b/>
                <w:bCs/>
              </w:rPr>
              <w:t>Approval:</w:t>
            </w:r>
          </w:p>
        </w:tc>
        <w:tc>
          <w:tcPr>
            <w:tcW w:w="7739" w:type="dxa"/>
            <w:gridSpan w:val="3"/>
          </w:tcPr>
          <w:p w:rsidR="00C63B9B" w:rsidRPr="008377DC" w:rsidRDefault="00C63B9B" w:rsidP="00C63B9B">
            <w:pPr>
              <w:tabs>
                <w:tab w:val="clear" w:pos="1191"/>
                <w:tab w:val="clear" w:pos="1588"/>
                <w:tab w:val="clear" w:pos="1985"/>
                <w:tab w:val="left" w:pos="1134"/>
                <w:tab w:val="left" w:pos="1701"/>
              </w:tabs>
            </w:pPr>
            <w:r w:rsidRPr="008377DC">
              <w:rPr>
                <w:lang w:eastAsia="zh-CN"/>
              </w:rPr>
              <w:t>ITU-T Study Group 5 meeting (Kochi, India, 19 December 2014)</w:t>
            </w:r>
          </w:p>
        </w:tc>
      </w:tr>
      <w:tr w:rsidR="00C63B9B" w:rsidTr="003869CD">
        <w:trPr>
          <w:cantSplit/>
          <w:trHeight w:val="357"/>
        </w:trPr>
        <w:tc>
          <w:tcPr>
            <w:tcW w:w="2184" w:type="dxa"/>
            <w:gridSpan w:val="2"/>
            <w:tcBorders>
              <w:bottom w:val="single" w:sz="12" w:space="0" w:color="auto"/>
            </w:tcBorders>
          </w:tcPr>
          <w:p w:rsidR="00C63B9B" w:rsidRDefault="00C63B9B" w:rsidP="00C63B9B">
            <w:pPr>
              <w:rPr>
                <w:b/>
                <w:bCs/>
              </w:rPr>
            </w:pPr>
            <w:r>
              <w:rPr>
                <w:b/>
                <w:bCs/>
              </w:rPr>
              <w:t>Deadline:</w:t>
            </w:r>
          </w:p>
        </w:tc>
        <w:tc>
          <w:tcPr>
            <w:tcW w:w="7739" w:type="dxa"/>
            <w:gridSpan w:val="3"/>
            <w:tcBorders>
              <w:bottom w:val="single" w:sz="12" w:space="0" w:color="auto"/>
            </w:tcBorders>
          </w:tcPr>
          <w:p w:rsidR="00C63B9B" w:rsidRPr="008377DC" w:rsidRDefault="00C63B9B" w:rsidP="00C63B9B">
            <w:pPr>
              <w:pStyle w:val="LSDeadline"/>
              <w:rPr>
                <w:b w:val="0"/>
                <w:bCs w:val="0"/>
              </w:rPr>
            </w:pPr>
            <w:r>
              <w:rPr>
                <w:b w:val="0"/>
                <w:bCs w:val="0"/>
              </w:rPr>
              <w:t>-</w:t>
            </w:r>
          </w:p>
        </w:tc>
      </w:tr>
      <w:tr w:rsidR="00C63B9B" w:rsidRPr="00FF5996" w:rsidTr="003869CD">
        <w:trPr>
          <w:cantSplit/>
          <w:trHeight w:val="204"/>
        </w:trPr>
        <w:tc>
          <w:tcPr>
            <w:tcW w:w="1617" w:type="dxa"/>
            <w:tcBorders>
              <w:top w:val="single" w:sz="12" w:space="0" w:color="auto"/>
            </w:tcBorders>
          </w:tcPr>
          <w:p w:rsidR="00C63B9B" w:rsidRDefault="00C63B9B" w:rsidP="00C63B9B">
            <w:pPr>
              <w:rPr>
                <w:b/>
                <w:bCs/>
              </w:rPr>
            </w:pPr>
            <w:r>
              <w:rPr>
                <w:b/>
                <w:bCs/>
              </w:rPr>
              <w:t>Contact:</w:t>
            </w:r>
          </w:p>
        </w:tc>
        <w:tc>
          <w:tcPr>
            <w:tcW w:w="4394" w:type="dxa"/>
            <w:gridSpan w:val="3"/>
            <w:tcBorders>
              <w:top w:val="single" w:sz="12" w:space="0" w:color="auto"/>
            </w:tcBorders>
          </w:tcPr>
          <w:p w:rsidR="00C63B9B" w:rsidRPr="00CE75FA" w:rsidRDefault="00C63B9B" w:rsidP="00C63B9B">
            <w:pPr>
              <w:rPr>
                <w:lang w:val="it-IT"/>
              </w:rPr>
            </w:pPr>
            <w:r w:rsidRPr="00CE75FA">
              <w:rPr>
                <w:sz w:val="22"/>
                <w:lang w:val="it-IT"/>
              </w:rPr>
              <w:t>Paolo Gemma</w:t>
            </w:r>
          </w:p>
          <w:p w:rsidR="00C63B9B" w:rsidRPr="00506C63" w:rsidRDefault="00C63B9B" w:rsidP="00C63B9B">
            <w:pPr>
              <w:spacing w:before="0"/>
              <w:rPr>
                <w:lang w:val="it-IT"/>
              </w:rPr>
            </w:pPr>
            <w:r>
              <w:rPr>
                <w:sz w:val="22"/>
                <w:lang w:val="it-IT"/>
              </w:rPr>
              <w:t>Huawei</w:t>
            </w:r>
            <w:r>
              <w:rPr>
                <w:lang w:val="it-IT"/>
              </w:rPr>
              <w:br/>
            </w:r>
            <w:r>
              <w:rPr>
                <w:sz w:val="22"/>
                <w:lang w:val="it-IT"/>
              </w:rPr>
              <w:t>China</w:t>
            </w:r>
          </w:p>
        </w:tc>
        <w:tc>
          <w:tcPr>
            <w:tcW w:w="3912" w:type="dxa"/>
            <w:tcBorders>
              <w:top w:val="single" w:sz="12" w:space="0" w:color="auto"/>
            </w:tcBorders>
          </w:tcPr>
          <w:p w:rsidR="00C63B9B" w:rsidRPr="00E779EC" w:rsidRDefault="00C63B9B" w:rsidP="00C63B9B">
            <w:pPr>
              <w:rPr>
                <w:lang w:val="it-IT"/>
              </w:rPr>
            </w:pPr>
            <w:r w:rsidRPr="00E779EC">
              <w:rPr>
                <w:sz w:val="22"/>
                <w:lang w:val="it-IT"/>
              </w:rPr>
              <w:t>Tel:</w:t>
            </w:r>
            <w:r w:rsidRPr="00E779EC">
              <w:rPr>
                <w:sz w:val="22"/>
                <w:lang w:val="it-IT"/>
              </w:rPr>
              <w:tab/>
              <w:t>+393483690185</w:t>
            </w:r>
          </w:p>
          <w:p w:rsidR="00C63B9B" w:rsidRPr="00506C63" w:rsidRDefault="00C63B9B" w:rsidP="00C63B9B">
            <w:pPr>
              <w:spacing w:before="0"/>
              <w:rPr>
                <w:lang w:val="it-IT"/>
              </w:rPr>
            </w:pPr>
            <w:r w:rsidRPr="00E779EC">
              <w:rPr>
                <w:sz w:val="22"/>
                <w:lang w:val="it-IT"/>
              </w:rPr>
              <w:t>Email:</w:t>
            </w:r>
            <w:r w:rsidRPr="00E779EC">
              <w:rPr>
                <w:sz w:val="22"/>
                <w:lang w:val="it-IT"/>
              </w:rPr>
              <w:tab/>
            </w:r>
            <w:hyperlink r:id="rId8" w:history="1">
              <w:r w:rsidRPr="003151B6">
                <w:rPr>
                  <w:rStyle w:val="Hyperlink"/>
                  <w:sz w:val="22"/>
                  <w:lang w:val="it-IT"/>
                </w:rPr>
                <w:t>paolo.gemma@huawei.com</w:t>
              </w:r>
            </w:hyperlink>
          </w:p>
        </w:tc>
      </w:tr>
      <w:tr w:rsidR="00C63B9B" w:rsidRPr="00FF5996" w:rsidTr="003869CD">
        <w:trPr>
          <w:cantSplit/>
          <w:trHeight w:val="204"/>
        </w:trPr>
        <w:tc>
          <w:tcPr>
            <w:tcW w:w="9923" w:type="dxa"/>
            <w:gridSpan w:val="5"/>
            <w:tcBorders>
              <w:top w:val="single" w:sz="12" w:space="0" w:color="auto"/>
            </w:tcBorders>
          </w:tcPr>
          <w:p w:rsidR="00C63B9B" w:rsidRPr="007F3BA6" w:rsidRDefault="00C63B9B" w:rsidP="00C63B9B">
            <w:pPr>
              <w:spacing w:before="0"/>
              <w:rPr>
                <w:sz w:val="18"/>
                <w:lang w:val="it-IT"/>
              </w:rPr>
            </w:pPr>
          </w:p>
        </w:tc>
      </w:tr>
    </w:tbl>
    <w:p w:rsidR="00D71C71" w:rsidRPr="00C63B9B" w:rsidRDefault="00D71C71">
      <w:pPr>
        <w:jc w:val="both"/>
        <w:rPr>
          <w:rFonts w:eastAsia="Malgun Gothic"/>
          <w:lang w:val="it-IT" w:eastAsia="ko-KR"/>
        </w:rPr>
      </w:pPr>
    </w:p>
    <w:p w:rsidR="008A648B" w:rsidRDefault="008A648B">
      <w:pPr>
        <w:jc w:val="both"/>
        <w:rPr>
          <w:lang w:eastAsia="ar-SA"/>
        </w:rPr>
      </w:pPr>
      <w:r>
        <w:rPr>
          <w:rFonts w:eastAsia="Malgun Gothic"/>
          <w:lang w:eastAsia="ko-KR"/>
        </w:rPr>
        <w:t>ITU-T S</w:t>
      </w:r>
      <w:r w:rsidR="00A22A92">
        <w:rPr>
          <w:rFonts w:eastAsia="Malgun Gothic"/>
          <w:lang w:eastAsia="ko-KR"/>
        </w:rPr>
        <w:t xml:space="preserve">tudy </w:t>
      </w:r>
      <w:r>
        <w:rPr>
          <w:rFonts w:eastAsia="Malgun Gothic"/>
          <w:lang w:eastAsia="ko-KR"/>
        </w:rPr>
        <w:t>G</w:t>
      </w:r>
      <w:r w:rsidR="00A22A92">
        <w:rPr>
          <w:rFonts w:eastAsia="Malgun Gothic"/>
          <w:lang w:eastAsia="ko-KR"/>
        </w:rPr>
        <w:t xml:space="preserve">roup </w:t>
      </w:r>
      <w:r>
        <w:rPr>
          <w:rFonts w:eastAsia="Malgun Gothic"/>
          <w:lang w:eastAsia="ko-KR"/>
        </w:rPr>
        <w:t xml:space="preserve">5 would like to thank the </w:t>
      </w:r>
      <w:r w:rsidR="00A22A92" w:rsidRPr="007F3BA6">
        <w:rPr>
          <w:rFonts w:cs="Segoe UI"/>
          <w:bCs/>
          <w:color w:val="000000"/>
        </w:rPr>
        <w:t>Joint Coordination Activity on Cloud Computing (JCA-Cloud)</w:t>
      </w:r>
      <w:r w:rsidR="00A22A92">
        <w:rPr>
          <w:rFonts w:cs="Segoe UI"/>
          <w:bCs/>
          <w:color w:val="000000"/>
        </w:rPr>
        <w:t xml:space="preserve"> </w:t>
      </w:r>
      <w:r>
        <w:rPr>
          <w:rFonts w:eastAsia="Malgun Gothic"/>
          <w:lang w:eastAsia="ko-KR"/>
        </w:rPr>
        <w:t xml:space="preserve">for informing about the recent developments of </w:t>
      </w:r>
      <w:r>
        <w:rPr>
          <w:lang w:eastAsia="ko-KR"/>
        </w:rPr>
        <w:t xml:space="preserve">the project called </w:t>
      </w:r>
      <w:r w:rsidR="00BD52C8">
        <w:rPr>
          <w:lang w:eastAsia="ko-KR"/>
        </w:rPr>
        <w:t>“</w:t>
      </w:r>
      <w:r>
        <w:rPr>
          <w:rFonts w:eastAsia="Malgun Gothic"/>
          <w:lang w:eastAsia="ko-KR"/>
        </w:rPr>
        <w:t>Cloud Computing</w:t>
      </w:r>
      <w:r>
        <w:rPr>
          <w:lang w:eastAsia="ko-KR"/>
        </w:rPr>
        <w:t xml:space="preserve"> standards roadmap</w:t>
      </w:r>
      <w:r w:rsidR="00BD52C8">
        <w:rPr>
          <w:lang w:eastAsia="ko-KR"/>
        </w:rPr>
        <w:t>”</w:t>
      </w:r>
      <w:r>
        <w:rPr>
          <w:lang w:eastAsia="ko-KR"/>
        </w:rPr>
        <w:t xml:space="preserve">. </w:t>
      </w:r>
      <w:r>
        <w:rPr>
          <w:rFonts w:eastAsia="Malgun Gothic"/>
          <w:lang w:eastAsia="ko-KR"/>
        </w:rPr>
        <w:t xml:space="preserve">ITU-T SG5 </w:t>
      </w:r>
      <w:r>
        <w:rPr>
          <w:lang w:eastAsia="ko-KR"/>
        </w:rPr>
        <w:t>has noted that JCA-Cloud performed the initial collection of all the available information from the ITU-T and other SDOs with regards to any relevant work on Cloud Computing and that</w:t>
      </w:r>
      <w:r>
        <w:t xml:space="preserve"> the initial draft of this roadmap is available at the following address:</w:t>
      </w:r>
    </w:p>
    <w:p w:rsidR="008A648B" w:rsidRDefault="00234CDD" w:rsidP="008A648B">
      <w:pPr>
        <w:jc w:val="both"/>
      </w:pPr>
      <w:hyperlink r:id="rId9" w:history="1">
        <w:r w:rsidR="008A648B">
          <w:rPr>
            <w:rStyle w:val="Hyperlink"/>
          </w:rPr>
          <w:t>https://extranet.itu.int/sites/itu-t/Roadmaps/SitePages/JCA-Cloud-Standard.aspx</w:t>
        </w:r>
      </w:hyperlink>
    </w:p>
    <w:p w:rsidR="008A648B" w:rsidRDefault="008A648B" w:rsidP="008A648B">
      <w:pPr>
        <w:jc w:val="both"/>
        <w:rPr>
          <w:rFonts w:eastAsia="Malgun Gothic"/>
          <w:lang w:eastAsia="ko-KR"/>
        </w:rPr>
      </w:pPr>
      <w:r>
        <w:rPr>
          <w:rFonts w:eastAsia="Malgun Gothic"/>
          <w:lang w:eastAsia="ko-KR"/>
        </w:rPr>
        <w:t xml:space="preserve">ITU-T SG5 would kindly ask </w:t>
      </w:r>
      <w:r w:rsidR="00BD52C8" w:rsidRPr="001326FF">
        <w:rPr>
          <w:rFonts w:cs="Segoe UI"/>
          <w:bCs/>
          <w:color w:val="000000"/>
        </w:rPr>
        <w:t>JCA-Cloud</w:t>
      </w:r>
      <w:r w:rsidR="00BD52C8">
        <w:rPr>
          <w:rFonts w:eastAsia="Malgun Gothic"/>
          <w:lang w:eastAsia="ko-KR"/>
        </w:rPr>
        <w:t xml:space="preserve"> </w:t>
      </w:r>
      <w:r>
        <w:rPr>
          <w:rFonts w:eastAsia="Malgun Gothic"/>
          <w:lang w:eastAsia="ko-KR"/>
        </w:rPr>
        <w:t>to update the roadmap with the information contained in the following table, filled according to JCA-Cloud request.</w:t>
      </w:r>
    </w:p>
    <w:p w:rsidR="008A648B" w:rsidRDefault="008A648B" w:rsidP="008A648B">
      <w:pPr>
        <w:jc w:val="both"/>
      </w:pPr>
      <w:r>
        <w:rPr>
          <w:color w:val="000000"/>
        </w:rPr>
        <w:t>ITU-T SG5 is looking forward to continuing a fruitful collaboration with JCA</w:t>
      </w:r>
      <w:r w:rsidR="00A22A92">
        <w:rPr>
          <w:color w:val="000000"/>
        </w:rPr>
        <w:t>-C</w:t>
      </w:r>
      <w:r>
        <w:rPr>
          <w:color w:val="000000"/>
        </w:rPr>
        <w:t xml:space="preserve">loud in the field of greener power feeding </w:t>
      </w:r>
      <w:r>
        <w:rPr>
          <w:color w:val="000000"/>
          <w:spacing w:val="-2"/>
          <w:szCs w:val="24"/>
        </w:rPr>
        <w:t>for data cent</w:t>
      </w:r>
      <w:r w:rsidRPr="00E420A0">
        <w:rPr>
          <w:color w:val="000000"/>
          <w:spacing w:val="-2"/>
          <w:szCs w:val="24"/>
        </w:rPr>
        <w:t>r</w:t>
      </w:r>
      <w:r>
        <w:rPr>
          <w:rFonts w:hint="eastAsia"/>
          <w:color w:val="000000"/>
          <w:spacing w:val="-2"/>
          <w:szCs w:val="24"/>
          <w:lang w:eastAsia="ja-JP"/>
        </w:rPr>
        <w:t>e</w:t>
      </w:r>
      <w:r w:rsidRPr="00E420A0">
        <w:rPr>
          <w:color w:val="000000"/>
          <w:spacing w:val="-2"/>
          <w:szCs w:val="24"/>
        </w:rPr>
        <w:t>s that should also be used in Cloud technology</w:t>
      </w:r>
      <w:r>
        <w:rPr>
          <w:color w:val="000000"/>
        </w:rPr>
        <w:t>.</w:t>
      </w:r>
    </w:p>
    <w:p w:rsidR="008A648B" w:rsidRDefault="008A648B" w:rsidP="008A648B"/>
    <w:p w:rsidR="002A23B6" w:rsidRDefault="002A23B6" w:rsidP="008A648B">
      <w:pPr>
        <w:sectPr w:rsidR="002A23B6" w:rsidSect="00381494">
          <w:headerReference w:type="default" r:id="rId10"/>
          <w:headerReference w:type="first" r:id="rId11"/>
          <w:footerReference w:type="first" r:id="rId12"/>
          <w:pgSz w:w="11907" w:h="16840"/>
          <w:pgMar w:top="1417" w:right="1134" w:bottom="1417" w:left="1134" w:header="720" w:footer="720" w:gutter="0"/>
          <w:cols w:space="720"/>
          <w:titlePg/>
          <w:docGrid w:linePitch="326"/>
        </w:sectPr>
      </w:pPr>
    </w:p>
    <w:p w:rsidR="002A23B6" w:rsidRDefault="002A23B6"/>
    <w:tbl>
      <w:tblPr>
        <w:tblW w:w="1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68"/>
        <w:gridCol w:w="958"/>
        <w:gridCol w:w="2186"/>
        <w:gridCol w:w="5952"/>
        <w:gridCol w:w="1870"/>
        <w:gridCol w:w="1245"/>
        <w:gridCol w:w="1015"/>
      </w:tblGrid>
      <w:tr w:rsidR="002A23B6" w:rsidRPr="00A22A92" w:rsidTr="002A23B6">
        <w:trPr>
          <w:tblHeader/>
          <w:jc w:val="center"/>
        </w:trPr>
        <w:tc>
          <w:tcPr>
            <w:tcW w:w="1168" w:type="dxa"/>
            <w:tcBorders>
              <w:top w:val="single" w:sz="4" w:space="0" w:color="auto"/>
              <w:left w:val="single" w:sz="4" w:space="0" w:color="auto"/>
              <w:bottom w:val="single" w:sz="4" w:space="0" w:color="auto"/>
              <w:right w:val="single" w:sz="4" w:space="0" w:color="auto"/>
            </w:tcBorders>
          </w:tcPr>
          <w:p w:rsidR="002A23B6" w:rsidRPr="007F3BA6" w:rsidRDefault="002A23B6" w:rsidP="002A23B6">
            <w:pPr>
              <w:pStyle w:val="Tablehead"/>
              <w:rPr>
                <w:sz w:val="20"/>
              </w:rPr>
            </w:pPr>
            <w:r w:rsidRPr="007F3BA6">
              <w:rPr>
                <w:sz w:val="20"/>
              </w:rPr>
              <w:t>Activity domain</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A23B6" w:rsidRPr="007F3BA6" w:rsidRDefault="002A23B6">
            <w:pPr>
              <w:pStyle w:val="Tablehead"/>
              <w:rPr>
                <w:sz w:val="20"/>
                <w:lang w:eastAsia="ko-KR"/>
              </w:rPr>
            </w:pPr>
            <w:r w:rsidRPr="007F3BA6">
              <w:rPr>
                <w:sz w:val="20"/>
                <w:lang w:eastAsia="ko-KR"/>
              </w:rPr>
              <w:t>Entity</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2A23B6" w:rsidRPr="007F3BA6" w:rsidRDefault="002A23B6" w:rsidP="002A23B6">
            <w:pPr>
              <w:pStyle w:val="Tablehead"/>
              <w:rPr>
                <w:rFonts w:eastAsia="Malgun Gothic"/>
                <w:bCs/>
                <w:sz w:val="20"/>
                <w:lang w:eastAsia="ko-KR"/>
              </w:rPr>
            </w:pPr>
            <w:r w:rsidRPr="007F3BA6">
              <w:rPr>
                <w:rFonts w:eastAsia="Malgun Gothic"/>
                <w:bCs/>
                <w:sz w:val="20"/>
                <w:lang w:eastAsia="ko-KR"/>
              </w:rPr>
              <w:t>Title of deliverable</w:t>
            </w:r>
          </w:p>
        </w:tc>
        <w:tc>
          <w:tcPr>
            <w:tcW w:w="5952" w:type="dxa"/>
            <w:tcBorders>
              <w:top w:val="single" w:sz="4" w:space="0" w:color="auto"/>
              <w:left w:val="single" w:sz="4" w:space="0" w:color="auto"/>
              <w:bottom w:val="single" w:sz="4" w:space="0" w:color="auto"/>
              <w:right w:val="single" w:sz="4" w:space="0" w:color="auto"/>
            </w:tcBorders>
            <w:shd w:val="clear" w:color="auto" w:fill="auto"/>
          </w:tcPr>
          <w:p w:rsidR="002A23B6" w:rsidRPr="007F3BA6" w:rsidRDefault="002A23B6" w:rsidP="002A23B6">
            <w:pPr>
              <w:pStyle w:val="Tablehead"/>
              <w:rPr>
                <w:sz w:val="20"/>
              </w:rPr>
            </w:pPr>
            <w:r w:rsidRPr="007F3BA6">
              <w:rPr>
                <w:sz w:val="20"/>
              </w:rPr>
              <w:t>Scope of deliverable</w:t>
            </w: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2A23B6" w:rsidRPr="007F3BA6" w:rsidRDefault="002A23B6" w:rsidP="002A23B6">
            <w:pPr>
              <w:pStyle w:val="Tablehead"/>
              <w:rPr>
                <w:rFonts w:eastAsia="Malgun Gothic"/>
                <w:sz w:val="20"/>
                <w:lang w:eastAsia="ko-KR"/>
              </w:rPr>
            </w:pPr>
            <w:r w:rsidRPr="007F3BA6">
              <w:rPr>
                <w:rFonts w:eastAsia="Malgun Gothic"/>
                <w:sz w:val="20"/>
                <w:lang w:eastAsia="ko-KR"/>
              </w:rPr>
              <w:t>Current status</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2A23B6" w:rsidRPr="007F3BA6" w:rsidRDefault="002A23B6" w:rsidP="002A23B6">
            <w:pPr>
              <w:pStyle w:val="Tablehead"/>
              <w:rPr>
                <w:rFonts w:eastAsia="Malgun Gothic"/>
                <w:sz w:val="20"/>
                <w:lang w:eastAsia="ko-KR"/>
              </w:rPr>
            </w:pPr>
            <w:r w:rsidRPr="007F3BA6">
              <w:rPr>
                <w:rFonts w:eastAsia="Malgun Gothic"/>
                <w:sz w:val="20"/>
                <w:lang w:eastAsia="ko-KR"/>
              </w:rPr>
              <w:t>Starting date</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2A23B6" w:rsidRPr="007F3BA6" w:rsidRDefault="002A23B6" w:rsidP="002A23B6">
            <w:pPr>
              <w:pStyle w:val="Tablehead"/>
              <w:rPr>
                <w:rFonts w:eastAsia="Malgun Gothic"/>
                <w:sz w:val="20"/>
                <w:lang w:eastAsia="ko-KR"/>
              </w:rPr>
            </w:pPr>
            <w:r w:rsidRPr="007F3BA6">
              <w:rPr>
                <w:rFonts w:eastAsia="Malgun Gothic"/>
                <w:sz w:val="20"/>
                <w:lang w:eastAsia="ko-KR"/>
              </w:rPr>
              <w:t>Target date</w:t>
            </w:r>
          </w:p>
        </w:tc>
      </w:tr>
      <w:tr w:rsidR="00600868" w:rsidRPr="00A22A92" w:rsidTr="00102E00">
        <w:trPr>
          <w:jc w:val="center"/>
        </w:trPr>
        <w:tc>
          <w:tcPr>
            <w:tcW w:w="1168" w:type="dxa"/>
          </w:tcPr>
          <w:p w:rsidR="00600868" w:rsidRPr="007F3BA6" w:rsidRDefault="002A23B6" w:rsidP="00D71C71">
            <w:pPr>
              <w:jc w:val="center"/>
              <w:rPr>
                <w:sz w:val="20"/>
                <w:lang w:eastAsia="ko-KR"/>
              </w:rPr>
            </w:pPr>
            <w:r w:rsidRPr="007F3BA6">
              <w:rPr>
                <w:sz w:val="20"/>
              </w:rPr>
              <w:br w:type="page"/>
            </w:r>
          </w:p>
        </w:tc>
        <w:tc>
          <w:tcPr>
            <w:tcW w:w="958" w:type="dxa"/>
            <w:shd w:val="clear" w:color="auto" w:fill="auto"/>
          </w:tcPr>
          <w:p w:rsidR="00600868" w:rsidRPr="007F3BA6" w:rsidRDefault="00600868" w:rsidP="007F3BA6">
            <w:pPr>
              <w:rPr>
                <w:rFonts w:eastAsia="Malgun Gothic"/>
                <w:bCs/>
                <w:sz w:val="20"/>
                <w:lang w:eastAsia="ko-KR"/>
              </w:rPr>
            </w:pPr>
            <w:r w:rsidRPr="007F3BA6">
              <w:rPr>
                <w:sz w:val="20"/>
                <w:lang w:eastAsia="ko-KR"/>
              </w:rPr>
              <w:t>ITU-T SG</w:t>
            </w:r>
            <w:r w:rsidRPr="007F3BA6">
              <w:rPr>
                <w:rFonts w:eastAsia="Malgun Gothic"/>
                <w:sz w:val="20"/>
                <w:lang w:eastAsia="ko-KR"/>
              </w:rPr>
              <w:t>5</w:t>
            </w:r>
            <w:r w:rsidRPr="007F3BA6">
              <w:rPr>
                <w:sz w:val="20"/>
                <w:lang w:eastAsia="ko-KR"/>
              </w:rPr>
              <w:t xml:space="preserve"> </w:t>
            </w:r>
            <w:r w:rsidRPr="007F3BA6">
              <w:rPr>
                <w:rFonts w:eastAsia="Malgun Gothic"/>
                <w:sz w:val="20"/>
                <w:lang w:eastAsia="ko-KR"/>
              </w:rPr>
              <w:t>Q19</w:t>
            </w:r>
          </w:p>
        </w:tc>
        <w:tc>
          <w:tcPr>
            <w:tcW w:w="2186" w:type="dxa"/>
            <w:shd w:val="clear" w:color="auto" w:fill="auto"/>
          </w:tcPr>
          <w:p w:rsidR="00600868" w:rsidRPr="007F3BA6" w:rsidRDefault="00AC3131" w:rsidP="00D71C71">
            <w:pPr>
              <w:rPr>
                <w:rFonts w:eastAsia="Malgun Gothic"/>
                <w:bCs/>
                <w:sz w:val="20"/>
                <w:lang w:eastAsia="ko-KR"/>
              </w:rPr>
            </w:pPr>
            <w:r>
              <w:rPr>
                <w:rFonts w:eastAsia="Malgun Gothic"/>
                <w:b/>
                <w:bCs/>
                <w:sz w:val="20"/>
                <w:lang w:eastAsia="ko-KR"/>
              </w:rPr>
              <w:t xml:space="preserve">ITU-T </w:t>
            </w:r>
            <w:r w:rsidR="00600868" w:rsidRPr="007F3BA6">
              <w:rPr>
                <w:rFonts w:eastAsia="Malgun Gothic"/>
                <w:b/>
                <w:bCs/>
                <w:sz w:val="20"/>
                <w:lang w:eastAsia="ko-KR"/>
              </w:rPr>
              <w:t>L.1200</w:t>
            </w:r>
            <w:r w:rsidR="00600868" w:rsidRPr="007F3BA6">
              <w:rPr>
                <w:rFonts w:eastAsia="Malgun Gothic"/>
                <w:bCs/>
                <w:sz w:val="20"/>
                <w:lang w:eastAsia="ko-KR"/>
              </w:rPr>
              <w:t>: Direct current power feeding interface up to 400V at the input to telecommunications and ICT equipment</w:t>
            </w:r>
          </w:p>
        </w:tc>
        <w:tc>
          <w:tcPr>
            <w:tcW w:w="5952" w:type="dxa"/>
            <w:shd w:val="clear" w:color="auto" w:fill="auto"/>
          </w:tcPr>
          <w:p w:rsidR="00600868" w:rsidRPr="007F3BA6" w:rsidRDefault="00600868" w:rsidP="00D71C71">
            <w:pPr>
              <w:rPr>
                <w:sz w:val="20"/>
              </w:rPr>
            </w:pPr>
            <w:r w:rsidRPr="007F3BA6">
              <w:rPr>
                <w:sz w:val="20"/>
              </w:rPr>
              <w:t>Th</w:t>
            </w:r>
            <w:r w:rsidRPr="007F3BA6">
              <w:rPr>
                <w:rFonts w:eastAsia="SimSun"/>
                <w:sz w:val="20"/>
                <w:lang w:eastAsia="ja-JP"/>
              </w:rPr>
              <w:t>is</w:t>
            </w:r>
            <w:r w:rsidRPr="007F3BA6">
              <w:rPr>
                <w:sz w:val="20"/>
              </w:rPr>
              <w:t xml:space="preserve"> </w:t>
            </w:r>
            <w:r w:rsidRPr="007F3BA6">
              <w:rPr>
                <w:sz w:val="20"/>
                <w:lang w:eastAsia="ja-JP"/>
              </w:rPr>
              <w:t>Recommendation</w:t>
            </w:r>
            <w:r w:rsidRPr="007F3BA6">
              <w:rPr>
                <w:sz w:val="20"/>
              </w:rPr>
              <w:t xml:space="preserve"> </w:t>
            </w:r>
            <w:r w:rsidRPr="007F3BA6">
              <w:rPr>
                <w:rFonts w:eastAsia="SimSun"/>
                <w:sz w:val="20"/>
                <w:lang w:eastAsia="ja-JP"/>
              </w:rPr>
              <w:t xml:space="preserve">specifies the direct current (DC) </w:t>
            </w:r>
            <w:r w:rsidRPr="007F3BA6">
              <w:rPr>
                <w:sz w:val="20"/>
              </w:rPr>
              <w:t>interface between the power</w:t>
            </w:r>
            <w:r w:rsidRPr="007F3BA6">
              <w:rPr>
                <w:rFonts w:eastAsia="SimSun"/>
                <w:sz w:val="20"/>
                <w:lang w:eastAsia="zh-CN"/>
              </w:rPr>
              <w:t xml:space="preserve"> feeding system and</w:t>
            </w:r>
            <w:r w:rsidRPr="007F3BA6">
              <w:rPr>
                <w:sz w:val="20"/>
              </w:rPr>
              <w:t xml:space="preserve"> ICT equipment connected to it. </w:t>
            </w:r>
            <w:r w:rsidRPr="007F3BA6">
              <w:rPr>
                <w:rFonts w:eastAsia="SimSun"/>
                <w:sz w:val="20"/>
                <w:lang w:eastAsia="ja-JP"/>
              </w:rPr>
              <w:t xml:space="preserve">It also describes normal and abnormal voltage ranges, and immunity test levels for ICT equipment to maintain the stability of telecommunication and data communication services. </w:t>
            </w:r>
            <w:r w:rsidRPr="007F3BA6">
              <w:rPr>
                <w:sz w:val="20"/>
              </w:rPr>
              <w:t>The specified interface is operated from a DC power source of up to 400 V to allow</w:t>
            </w:r>
            <w:r w:rsidRPr="007F3BA6">
              <w:rPr>
                <w:rFonts w:eastAsia="SimSun"/>
                <w:sz w:val="20"/>
                <w:lang w:eastAsia="zh-CN"/>
              </w:rPr>
              <w:t xml:space="preserve"> increased</w:t>
            </w:r>
            <w:r w:rsidRPr="007F3BA6">
              <w:rPr>
                <w:sz w:val="20"/>
              </w:rPr>
              <w:t xml:space="preserve"> power consumption and equipment power density, in order to obtain higher energy efficiency </w:t>
            </w:r>
            <w:r w:rsidRPr="007F3BA6">
              <w:rPr>
                <w:rFonts w:eastAsia="SimSun"/>
                <w:sz w:val="20"/>
                <w:lang w:eastAsia="ja-JP"/>
              </w:rPr>
              <w:t xml:space="preserve">and reliability </w:t>
            </w:r>
            <w:r w:rsidRPr="007F3BA6">
              <w:rPr>
                <w:sz w:val="20"/>
              </w:rPr>
              <w:t>with less material usage than using a low</w:t>
            </w:r>
            <w:r w:rsidRPr="007F3BA6">
              <w:rPr>
                <w:rFonts w:eastAsia="SimSun"/>
                <w:sz w:val="20"/>
                <w:lang w:eastAsia="zh-CN"/>
              </w:rPr>
              <w:t>er</w:t>
            </w:r>
            <w:r w:rsidRPr="007F3BA6">
              <w:rPr>
                <w:sz w:val="20"/>
              </w:rPr>
              <w:t xml:space="preserve"> voltage </w:t>
            </w:r>
            <w:r w:rsidRPr="007F3BA6">
              <w:rPr>
                <w:rFonts w:eastAsia="SimSun"/>
                <w:sz w:val="20"/>
                <w:lang w:eastAsia="zh-CN"/>
              </w:rPr>
              <w:t xml:space="preserve">such as </w:t>
            </w:r>
            <w:r w:rsidRPr="007F3BA6">
              <w:rPr>
                <w:sz w:val="20"/>
              </w:rPr>
              <w:t>-48 VDC or AC UPS power feeding solutions.</w:t>
            </w:r>
          </w:p>
          <w:p w:rsidR="00600868" w:rsidRPr="007F3BA6" w:rsidRDefault="00600868" w:rsidP="007F3BA6">
            <w:pPr>
              <w:spacing w:before="60"/>
              <w:rPr>
                <w:sz w:val="20"/>
                <w:lang w:val="fr-CH"/>
              </w:rPr>
            </w:pPr>
            <w:r w:rsidRPr="007F3BA6">
              <w:rPr>
                <w:rFonts w:eastAsia="Malgun Gothic"/>
                <w:sz w:val="20"/>
                <w:lang w:val="fr-CH" w:eastAsia="ko-KR"/>
              </w:rPr>
              <w:t xml:space="preserve">URI : </w:t>
            </w:r>
            <w:hyperlink r:id="rId13" w:history="1">
              <w:r w:rsidRPr="007F3BA6">
                <w:rPr>
                  <w:rFonts w:eastAsia="SimSun"/>
                  <w:color w:val="0000FF"/>
                  <w:sz w:val="20"/>
                  <w:u w:val="single"/>
                  <w:lang w:val="fr-CH" w:eastAsia="ko-KR"/>
                </w:rPr>
                <w:t>http://www.itu.int/ITU-T/recommendations/rec.aspx?rec=11638</w:t>
              </w:r>
            </w:hyperlink>
          </w:p>
        </w:tc>
        <w:tc>
          <w:tcPr>
            <w:tcW w:w="1870" w:type="dxa"/>
            <w:shd w:val="clear" w:color="auto" w:fill="auto"/>
          </w:tcPr>
          <w:p w:rsidR="00600868" w:rsidRPr="007F3BA6" w:rsidRDefault="00600868" w:rsidP="00D71C71">
            <w:pPr>
              <w:rPr>
                <w:rFonts w:eastAsia="Malgun Gothic"/>
                <w:sz w:val="20"/>
                <w:lang w:eastAsia="ko-KR"/>
              </w:rPr>
            </w:pPr>
            <w:r w:rsidRPr="007F3BA6">
              <w:rPr>
                <w:rFonts w:eastAsia="Malgun Gothic"/>
                <w:sz w:val="20"/>
                <w:lang w:eastAsia="ko-KR"/>
              </w:rPr>
              <w:t>Recommendation</w:t>
            </w:r>
          </w:p>
        </w:tc>
        <w:tc>
          <w:tcPr>
            <w:tcW w:w="1245" w:type="dxa"/>
            <w:shd w:val="clear" w:color="auto" w:fill="auto"/>
          </w:tcPr>
          <w:p w:rsidR="00600868" w:rsidRPr="007F3BA6" w:rsidRDefault="00600868" w:rsidP="00D71C71">
            <w:pPr>
              <w:rPr>
                <w:rFonts w:eastAsia="Malgun Gothic"/>
                <w:sz w:val="20"/>
                <w:lang w:eastAsia="ko-KR"/>
              </w:rPr>
            </w:pPr>
          </w:p>
        </w:tc>
        <w:tc>
          <w:tcPr>
            <w:tcW w:w="1015" w:type="dxa"/>
            <w:shd w:val="clear" w:color="auto" w:fill="auto"/>
          </w:tcPr>
          <w:p w:rsidR="00600868" w:rsidRPr="007F3BA6" w:rsidRDefault="00600868" w:rsidP="00D71C71">
            <w:pPr>
              <w:rPr>
                <w:rFonts w:eastAsia="Malgun Gothic"/>
                <w:sz w:val="20"/>
                <w:lang w:eastAsia="ko-KR"/>
              </w:rPr>
            </w:pPr>
          </w:p>
        </w:tc>
      </w:tr>
      <w:tr w:rsidR="00600868" w:rsidRPr="00A22A92" w:rsidTr="00102E00">
        <w:trPr>
          <w:jc w:val="center"/>
        </w:trPr>
        <w:tc>
          <w:tcPr>
            <w:tcW w:w="1168" w:type="dxa"/>
          </w:tcPr>
          <w:p w:rsidR="00600868" w:rsidRPr="007F3BA6" w:rsidRDefault="00600868" w:rsidP="00D71C71">
            <w:pPr>
              <w:jc w:val="center"/>
              <w:rPr>
                <w:sz w:val="20"/>
                <w:lang w:eastAsia="ko-KR"/>
              </w:rPr>
            </w:pPr>
          </w:p>
        </w:tc>
        <w:tc>
          <w:tcPr>
            <w:tcW w:w="958" w:type="dxa"/>
            <w:shd w:val="clear" w:color="auto" w:fill="auto"/>
          </w:tcPr>
          <w:p w:rsidR="00600868" w:rsidRPr="007F3BA6" w:rsidRDefault="00600868">
            <w:pPr>
              <w:rPr>
                <w:rFonts w:eastAsia="Malgun Gothic"/>
                <w:sz w:val="20"/>
                <w:lang w:eastAsia="ko-KR"/>
              </w:rPr>
            </w:pPr>
            <w:r w:rsidRPr="007F3BA6">
              <w:rPr>
                <w:sz w:val="20"/>
                <w:lang w:eastAsia="ko-KR"/>
              </w:rPr>
              <w:t>ITU-T SG</w:t>
            </w:r>
            <w:r w:rsidRPr="007F3BA6">
              <w:rPr>
                <w:rFonts w:eastAsia="Malgun Gothic"/>
                <w:sz w:val="20"/>
                <w:lang w:eastAsia="ko-KR"/>
              </w:rPr>
              <w:t>5</w:t>
            </w:r>
            <w:r w:rsidRPr="007F3BA6">
              <w:rPr>
                <w:sz w:val="20"/>
                <w:lang w:eastAsia="ko-KR"/>
              </w:rPr>
              <w:t xml:space="preserve"> </w:t>
            </w:r>
            <w:r w:rsidRPr="007F3BA6">
              <w:rPr>
                <w:rFonts w:eastAsia="Malgun Gothic"/>
                <w:sz w:val="20"/>
                <w:lang w:eastAsia="ko-KR"/>
              </w:rPr>
              <w:t>Q17</w:t>
            </w:r>
          </w:p>
        </w:tc>
        <w:tc>
          <w:tcPr>
            <w:tcW w:w="2186" w:type="dxa"/>
            <w:shd w:val="clear" w:color="auto" w:fill="auto"/>
          </w:tcPr>
          <w:p w:rsidR="00600868" w:rsidRPr="007F3BA6" w:rsidRDefault="00600868" w:rsidP="00D71C71">
            <w:pPr>
              <w:rPr>
                <w:rFonts w:eastAsia="Malgun Gothic"/>
                <w:sz w:val="20"/>
                <w:lang w:eastAsia="ko-KR"/>
              </w:rPr>
            </w:pPr>
            <w:r w:rsidRPr="007F3BA6">
              <w:rPr>
                <w:b/>
                <w:sz w:val="20"/>
                <w:lang w:eastAsia="ko-KR"/>
              </w:rPr>
              <w:t xml:space="preserve">ITU-T </w:t>
            </w:r>
            <w:r w:rsidRPr="007F3BA6">
              <w:rPr>
                <w:rFonts w:eastAsia="Malgun Gothic"/>
                <w:b/>
                <w:sz w:val="20"/>
                <w:lang w:eastAsia="ko-KR"/>
              </w:rPr>
              <w:t>L.1300</w:t>
            </w:r>
            <w:r w:rsidRPr="007F3BA6">
              <w:rPr>
                <w:sz w:val="20"/>
                <w:lang w:eastAsia="ko-KR"/>
              </w:rPr>
              <w:t xml:space="preserve">, </w:t>
            </w:r>
            <w:r w:rsidRPr="007F3BA6">
              <w:rPr>
                <w:sz w:val="20"/>
              </w:rPr>
              <w:t>Best practices for green data centers</w:t>
            </w:r>
            <w:r w:rsidR="00982FA5" w:rsidRPr="007F3BA6">
              <w:rPr>
                <w:sz w:val="20"/>
              </w:rPr>
              <w:t xml:space="preserve"> </w:t>
            </w:r>
          </w:p>
          <w:p w:rsidR="00600868" w:rsidRPr="007F3BA6" w:rsidRDefault="00600868" w:rsidP="00D71C71">
            <w:pPr>
              <w:rPr>
                <w:rFonts w:eastAsia="Malgun Gothic"/>
                <w:sz w:val="20"/>
                <w:lang w:eastAsia="ko-KR"/>
              </w:rPr>
            </w:pPr>
          </w:p>
        </w:tc>
        <w:tc>
          <w:tcPr>
            <w:tcW w:w="5952" w:type="dxa"/>
            <w:shd w:val="clear" w:color="auto" w:fill="auto"/>
          </w:tcPr>
          <w:p w:rsidR="00600868" w:rsidRPr="007F3BA6" w:rsidRDefault="00600868" w:rsidP="00D71C71">
            <w:pPr>
              <w:rPr>
                <w:rFonts w:eastAsia="SimSun"/>
                <w:sz w:val="20"/>
                <w:lang w:eastAsia="ko-KR"/>
              </w:rPr>
            </w:pPr>
            <w:r w:rsidRPr="007F3BA6">
              <w:rPr>
                <w:rFonts w:eastAsia="SimSun"/>
                <w:sz w:val="20"/>
                <w:lang w:eastAsia="ko-KR"/>
              </w:rPr>
              <w:t xml:space="preserve">Recommendation ITU-T L.1300 describes best practices aimed at reducing the negative impact of data centers on the climate. It is commonly recognized that data centers will have an ever-increasing impact on the environment in the future. The application of the best practices defined in this document can help owners and managers to build future data centers, or improve existing ones, to operate in an environmentally responsible manner.  Such considerations will strongly contribute to a reduction in the impact of the Information and Communication Technology (ICT) sector on climate change. </w:t>
            </w:r>
          </w:p>
          <w:p w:rsidR="00600868" w:rsidRPr="007F3BA6" w:rsidRDefault="00600868" w:rsidP="007F3BA6">
            <w:pPr>
              <w:tabs>
                <w:tab w:val="clear" w:pos="794"/>
                <w:tab w:val="left" w:pos="465"/>
              </w:tabs>
              <w:spacing w:before="60"/>
              <w:rPr>
                <w:rFonts w:eastAsia="Malgun Gothic"/>
                <w:sz w:val="20"/>
                <w:lang w:val="fr-CH" w:eastAsia="ko-KR"/>
              </w:rPr>
            </w:pPr>
            <w:r w:rsidRPr="007F3BA6">
              <w:rPr>
                <w:rFonts w:eastAsia="Malgun Gothic"/>
                <w:sz w:val="20"/>
                <w:lang w:val="fr-CH" w:eastAsia="ko-KR"/>
              </w:rPr>
              <w:t xml:space="preserve">URI : </w:t>
            </w:r>
            <w:hyperlink r:id="rId14" w:history="1">
              <w:r w:rsidRPr="007F3BA6">
                <w:rPr>
                  <w:rFonts w:eastAsia="Malgun Gothic"/>
                  <w:color w:val="0000FF"/>
                  <w:sz w:val="20"/>
                  <w:u w:val="single"/>
                  <w:lang w:val="fr-CH" w:eastAsia="ko-KR"/>
                </w:rPr>
                <w:t>http://www.itu.int/ITU-T/recommendations/rec.aspx?rec=11429</w:t>
              </w:r>
            </w:hyperlink>
            <w:r w:rsidRPr="007F3BA6">
              <w:rPr>
                <w:rFonts w:eastAsia="Malgun Gothic"/>
                <w:sz w:val="20"/>
                <w:lang w:val="fr-CH" w:eastAsia="ko-KR"/>
              </w:rPr>
              <w:t xml:space="preserve"> </w:t>
            </w:r>
          </w:p>
        </w:tc>
        <w:tc>
          <w:tcPr>
            <w:tcW w:w="1870" w:type="dxa"/>
            <w:shd w:val="clear" w:color="auto" w:fill="auto"/>
          </w:tcPr>
          <w:p w:rsidR="00600868" w:rsidRPr="007F3BA6" w:rsidRDefault="00600868" w:rsidP="00D71C71">
            <w:pPr>
              <w:rPr>
                <w:sz w:val="20"/>
                <w:lang w:val="fr-CH" w:eastAsia="ko-KR"/>
              </w:rPr>
            </w:pPr>
            <w:r w:rsidRPr="007F3BA6">
              <w:rPr>
                <w:rFonts w:eastAsia="Malgun Gothic"/>
                <w:sz w:val="20"/>
                <w:lang w:val="fr-CH" w:eastAsia="ko-KR"/>
              </w:rPr>
              <w:t>Recommendation</w:t>
            </w:r>
          </w:p>
        </w:tc>
        <w:tc>
          <w:tcPr>
            <w:tcW w:w="1245" w:type="dxa"/>
            <w:shd w:val="clear" w:color="auto" w:fill="auto"/>
          </w:tcPr>
          <w:p w:rsidR="00600868" w:rsidRPr="007F3BA6" w:rsidRDefault="00600868" w:rsidP="00D71C71">
            <w:pPr>
              <w:rPr>
                <w:rFonts w:eastAsia="Malgun Gothic"/>
                <w:sz w:val="20"/>
                <w:lang w:eastAsia="ko-KR"/>
              </w:rPr>
            </w:pPr>
          </w:p>
        </w:tc>
        <w:tc>
          <w:tcPr>
            <w:tcW w:w="1015" w:type="dxa"/>
            <w:shd w:val="clear" w:color="auto" w:fill="auto"/>
          </w:tcPr>
          <w:p w:rsidR="00600868" w:rsidRPr="007F3BA6" w:rsidRDefault="00600868" w:rsidP="00D71C71">
            <w:pPr>
              <w:rPr>
                <w:rFonts w:eastAsia="Malgun Gothic"/>
                <w:sz w:val="20"/>
                <w:lang w:eastAsia="ko-KR"/>
              </w:rPr>
            </w:pPr>
          </w:p>
        </w:tc>
      </w:tr>
    </w:tbl>
    <w:p w:rsidR="002A23B6" w:rsidRDefault="002A23B6">
      <w:r>
        <w:br w:type="page"/>
      </w:r>
    </w:p>
    <w:tbl>
      <w:tblPr>
        <w:tblW w:w="14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975"/>
        <w:gridCol w:w="2141"/>
        <w:gridCol w:w="5952"/>
        <w:gridCol w:w="1850"/>
        <w:gridCol w:w="1265"/>
        <w:gridCol w:w="1014"/>
      </w:tblGrid>
      <w:tr w:rsidR="002A23B6" w:rsidRPr="008948CC" w:rsidTr="002A23B6">
        <w:trPr>
          <w:jc w:val="center"/>
        </w:trPr>
        <w:tc>
          <w:tcPr>
            <w:tcW w:w="1182" w:type="dxa"/>
            <w:tcBorders>
              <w:top w:val="single" w:sz="4" w:space="0" w:color="auto"/>
              <w:left w:val="single" w:sz="4" w:space="0" w:color="auto"/>
              <w:bottom w:val="single" w:sz="4" w:space="0" w:color="auto"/>
              <w:right w:val="single" w:sz="4" w:space="0" w:color="auto"/>
            </w:tcBorders>
          </w:tcPr>
          <w:p w:rsidR="002A23B6" w:rsidRPr="008948CC" w:rsidRDefault="002A23B6" w:rsidP="002A23B6">
            <w:pPr>
              <w:pStyle w:val="Tablehead"/>
              <w:rPr>
                <w:sz w:val="20"/>
                <w:lang w:eastAsia="ko-KR"/>
              </w:rPr>
            </w:pPr>
            <w:r w:rsidRPr="008948CC">
              <w:rPr>
                <w:sz w:val="20"/>
                <w:lang w:eastAsia="ko-KR"/>
              </w:rPr>
              <w:lastRenderedPageBreak/>
              <w:t>Activity domain</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2A23B6" w:rsidRPr="008948CC" w:rsidRDefault="002A23B6" w:rsidP="002A23B6">
            <w:pPr>
              <w:pStyle w:val="Tablehead"/>
              <w:rPr>
                <w:rFonts w:eastAsia="Malgun Gothic"/>
                <w:sz w:val="20"/>
                <w:lang w:eastAsia="ko-KR"/>
              </w:rPr>
            </w:pPr>
            <w:r w:rsidRPr="008948CC">
              <w:rPr>
                <w:rFonts w:eastAsia="Malgun Gothic"/>
                <w:sz w:val="20"/>
                <w:lang w:eastAsia="ko-KR"/>
              </w:rPr>
              <w:t>Entity</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2A23B6" w:rsidRPr="008948CC" w:rsidRDefault="002A23B6" w:rsidP="002A23B6">
            <w:pPr>
              <w:pStyle w:val="Tablehead"/>
              <w:rPr>
                <w:sz w:val="20"/>
              </w:rPr>
            </w:pPr>
            <w:r w:rsidRPr="008948CC">
              <w:rPr>
                <w:sz w:val="20"/>
              </w:rPr>
              <w:t>Title of deliverable</w:t>
            </w:r>
          </w:p>
        </w:tc>
        <w:tc>
          <w:tcPr>
            <w:tcW w:w="5952" w:type="dxa"/>
            <w:tcBorders>
              <w:top w:val="single" w:sz="4" w:space="0" w:color="auto"/>
              <w:left w:val="single" w:sz="4" w:space="0" w:color="auto"/>
              <w:bottom w:val="single" w:sz="4" w:space="0" w:color="auto"/>
              <w:right w:val="single" w:sz="4" w:space="0" w:color="auto"/>
            </w:tcBorders>
            <w:shd w:val="clear" w:color="auto" w:fill="auto"/>
          </w:tcPr>
          <w:p w:rsidR="002A23B6" w:rsidRPr="008948CC" w:rsidRDefault="002A23B6" w:rsidP="002A23B6">
            <w:pPr>
              <w:pStyle w:val="Tablehead"/>
              <w:rPr>
                <w:sz w:val="20"/>
                <w:lang w:eastAsia="en-CA"/>
              </w:rPr>
            </w:pPr>
            <w:r w:rsidRPr="008948CC">
              <w:rPr>
                <w:sz w:val="20"/>
                <w:lang w:eastAsia="en-CA"/>
              </w:rPr>
              <w:t>Scope of deliverable</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2A23B6" w:rsidRPr="008948CC" w:rsidRDefault="002A23B6" w:rsidP="002A23B6">
            <w:pPr>
              <w:pStyle w:val="Tablehead"/>
              <w:rPr>
                <w:rFonts w:eastAsia="Malgun Gothic"/>
                <w:sz w:val="20"/>
                <w:lang w:eastAsia="ko-KR"/>
              </w:rPr>
            </w:pPr>
            <w:r w:rsidRPr="008948CC">
              <w:rPr>
                <w:rFonts w:eastAsia="Malgun Gothic"/>
                <w:sz w:val="20"/>
                <w:lang w:eastAsia="ko-KR"/>
              </w:rPr>
              <w:t>Current status</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2A23B6" w:rsidRPr="008948CC" w:rsidRDefault="002A23B6" w:rsidP="002A23B6">
            <w:pPr>
              <w:pStyle w:val="Tablehead"/>
              <w:rPr>
                <w:rFonts w:eastAsia="Malgun Gothic"/>
                <w:sz w:val="20"/>
                <w:lang w:eastAsia="ko-KR"/>
              </w:rPr>
            </w:pPr>
            <w:r w:rsidRPr="008948CC">
              <w:rPr>
                <w:rFonts w:eastAsia="Malgun Gothic"/>
                <w:sz w:val="20"/>
                <w:lang w:eastAsia="ko-KR"/>
              </w:rPr>
              <w:t>Starting date</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2A23B6" w:rsidRPr="008948CC" w:rsidRDefault="002A23B6" w:rsidP="002A23B6">
            <w:pPr>
              <w:pStyle w:val="Tablehead"/>
              <w:rPr>
                <w:rFonts w:eastAsia="Malgun Gothic"/>
                <w:sz w:val="20"/>
                <w:lang w:eastAsia="ko-KR"/>
              </w:rPr>
            </w:pPr>
            <w:r w:rsidRPr="008948CC">
              <w:rPr>
                <w:rFonts w:eastAsia="Malgun Gothic"/>
                <w:sz w:val="20"/>
                <w:lang w:eastAsia="ko-KR"/>
              </w:rPr>
              <w:t>Target date</w:t>
            </w:r>
          </w:p>
        </w:tc>
      </w:tr>
      <w:tr w:rsidR="00C74981" w:rsidRPr="008948CC" w:rsidTr="00102E00">
        <w:trPr>
          <w:jc w:val="center"/>
        </w:trPr>
        <w:tc>
          <w:tcPr>
            <w:tcW w:w="1182" w:type="dxa"/>
          </w:tcPr>
          <w:p w:rsidR="00F974F2" w:rsidRPr="008948CC" w:rsidRDefault="00F974F2">
            <w:pPr>
              <w:spacing w:beforeLines="20" w:before="48" w:afterLines="20" w:after="48"/>
              <w:jc w:val="center"/>
              <w:rPr>
                <w:sz w:val="20"/>
                <w:lang w:eastAsia="ko-KR"/>
              </w:rPr>
            </w:pPr>
          </w:p>
        </w:tc>
        <w:tc>
          <w:tcPr>
            <w:tcW w:w="975" w:type="dxa"/>
            <w:shd w:val="clear" w:color="auto" w:fill="auto"/>
          </w:tcPr>
          <w:p w:rsidR="00F974F2" w:rsidRPr="008948CC" w:rsidRDefault="00F974F2">
            <w:pPr>
              <w:spacing w:beforeLines="20" w:before="48" w:afterLines="20" w:after="48"/>
              <w:rPr>
                <w:rFonts w:eastAsia="Malgun Gothic"/>
                <w:sz w:val="20"/>
                <w:lang w:eastAsia="ko-KR"/>
              </w:rPr>
            </w:pPr>
            <w:r w:rsidRPr="008948CC">
              <w:rPr>
                <w:rFonts w:eastAsia="Malgun Gothic"/>
                <w:sz w:val="20"/>
                <w:lang w:eastAsia="ko-KR"/>
              </w:rPr>
              <w:t>ITU-T SG5 Q17</w:t>
            </w:r>
          </w:p>
        </w:tc>
        <w:tc>
          <w:tcPr>
            <w:tcW w:w="2141" w:type="dxa"/>
            <w:shd w:val="clear" w:color="auto" w:fill="auto"/>
          </w:tcPr>
          <w:p w:rsidR="00F974F2" w:rsidRPr="008948CC" w:rsidRDefault="00F974F2">
            <w:pPr>
              <w:spacing w:beforeLines="20" w:before="48" w:afterLines="20" w:after="48"/>
              <w:rPr>
                <w:b/>
                <w:sz w:val="20"/>
              </w:rPr>
            </w:pPr>
            <w:r w:rsidRPr="008948CC">
              <w:rPr>
                <w:sz w:val="20"/>
              </w:rPr>
              <w:t>Technical Paper on best practices for network infrastructure (ex Technical Paper network best practices)</w:t>
            </w:r>
          </w:p>
        </w:tc>
        <w:tc>
          <w:tcPr>
            <w:tcW w:w="5952" w:type="dxa"/>
            <w:shd w:val="clear" w:color="auto" w:fill="auto"/>
          </w:tcPr>
          <w:p w:rsidR="00F974F2" w:rsidRPr="008948CC" w:rsidRDefault="00F974F2">
            <w:pPr>
              <w:spacing w:beforeLines="20" w:before="48" w:afterLines="20" w:after="48"/>
              <w:rPr>
                <w:sz w:val="20"/>
                <w:lang w:eastAsia="ko-KR"/>
              </w:rPr>
            </w:pPr>
            <w:r w:rsidRPr="008948CC">
              <w:rPr>
                <w:sz w:val="20"/>
                <w:lang w:eastAsia="en-CA"/>
              </w:rPr>
              <w:t>This Technical Paper has been developed to introduce</w:t>
            </w:r>
            <w:r w:rsidRPr="008948CC">
              <w:rPr>
                <w:sz w:val="20"/>
                <w:lang w:eastAsia="zh-CN"/>
              </w:rPr>
              <w:t xml:space="preserve"> high-efficiency network infrastructure solutions, including high-efficiency power solutions, renewable energy solutions, free and economized cooling solutions and energy-saving air conditioner cooling solutions. For every solution, a definition, principles, features and application conditions are introduced.</w:t>
            </w:r>
          </w:p>
        </w:tc>
        <w:tc>
          <w:tcPr>
            <w:tcW w:w="1850" w:type="dxa"/>
            <w:shd w:val="clear" w:color="auto" w:fill="auto"/>
          </w:tcPr>
          <w:p w:rsidR="00F974F2" w:rsidRPr="008948CC" w:rsidRDefault="00982FA5">
            <w:pPr>
              <w:spacing w:beforeLines="20" w:before="48" w:afterLines="20" w:after="48"/>
              <w:rPr>
                <w:rFonts w:eastAsia="Malgun Gothic"/>
                <w:sz w:val="20"/>
                <w:lang w:eastAsia="ko-KR"/>
              </w:rPr>
            </w:pPr>
            <w:r w:rsidRPr="008948CC">
              <w:rPr>
                <w:rFonts w:eastAsia="Malgun Gothic"/>
                <w:sz w:val="20"/>
                <w:lang w:eastAsia="ko-KR"/>
              </w:rPr>
              <w:t>Published</w:t>
            </w:r>
          </w:p>
        </w:tc>
        <w:tc>
          <w:tcPr>
            <w:tcW w:w="1265" w:type="dxa"/>
            <w:shd w:val="clear" w:color="auto" w:fill="auto"/>
          </w:tcPr>
          <w:p w:rsidR="00F974F2" w:rsidRPr="008948CC" w:rsidRDefault="00F974F2">
            <w:pPr>
              <w:spacing w:beforeLines="20" w:before="48" w:afterLines="20" w:after="48"/>
              <w:rPr>
                <w:sz w:val="20"/>
                <w:lang w:eastAsia="ko-KR"/>
              </w:rPr>
            </w:pPr>
            <w:r w:rsidRPr="008948CC">
              <w:rPr>
                <w:rFonts w:eastAsia="Malgun Gothic"/>
                <w:sz w:val="20"/>
                <w:lang w:eastAsia="ko-KR"/>
              </w:rPr>
              <w:t>2012-10-08</w:t>
            </w:r>
          </w:p>
        </w:tc>
        <w:tc>
          <w:tcPr>
            <w:tcW w:w="1014" w:type="dxa"/>
            <w:shd w:val="clear" w:color="auto" w:fill="auto"/>
          </w:tcPr>
          <w:p w:rsidR="00F974F2" w:rsidRPr="008948CC" w:rsidRDefault="00F974F2">
            <w:pPr>
              <w:spacing w:beforeLines="20" w:before="48" w:afterLines="20" w:after="48"/>
              <w:rPr>
                <w:rFonts w:eastAsia="Malgun Gothic"/>
                <w:sz w:val="20"/>
                <w:lang w:eastAsia="ko-KR"/>
              </w:rPr>
            </w:pPr>
            <w:r w:rsidRPr="008948CC">
              <w:rPr>
                <w:rFonts w:eastAsia="Malgun Gothic"/>
                <w:sz w:val="20"/>
                <w:lang w:eastAsia="ko-KR"/>
              </w:rPr>
              <w:t>Approved in 2013-12-13</w:t>
            </w:r>
          </w:p>
        </w:tc>
      </w:tr>
      <w:tr w:rsidR="00C74981" w:rsidRPr="008948CC" w:rsidTr="00102E00">
        <w:trPr>
          <w:jc w:val="center"/>
        </w:trPr>
        <w:tc>
          <w:tcPr>
            <w:tcW w:w="1182" w:type="dxa"/>
          </w:tcPr>
          <w:p w:rsidR="00F974F2" w:rsidRPr="008948CC" w:rsidRDefault="00F974F2">
            <w:pPr>
              <w:spacing w:beforeLines="20" w:before="48" w:afterLines="20" w:after="48"/>
              <w:jc w:val="center"/>
              <w:rPr>
                <w:sz w:val="20"/>
                <w:lang w:eastAsia="ko-KR"/>
              </w:rPr>
            </w:pPr>
          </w:p>
        </w:tc>
        <w:tc>
          <w:tcPr>
            <w:tcW w:w="975" w:type="dxa"/>
            <w:shd w:val="clear" w:color="auto" w:fill="auto"/>
          </w:tcPr>
          <w:p w:rsidR="00F974F2" w:rsidRPr="008948CC" w:rsidRDefault="00F974F2">
            <w:pPr>
              <w:spacing w:beforeLines="20" w:before="48" w:afterLines="20" w:after="48"/>
              <w:rPr>
                <w:rFonts w:eastAsia="Malgun Gothic"/>
                <w:sz w:val="20"/>
                <w:lang w:eastAsia="ko-KR"/>
              </w:rPr>
            </w:pPr>
            <w:r w:rsidRPr="008948CC">
              <w:rPr>
                <w:rFonts w:eastAsia="Malgun Gothic"/>
                <w:sz w:val="20"/>
                <w:lang w:eastAsia="ko-KR"/>
              </w:rPr>
              <w:t>ITU-T SG5 Q17</w:t>
            </w:r>
          </w:p>
        </w:tc>
        <w:tc>
          <w:tcPr>
            <w:tcW w:w="2141" w:type="dxa"/>
            <w:shd w:val="clear" w:color="auto" w:fill="auto"/>
          </w:tcPr>
          <w:p w:rsidR="00F974F2" w:rsidRPr="008948CC" w:rsidRDefault="00F974F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sz w:val="20"/>
                <w:lang w:eastAsia="zh-CN"/>
              </w:rPr>
            </w:pPr>
            <w:r w:rsidRPr="008948CC">
              <w:rPr>
                <w:sz w:val="20"/>
              </w:rPr>
              <w:t xml:space="preserve">Supplement on </w:t>
            </w:r>
            <w:r w:rsidRPr="008948CC">
              <w:rPr>
                <w:sz w:val="20"/>
                <w:lang w:eastAsia="ko-KR"/>
              </w:rPr>
              <w:t>Experimental studies on plates and ducts installed at equipment inlets and outlets</w:t>
            </w:r>
          </w:p>
        </w:tc>
        <w:tc>
          <w:tcPr>
            <w:tcW w:w="5952" w:type="dxa"/>
            <w:shd w:val="clear" w:color="auto" w:fill="auto"/>
          </w:tcPr>
          <w:p w:rsidR="00F974F2" w:rsidRPr="008948CC" w:rsidRDefault="00F974F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sz w:val="20"/>
                <w:lang w:eastAsia="zh-CN"/>
              </w:rPr>
            </w:pPr>
            <w:r w:rsidRPr="008948CC">
              <w:rPr>
                <w:sz w:val="20"/>
                <w:lang w:eastAsia="ko-KR"/>
              </w:rPr>
              <w:t>Experimental studies on plates and ducts installed at equipment inlets and outlets</w:t>
            </w:r>
          </w:p>
        </w:tc>
        <w:tc>
          <w:tcPr>
            <w:tcW w:w="1850" w:type="dxa"/>
            <w:shd w:val="clear" w:color="auto" w:fill="auto"/>
          </w:tcPr>
          <w:p w:rsidR="00F974F2" w:rsidRPr="008948CC" w:rsidRDefault="00F974F2">
            <w:pPr>
              <w:spacing w:beforeLines="20" w:before="48" w:afterLines="20" w:after="48"/>
              <w:rPr>
                <w:rFonts w:eastAsia="Malgun Gothic"/>
                <w:sz w:val="20"/>
                <w:lang w:eastAsia="ko-KR"/>
              </w:rPr>
            </w:pPr>
            <w:r w:rsidRPr="008948CC">
              <w:rPr>
                <w:rFonts w:eastAsia="Malgun Gothic"/>
                <w:sz w:val="20"/>
                <w:lang w:eastAsia="ko-KR"/>
              </w:rPr>
              <w:t>Approved</w:t>
            </w:r>
          </w:p>
        </w:tc>
        <w:tc>
          <w:tcPr>
            <w:tcW w:w="1265" w:type="dxa"/>
            <w:shd w:val="clear" w:color="auto" w:fill="auto"/>
          </w:tcPr>
          <w:p w:rsidR="00F974F2" w:rsidRPr="008948CC" w:rsidRDefault="00F974F2">
            <w:pPr>
              <w:spacing w:beforeLines="20" w:before="48" w:afterLines="20" w:after="48"/>
              <w:rPr>
                <w:sz w:val="20"/>
                <w:lang w:eastAsia="ko-KR"/>
              </w:rPr>
            </w:pPr>
            <w:r w:rsidRPr="008948CC">
              <w:rPr>
                <w:rFonts w:eastAsia="Malgun Gothic"/>
                <w:sz w:val="20"/>
                <w:lang w:eastAsia="ko-KR"/>
              </w:rPr>
              <w:t>2012-10-08</w:t>
            </w:r>
          </w:p>
        </w:tc>
        <w:tc>
          <w:tcPr>
            <w:tcW w:w="1014" w:type="dxa"/>
            <w:shd w:val="clear" w:color="auto" w:fill="auto"/>
          </w:tcPr>
          <w:p w:rsidR="00F974F2" w:rsidRPr="008948CC" w:rsidRDefault="00F974F2">
            <w:pPr>
              <w:spacing w:beforeLines="20" w:before="48" w:afterLines="20" w:after="48"/>
              <w:rPr>
                <w:rFonts w:eastAsia="Malgun Gothic"/>
                <w:sz w:val="20"/>
                <w:lang w:eastAsia="ko-KR"/>
              </w:rPr>
            </w:pPr>
            <w:r w:rsidRPr="008948CC">
              <w:rPr>
                <w:rFonts w:eastAsia="Malgun Gothic"/>
                <w:sz w:val="20"/>
                <w:lang w:eastAsia="ko-KR"/>
              </w:rPr>
              <w:t>Approved in 201</w:t>
            </w:r>
            <w:r w:rsidR="008F4841">
              <w:rPr>
                <w:rFonts w:eastAsia="Malgun Gothic"/>
                <w:sz w:val="20"/>
                <w:lang w:eastAsia="ko-KR"/>
              </w:rPr>
              <w:t>4</w:t>
            </w:r>
            <w:r w:rsidRPr="008948CC">
              <w:rPr>
                <w:rFonts w:eastAsia="Malgun Gothic"/>
                <w:sz w:val="20"/>
                <w:lang w:eastAsia="ko-KR"/>
              </w:rPr>
              <w:t>-</w:t>
            </w:r>
          </w:p>
        </w:tc>
      </w:tr>
      <w:tr w:rsidR="00C74981" w:rsidRPr="008948CC" w:rsidTr="00102E00">
        <w:trPr>
          <w:jc w:val="center"/>
        </w:trPr>
        <w:tc>
          <w:tcPr>
            <w:tcW w:w="1182" w:type="dxa"/>
          </w:tcPr>
          <w:p w:rsidR="00F974F2" w:rsidRPr="008948CC" w:rsidRDefault="00F974F2">
            <w:pPr>
              <w:spacing w:beforeLines="20" w:before="48" w:afterLines="20" w:after="48"/>
              <w:jc w:val="center"/>
              <w:rPr>
                <w:sz w:val="20"/>
                <w:lang w:eastAsia="ko-KR"/>
              </w:rPr>
            </w:pPr>
          </w:p>
        </w:tc>
        <w:tc>
          <w:tcPr>
            <w:tcW w:w="975" w:type="dxa"/>
            <w:shd w:val="clear" w:color="auto" w:fill="auto"/>
          </w:tcPr>
          <w:p w:rsidR="00F974F2" w:rsidRPr="008948CC" w:rsidRDefault="00F974F2">
            <w:pPr>
              <w:spacing w:beforeLines="20" w:before="48" w:afterLines="20" w:after="48"/>
              <w:rPr>
                <w:rFonts w:eastAsia="Malgun Gothic"/>
                <w:sz w:val="20"/>
                <w:lang w:eastAsia="ko-KR"/>
              </w:rPr>
            </w:pPr>
            <w:r w:rsidRPr="008948CC">
              <w:rPr>
                <w:rFonts w:eastAsia="Malgun Gothic"/>
                <w:sz w:val="20"/>
                <w:lang w:eastAsia="ko-KR"/>
              </w:rPr>
              <w:t>ITU-T SG5 Q17</w:t>
            </w:r>
          </w:p>
        </w:tc>
        <w:tc>
          <w:tcPr>
            <w:tcW w:w="2141" w:type="dxa"/>
            <w:shd w:val="clear" w:color="auto" w:fill="auto"/>
          </w:tcPr>
          <w:p w:rsidR="00F974F2" w:rsidRPr="008948CC" w:rsidRDefault="00F974F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sz w:val="20"/>
                <w:lang w:eastAsia="zh-CN"/>
              </w:rPr>
            </w:pPr>
            <w:r w:rsidRPr="008948CC">
              <w:rPr>
                <w:sz w:val="20"/>
              </w:rPr>
              <w:t xml:space="preserve">Supplement on minimum data set for energy efficiency </w:t>
            </w:r>
          </w:p>
        </w:tc>
        <w:tc>
          <w:tcPr>
            <w:tcW w:w="5952" w:type="dxa"/>
            <w:shd w:val="clear" w:color="auto" w:fill="auto"/>
          </w:tcPr>
          <w:p w:rsidR="00F974F2" w:rsidRPr="008948CC" w:rsidRDefault="00F974F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sz w:val="20"/>
                <w:lang w:eastAsia="zh-CN"/>
              </w:rPr>
            </w:pPr>
            <w:r w:rsidRPr="008948CC">
              <w:rPr>
                <w:sz w:val="20"/>
              </w:rPr>
              <w:t>Rationale for minimum data set for evaluating energy efficiency and for controlling data centre equipment in view of power saving</w:t>
            </w:r>
          </w:p>
        </w:tc>
        <w:tc>
          <w:tcPr>
            <w:tcW w:w="1850" w:type="dxa"/>
            <w:shd w:val="clear" w:color="auto" w:fill="auto"/>
          </w:tcPr>
          <w:p w:rsidR="00F974F2" w:rsidRPr="008948CC" w:rsidRDefault="00F974F2">
            <w:pPr>
              <w:spacing w:beforeLines="20" w:before="48" w:afterLines="20" w:after="48"/>
              <w:rPr>
                <w:rFonts w:eastAsia="Malgun Gothic"/>
                <w:sz w:val="20"/>
                <w:lang w:eastAsia="ko-KR"/>
              </w:rPr>
            </w:pPr>
            <w:r w:rsidRPr="008948CC">
              <w:rPr>
                <w:rFonts w:eastAsia="Malgun Gothic"/>
                <w:sz w:val="20"/>
                <w:lang w:eastAsia="ko-KR"/>
              </w:rPr>
              <w:t>Approved</w:t>
            </w:r>
          </w:p>
        </w:tc>
        <w:tc>
          <w:tcPr>
            <w:tcW w:w="1265" w:type="dxa"/>
            <w:shd w:val="clear" w:color="auto" w:fill="auto"/>
          </w:tcPr>
          <w:p w:rsidR="00F974F2" w:rsidRPr="008948CC" w:rsidRDefault="00F974F2">
            <w:pPr>
              <w:spacing w:beforeLines="20" w:before="48" w:afterLines="20" w:after="48"/>
              <w:rPr>
                <w:sz w:val="20"/>
                <w:lang w:eastAsia="ko-KR"/>
              </w:rPr>
            </w:pPr>
            <w:r w:rsidRPr="008948CC">
              <w:rPr>
                <w:rFonts w:eastAsia="Malgun Gothic"/>
                <w:sz w:val="20"/>
                <w:lang w:eastAsia="ko-KR"/>
              </w:rPr>
              <w:t>2012-10-08</w:t>
            </w:r>
          </w:p>
        </w:tc>
        <w:tc>
          <w:tcPr>
            <w:tcW w:w="1014" w:type="dxa"/>
            <w:shd w:val="clear" w:color="auto" w:fill="auto"/>
          </w:tcPr>
          <w:p w:rsidR="00F974F2" w:rsidRPr="008948CC" w:rsidRDefault="00F974F2">
            <w:pPr>
              <w:spacing w:beforeLines="20" w:before="48" w:afterLines="20" w:after="48"/>
              <w:rPr>
                <w:rFonts w:eastAsia="Malgun Gothic"/>
                <w:sz w:val="20"/>
                <w:lang w:eastAsia="ko-KR"/>
              </w:rPr>
            </w:pPr>
            <w:r w:rsidRPr="008948CC">
              <w:rPr>
                <w:rFonts w:eastAsia="Malgun Gothic"/>
                <w:sz w:val="20"/>
                <w:lang w:eastAsia="ko-KR"/>
              </w:rPr>
              <w:t>Approved in 201</w:t>
            </w:r>
            <w:r w:rsidR="008F4841">
              <w:rPr>
                <w:rFonts w:eastAsia="Malgun Gothic"/>
                <w:sz w:val="20"/>
                <w:lang w:eastAsia="ko-KR"/>
              </w:rPr>
              <w:t>4</w:t>
            </w:r>
            <w:r w:rsidRPr="008948CC">
              <w:rPr>
                <w:rFonts w:eastAsia="Malgun Gothic"/>
                <w:sz w:val="20"/>
                <w:lang w:eastAsia="ko-KR"/>
              </w:rPr>
              <w:t>-</w:t>
            </w:r>
          </w:p>
        </w:tc>
      </w:tr>
      <w:tr w:rsidR="00C74981" w:rsidRPr="008948CC" w:rsidTr="00102E00">
        <w:trPr>
          <w:jc w:val="center"/>
        </w:trPr>
        <w:tc>
          <w:tcPr>
            <w:tcW w:w="1182" w:type="dxa"/>
          </w:tcPr>
          <w:p w:rsidR="00F974F2" w:rsidRPr="008948CC" w:rsidRDefault="00F974F2">
            <w:pPr>
              <w:spacing w:beforeLines="20" w:before="48" w:afterLines="20" w:after="48"/>
              <w:jc w:val="center"/>
              <w:rPr>
                <w:sz w:val="20"/>
                <w:lang w:eastAsia="ko-KR"/>
              </w:rPr>
            </w:pPr>
          </w:p>
        </w:tc>
        <w:tc>
          <w:tcPr>
            <w:tcW w:w="975" w:type="dxa"/>
            <w:shd w:val="clear" w:color="auto" w:fill="auto"/>
          </w:tcPr>
          <w:p w:rsidR="00F974F2" w:rsidRPr="008948CC" w:rsidRDefault="00F974F2">
            <w:pPr>
              <w:spacing w:beforeLines="20" w:before="48" w:afterLines="20" w:after="48"/>
              <w:rPr>
                <w:rFonts w:eastAsia="Malgun Gothic"/>
                <w:sz w:val="20"/>
                <w:lang w:eastAsia="ko-KR"/>
              </w:rPr>
            </w:pPr>
            <w:r w:rsidRPr="008948CC">
              <w:rPr>
                <w:rFonts w:eastAsia="Malgun Gothic"/>
                <w:sz w:val="20"/>
                <w:lang w:eastAsia="ko-KR"/>
              </w:rPr>
              <w:t>ITU-T SG5 Q17</w:t>
            </w:r>
          </w:p>
        </w:tc>
        <w:tc>
          <w:tcPr>
            <w:tcW w:w="2141" w:type="dxa"/>
            <w:shd w:val="clear" w:color="auto" w:fill="auto"/>
          </w:tcPr>
          <w:p w:rsidR="00F974F2" w:rsidRPr="008948CC" w:rsidRDefault="00F974F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sz w:val="20"/>
                <w:lang w:eastAsia="zh-CN"/>
              </w:rPr>
            </w:pPr>
            <w:r w:rsidRPr="008948CC">
              <w:rPr>
                <w:sz w:val="20"/>
              </w:rPr>
              <w:t>Supplement on energy savings through free cooling”</w:t>
            </w:r>
          </w:p>
        </w:tc>
        <w:tc>
          <w:tcPr>
            <w:tcW w:w="5952" w:type="dxa"/>
            <w:shd w:val="clear" w:color="auto" w:fill="auto"/>
          </w:tcPr>
          <w:p w:rsidR="00F974F2" w:rsidRPr="008948CC" w:rsidRDefault="00F974F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sz w:val="20"/>
                <w:lang w:eastAsia="zh-CN"/>
              </w:rPr>
            </w:pPr>
            <w:r w:rsidRPr="008948CC">
              <w:rPr>
                <w:sz w:val="20"/>
              </w:rPr>
              <w:t>Potential for primary energy savings in TLC/ICT centres through free cooling</w:t>
            </w:r>
          </w:p>
        </w:tc>
        <w:tc>
          <w:tcPr>
            <w:tcW w:w="1850" w:type="dxa"/>
            <w:shd w:val="clear" w:color="auto" w:fill="auto"/>
          </w:tcPr>
          <w:p w:rsidR="00F974F2" w:rsidRPr="008948CC" w:rsidRDefault="00F974F2">
            <w:pPr>
              <w:spacing w:beforeLines="20" w:before="48" w:afterLines="20" w:after="48"/>
              <w:rPr>
                <w:rFonts w:eastAsia="Malgun Gothic"/>
                <w:sz w:val="20"/>
                <w:lang w:eastAsia="ko-KR"/>
              </w:rPr>
            </w:pPr>
            <w:r w:rsidRPr="008948CC">
              <w:rPr>
                <w:rFonts w:eastAsia="Malgun Gothic"/>
                <w:sz w:val="20"/>
                <w:lang w:eastAsia="ko-KR"/>
              </w:rPr>
              <w:t>Approved</w:t>
            </w:r>
          </w:p>
        </w:tc>
        <w:tc>
          <w:tcPr>
            <w:tcW w:w="1265" w:type="dxa"/>
            <w:shd w:val="clear" w:color="auto" w:fill="auto"/>
          </w:tcPr>
          <w:p w:rsidR="00F974F2" w:rsidRPr="008948CC" w:rsidRDefault="00F974F2">
            <w:pPr>
              <w:spacing w:beforeLines="20" w:before="48" w:afterLines="20" w:after="48"/>
              <w:rPr>
                <w:sz w:val="20"/>
                <w:lang w:eastAsia="ko-KR"/>
              </w:rPr>
            </w:pPr>
            <w:r w:rsidRPr="008948CC">
              <w:rPr>
                <w:rFonts w:eastAsia="Malgun Gothic"/>
                <w:sz w:val="20"/>
                <w:lang w:eastAsia="ko-KR"/>
              </w:rPr>
              <w:t>2012-10-08</w:t>
            </w:r>
          </w:p>
        </w:tc>
        <w:tc>
          <w:tcPr>
            <w:tcW w:w="1014" w:type="dxa"/>
            <w:shd w:val="clear" w:color="auto" w:fill="auto"/>
          </w:tcPr>
          <w:p w:rsidR="00F974F2" w:rsidRPr="008948CC" w:rsidRDefault="00F974F2">
            <w:pPr>
              <w:spacing w:beforeLines="20" w:before="48" w:afterLines="20" w:after="48"/>
              <w:rPr>
                <w:rFonts w:eastAsia="Malgun Gothic"/>
                <w:sz w:val="20"/>
                <w:lang w:eastAsia="ko-KR"/>
              </w:rPr>
            </w:pPr>
            <w:r w:rsidRPr="008948CC">
              <w:rPr>
                <w:rFonts w:eastAsia="Malgun Gothic"/>
                <w:sz w:val="20"/>
                <w:lang w:eastAsia="ko-KR"/>
              </w:rPr>
              <w:t>Approved in 201</w:t>
            </w:r>
            <w:r w:rsidR="008F4841">
              <w:rPr>
                <w:rFonts w:eastAsia="Malgun Gothic"/>
                <w:sz w:val="20"/>
                <w:lang w:eastAsia="ko-KR"/>
              </w:rPr>
              <w:t>4</w:t>
            </w:r>
            <w:r w:rsidRPr="008948CC">
              <w:rPr>
                <w:rFonts w:eastAsia="Malgun Gothic"/>
                <w:sz w:val="20"/>
                <w:lang w:eastAsia="ko-KR"/>
              </w:rPr>
              <w:t>-</w:t>
            </w:r>
          </w:p>
        </w:tc>
      </w:tr>
      <w:tr w:rsidR="00C74981" w:rsidRPr="008948CC" w:rsidTr="00102E00">
        <w:trPr>
          <w:jc w:val="center"/>
        </w:trPr>
        <w:tc>
          <w:tcPr>
            <w:tcW w:w="1182" w:type="dxa"/>
          </w:tcPr>
          <w:p w:rsidR="00F974F2" w:rsidRPr="008948CC" w:rsidRDefault="00F974F2">
            <w:pPr>
              <w:spacing w:beforeLines="20" w:before="48" w:afterLines="20" w:after="48"/>
              <w:jc w:val="center"/>
              <w:rPr>
                <w:sz w:val="20"/>
                <w:lang w:eastAsia="ko-KR"/>
              </w:rPr>
            </w:pPr>
          </w:p>
        </w:tc>
        <w:tc>
          <w:tcPr>
            <w:tcW w:w="975" w:type="dxa"/>
            <w:shd w:val="clear" w:color="auto" w:fill="auto"/>
          </w:tcPr>
          <w:p w:rsidR="00F974F2" w:rsidRPr="008948CC" w:rsidRDefault="00F974F2">
            <w:pPr>
              <w:spacing w:beforeLines="20" w:before="48" w:afterLines="20" w:after="48"/>
              <w:rPr>
                <w:rFonts w:eastAsia="Malgun Gothic"/>
                <w:sz w:val="20"/>
                <w:lang w:eastAsia="ko-KR"/>
              </w:rPr>
            </w:pPr>
            <w:r w:rsidRPr="008948CC">
              <w:rPr>
                <w:rFonts w:eastAsia="Malgun Gothic"/>
                <w:sz w:val="20"/>
                <w:lang w:eastAsia="ko-KR"/>
              </w:rPr>
              <w:t>ITU-T SG5 Q17</w:t>
            </w:r>
          </w:p>
        </w:tc>
        <w:tc>
          <w:tcPr>
            <w:tcW w:w="2141" w:type="dxa"/>
            <w:shd w:val="clear" w:color="auto" w:fill="auto"/>
          </w:tcPr>
          <w:p w:rsidR="00F974F2" w:rsidRPr="008948CC" w:rsidRDefault="00F974F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sz w:val="20"/>
                <w:lang w:eastAsia="zh-CN"/>
              </w:rPr>
            </w:pPr>
            <w:r w:rsidRPr="008948CC">
              <w:rPr>
                <w:sz w:val="20"/>
              </w:rPr>
              <w:t xml:space="preserve">Supplement on </w:t>
            </w:r>
            <w:r w:rsidRPr="008948CC">
              <w:rPr>
                <w:sz w:val="20"/>
                <w:lang w:eastAsia="ko-KR"/>
              </w:rPr>
              <w:t>efficient cooling systems</w:t>
            </w:r>
            <w:r w:rsidRPr="008948CC">
              <w:rPr>
                <w:sz w:val="20"/>
              </w:rPr>
              <w:t>”</w:t>
            </w:r>
          </w:p>
        </w:tc>
        <w:tc>
          <w:tcPr>
            <w:tcW w:w="5952" w:type="dxa"/>
            <w:shd w:val="clear" w:color="auto" w:fill="auto"/>
          </w:tcPr>
          <w:p w:rsidR="00F974F2" w:rsidRPr="008948CC" w:rsidRDefault="00F974F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sz w:val="20"/>
                <w:lang w:eastAsia="zh-CN"/>
              </w:rPr>
            </w:pPr>
            <w:r w:rsidRPr="008948CC">
              <w:rPr>
                <w:sz w:val="20"/>
                <w:lang w:eastAsia="ko-KR"/>
              </w:rPr>
              <w:t>Verification test and feasibility study of energy and space efficient cooling systems for data centres with high density ICT devices</w:t>
            </w:r>
          </w:p>
        </w:tc>
        <w:tc>
          <w:tcPr>
            <w:tcW w:w="1850" w:type="dxa"/>
            <w:shd w:val="clear" w:color="auto" w:fill="auto"/>
          </w:tcPr>
          <w:p w:rsidR="00F974F2" w:rsidRPr="008948CC" w:rsidRDefault="00F974F2">
            <w:pPr>
              <w:spacing w:beforeLines="20" w:before="48" w:afterLines="20" w:after="48"/>
              <w:rPr>
                <w:rFonts w:eastAsia="Malgun Gothic"/>
                <w:sz w:val="20"/>
                <w:lang w:eastAsia="ko-KR"/>
              </w:rPr>
            </w:pPr>
            <w:r w:rsidRPr="008948CC">
              <w:rPr>
                <w:rFonts w:eastAsia="Malgun Gothic"/>
                <w:sz w:val="20"/>
                <w:lang w:eastAsia="ko-KR"/>
              </w:rPr>
              <w:t>Approved</w:t>
            </w:r>
          </w:p>
        </w:tc>
        <w:tc>
          <w:tcPr>
            <w:tcW w:w="1265" w:type="dxa"/>
            <w:shd w:val="clear" w:color="auto" w:fill="auto"/>
          </w:tcPr>
          <w:p w:rsidR="00F974F2" w:rsidRPr="008948CC" w:rsidRDefault="00F974F2">
            <w:pPr>
              <w:spacing w:beforeLines="20" w:before="48" w:afterLines="20" w:after="48"/>
              <w:rPr>
                <w:sz w:val="20"/>
                <w:lang w:eastAsia="ko-KR"/>
              </w:rPr>
            </w:pPr>
            <w:r w:rsidRPr="008948CC">
              <w:rPr>
                <w:rFonts w:eastAsia="Malgun Gothic"/>
                <w:sz w:val="20"/>
                <w:lang w:eastAsia="ko-KR"/>
              </w:rPr>
              <w:t>2012-10-08</w:t>
            </w:r>
          </w:p>
        </w:tc>
        <w:tc>
          <w:tcPr>
            <w:tcW w:w="1014" w:type="dxa"/>
            <w:shd w:val="clear" w:color="auto" w:fill="auto"/>
          </w:tcPr>
          <w:p w:rsidR="00F974F2" w:rsidRPr="008948CC" w:rsidRDefault="00F974F2">
            <w:pPr>
              <w:spacing w:beforeLines="20" w:before="48" w:afterLines="20" w:after="48"/>
              <w:rPr>
                <w:rFonts w:eastAsia="Malgun Gothic"/>
                <w:sz w:val="20"/>
                <w:lang w:eastAsia="ko-KR"/>
              </w:rPr>
            </w:pPr>
            <w:r w:rsidRPr="008948CC">
              <w:rPr>
                <w:rFonts w:eastAsia="Malgun Gothic"/>
                <w:sz w:val="20"/>
                <w:lang w:eastAsia="ko-KR"/>
              </w:rPr>
              <w:t>Approved in 201</w:t>
            </w:r>
            <w:r w:rsidR="008F4841">
              <w:rPr>
                <w:rFonts w:eastAsia="Malgun Gothic"/>
                <w:sz w:val="20"/>
                <w:lang w:eastAsia="ko-KR"/>
              </w:rPr>
              <w:t>4</w:t>
            </w:r>
            <w:r w:rsidRPr="008948CC">
              <w:rPr>
                <w:rFonts w:eastAsia="Malgun Gothic"/>
                <w:sz w:val="20"/>
                <w:lang w:eastAsia="ko-KR"/>
              </w:rPr>
              <w:t>-</w:t>
            </w:r>
          </w:p>
        </w:tc>
      </w:tr>
      <w:tr w:rsidR="00C74981" w:rsidRPr="008948CC" w:rsidTr="00102E00">
        <w:trPr>
          <w:jc w:val="center"/>
        </w:trPr>
        <w:tc>
          <w:tcPr>
            <w:tcW w:w="1182" w:type="dxa"/>
          </w:tcPr>
          <w:p w:rsidR="00F974F2" w:rsidRPr="008948CC" w:rsidRDefault="00F974F2">
            <w:pPr>
              <w:spacing w:beforeLines="20" w:before="48" w:afterLines="20" w:after="48"/>
              <w:jc w:val="center"/>
              <w:rPr>
                <w:sz w:val="20"/>
                <w:lang w:eastAsia="ko-KR"/>
              </w:rPr>
            </w:pPr>
          </w:p>
        </w:tc>
        <w:tc>
          <w:tcPr>
            <w:tcW w:w="975" w:type="dxa"/>
            <w:shd w:val="clear" w:color="auto" w:fill="auto"/>
          </w:tcPr>
          <w:p w:rsidR="00F974F2" w:rsidRPr="008948CC" w:rsidRDefault="00F974F2">
            <w:pPr>
              <w:spacing w:beforeLines="20" w:before="48" w:afterLines="20" w:after="48"/>
              <w:rPr>
                <w:rFonts w:eastAsia="Malgun Gothic"/>
                <w:sz w:val="20"/>
                <w:lang w:eastAsia="ko-KR"/>
              </w:rPr>
            </w:pPr>
            <w:r w:rsidRPr="008948CC">
              <w:rPr>
                <w:rFonts w:eastAsia="Malgun Gothic"/>
                <w:sz w:val="20"/>
                <w:lang w:eastAsia="ko-KR"/>
              </w:rPr>
              <w:t>ITU-T SG5 Q17</w:t>
            </w:r>
          </w:p>
        </w:tc>
        <w:tc>
          <w:tcPr>
            <w:tcW w:w="2141" w:type="dxa"/>
            <w:shd w:val="clear" w:color="auto" w:fill="auto"/>
          </w:tcPr>
          <w:p w:rsidR="00F974F2" w:rsidRPr="008948CC" w:rsidRDefault="00F974F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sz w:val="20"/>
                <w:lang w:eastAsia="zh-CN"/>
              </w:rPr>
            </w:pPr>
            <w:r w:rsidRPr="008948CC">
              <w:rPr>
                <w:sz w:val="20"/>
              </w:rPr>
              <w:t xml:space="preserve">Supplement on e cooling method using renewable energy </w:t>
            </w:r>
          </w:p>
        </w:tc>
        <w:tc>
          <w:tcPr>
            <w:tcW w:w="5952" w:type="dxa"/>
            <w:shd w:val="clear" w:color="auto" w:fill="auto"/>
          </w:tcPr>
          <w:p w:rsidR="00F974F2" w:rsidRPr="008948CC" w:rsidRDefault="00F974F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sz w:val="20"/>
                <w:lang w:eastAsia="ko-KR"/>
              </w:rPr>
            </w:pPr>
            <w:r w:rsidRPr="008948CC">
              <w:rPr>
                <w:sz w:val="20"/>
                <w:lang w:eastAsia="ko-KR"/>
              </w:rPr>
              <w:t>Validation test of a data centre cooling method using renewable energy in a cold region</w:t>
            </w:r>
          </w:p>
        </w:tc>
        <w:tc>
          <w:tcPr>
            <w:tcW w:w="1850" w:type="dxa"/>
            <w:shd w:val="clear" w:color="auto" w:fill="auto"/>
          </w:tcPr>
          <w:p w:rsidR="00F974F2" w:rsidRPr="008948CC" w:rsidRDefault="00F974F2">
            <w:pPr>
              <w:spacing w:beforeLines="20" w:before="48" w:afterLines="20" w:after="48"/>
              <w:rPr>
                <w:rFonts w:eastAsia="Malgun Gothic"/>
                <w:sz w:val="20"/>
                <w:lang w:eastAsia="ko-KR"/>
              </w:rPr>
            </w:pPr>
            <w:r w:rsidRPr="008948CC">
              <w:rPr>
                <w:rFonts w:eastAsia="Malgun Gothic"/>
                <w:sz w:val="20"/>
                <w:lang w:eastAsia="ko-KR"/>
              </w:rPr>
              <w:t>Approved</w:t>
            </w:r>
          </w:p>
        </w:tc>
        <w:tc>
          <w:tcPr>
            <w:tcW w:w="1265" w:type="dxa"/>
            <w:shd w:val="clear" w:color="auto" w:fill="auto"/>
          </w:tcPr>
          <w:p w:rsidR="00F974F2" w:rsidRPr="008948CC" w:rsidRDefault="00F974F2">
            <w:pPr>
              <w:spacing w:beforeLines="20" w:before="48" w:afterLines="20" w:after="48"/>
              <w:rPr>
                <w:sz w:val="20"/>
                <w:lang w:eastAsia="ko-KR"/>
              </w:rPr>
            </w:pPr>
            <w:r w:rsidRPr="008948CC">
              <w:rPr>
                <w:rFonts w:eastAsia="Malgun Gothic"/>
                <w:sz w:val="20"/>
                <w:lang w:eastAsia="ko-KR"/>
              </w:rPr>
              <w:t>2012-10-08</w:t>
            </w:r>
          </w:p>
        </w:tc>
        <w:tc>
          <w:tcPr>
            <w:tcW w:w="1014" w:type="dxa"/>
            <w:shd w:val="clear" w:color="auto" w:fill="auto"/>
          </w:tcPr>
          <w:p w:rsidR="00F974F2" w:rsidRPr="008948CC" w:rsidRDefault="00F974F2">
            <w:pPr>
              <w:spacing w:beforeLines="20" w:before="48" w:afterLines="20" w:after="48"/>
              <w:rPr>
                <w:rFonts w:eastAsia="Malgun Gothic"/>
                <w:sz w:val="20"/>
                <w:lang w:eastAsia="ko-KR"/>
              </w:rPr>
            </w:pPr>
            <w:r w:rsidRPr="008948CC">
              <w:rPr>
                <w:rFonts w:eastAsia="Malgun Gothic"/>
                <w:sz w:val="20"/>
                <w:lang w:eastAsia="ko-KR"/>
              </w:rPr>
              <w:t>Approved in 201</w:t>
            </w:r>
            <w:r w:rsidR="008F4841">
              <w:rPr>
                <w:rFonts w:eastAsia="Malgun Gothic"/>
                <w:sz w:val="20"/>
                <w:lang w:eastAsia="ko-KR"/>
              </w:rPr>
              <w:t>4</w:t>
            </w:r>
            <w:r w:rsidRPr="008948CC">
              <w:rPr>
                <w:rFonts w:eastAsia="Malgun Gothic"/>
                <w:sz w:val="20"/>
                <w:lang w:eastAsia="ko-KR"/>
              </w:rPr>
              <w:t>-</w:t>
            </w:r>
          </w:p>
        </w:tc>
      </w:tr>
      <w:tr w:rsidR="00C74981" w:rsidRPr="008948CC" w:rsidTr="00102E00">
        <w:trPr>
          <w:jc w:val="center"/>
        </w:trPr>
        <w:tc>
          <w:tcPr>
            <w:tcW w:w="1182" w:type="dxa"/>
          </w:tcPr>
          <w:p w:rsidR="00F974F2" w:rsidRPr="008948CC" w:rsidRDefault="00F974F2" w:rsidP="008948CC">
            <w:pPr>
              <w:spacing w:before="0"/>
              <w:jc w:val="center"/>
              <w:rPr>
                <w:sz w:val="20"/>
                <w:lang w:eastAsia="ko-KR"/>
              </w:rPr>
            </w:pPr>
          </w:p>
        </w:tc>
        <w:tc>
          <w:tcPr>
            <w:tcW w:w="975" w:type="dxa"/>
            <w:shd w:val="clear" w:color="auto" w:fill="auto"/>
          </w:tcPr>
          <w:p w:rsidR="00F974F2" w:rsidRPr="008948CC" w:rsidRDefault="00F974F2" w:rsidP="008948CC">
            <w:pPr>
              <w:spacing w:before="0"/>
              <w:rPr>
                <w:rFonts w:eastAsia="Malgun Gothic"/>
                <w:sz w:val="20"/>
                <w:lang w:eastAsia="ko-KR"/>
              </w:rPr>
            </w:pPr>
            <w:r w:rsidRPr="008948CC">
              <w:rPr>
                <w:rFonts w:eastAsia="Malgun Gothic"/>
                <w:sz w:val="20"/>
                <w:lang w:eastAsia="ko-KR"/>
              </w:rPr>
              <w:t>ITU-T SG5 Q17</w:t>
            </w:r>
          </w:p>
        </w:tc>
        <w:tc>
          <w:tcPr>
            <w:tcW w:w="2141" w:type="dxa"/>
            <w:shd w:val="clear" w:color="auto" w:fill="auto"/>
          </w:tcPr>
          <w:p w:rsidR="00F974F2" w:rsidRPr="008948CC" w:rsidRDefault="00F974F2" w:rsidP="007F3B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sz w:val="20"/>
                <w:lang w:eastAsia="zh-CN"/>
              </w:rPr>
            </w:pPr>
            <w:r w:rsidRPr="008948CC">
              <w:rPr>
                <w:sz w:val="20"/>
              </w:rPr>
              <w:t>Supplement on increase of efficiency of air-conditioning</w:t>
            </w:r>
            <w:r w:rsidRPr="008948CC">
              <w:rPr>
                <w:sz w:val="20"/>
                <w:lang w:eastAsia="ko-KR"/>
              </w:rPr>
              <w:t xml:space="preserve"> </w:t>
            </w:r>
          </w:p>
        </w:tc>
        <w:tc>
          <w:tcPr>
            <w:tcW w:w="5952" w:type="dxa"/>
            <w:shd w:val="clear" w:color="auto" w:fill="auto"/>
          </w:tcPr>
          <w:p w:rsidR="00F974F2" w:rsidRPr="008948CC" w:rsidRDefault="00F974F2" w:rsidP="007F3B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sz w:val="20"/>
                <w:lang w:eastAsia="ko-KR"/>
              </w:rPr>
            </w:pPr>
            <w:r w:rsidRPr="008948CC">
              <w:rPr>
                <w:sz w:val="20"/>
                <w:lang w:eastAsia="ko-KR"/>
              </w:rPr>
              <w:t>Verification experiments related to increase of efficiency of air-conditioning and control technologies at a data centre</w:t>
            </w:r>
          </w:p>
        </w:tc>
        <w:tc>
          <w:tcPr>
            <w:tcW w:w="1850" w:type="dxa"/>
            <w:shd w:val="clear" w:color="auto" w:fill="auto"/>
          </w:tcPr>
          <w:p w:rsidR="00F974F2" w:rsidRPr="008948CC" w:rsidRDefault="00F974F2" w:rsidP="008948CC">
            <w:pPr>
              <w:spacing w:before="0"/>
              <w:rPr>
                <w:rFonts w:eastAsia="Malgun Gothic"/>
                <w:sz w:val="20"/>
                <w:lang w:eastAsia="ko-KR"/>
              </w:rPr>
            </w:pPr>
            <w:r w:rsidRPr="008948CC">
              <w:rPr>
                <w:rFonts w:eastAsia="Malgun Gothic"/>
                <w:sz w:val="20"/>
                <w:lang w:eastAsia="ko-KR"/>
              </w:rPr>
              <w:t>Approved</w:t>
            </w:r>
          </w:p>
        </w:tc>
        <w:tc>
          <w:tcPr>
            <w:tcW w:w="1265" w:type="dxa"/>
            <w:shd w:val="clear" w:color="auto" w:fill="auto"/>
          </w:tcPr>
          <w:p w:rsidR="00F974F2" w:rsidRPr="008948CC" w:rsidRDefault="00F974F2" w:rsidP="008948CC">
            <w:pPr>
              <w:spacing w:before="0"/>
              <w:rPr>
                <w:sz w:val="20"/>
                <w:lang w:eastAsia="ko-KR"/>
              </w:rPr>
            </w:pPr>
            <w:r w:rsidRPr="008948CC">
              <w:rPr>
                <w:rFonts w:eastAsia="Malgun Gothic"/>
                <w:sz w:val="20"/>
                <w:lang w:eastAsia="ko-KR"/>
              </w:rPr>
              <w:t>2012-10-08</w:t>
            </w:r>
          </w:p>
        </w:tc>
        <w:tc>
          <w:tcPr>
            <w:tcW w:w="1014" w:type="dxa"/>
            <w:shd w:val="clear" w:color="auto" w:fill="auto"/>
          </w:tcPr>
          <w:p w:rsidR="00F974F2" w:rsidRPr="008948CC" w:rsidRDefault="00F974F2" w:rsidP="008F4841">
            <w:pPr>
              <w:spacing w:before="0"/>
              <w:rPr>
                <w:rFonts w:eastAsia="Malgun Gothic"/>
                <w:sz w:val="20"/>
                <w:lang w:eastAsia="ko-KR"/>
              </w:rPr>
            </w:pPr>
            <w:r w:rsidRPr="008948CC">
              <w:rPr>
                <w:rFonts w:eastAsia="Malgun Gothic"/>
                <w:sz w:val="20"/>
                <w:lang w:eastAsia="ko-KR"/>
              </w:rPr>
              <w:t>Approved in 201</w:t>
            </w:r>
            <w:r w:rsidR="008F4841">
              <w:rPr>
                <w:rFonts w:eastAsia="Malgun Gothic"/>
                <w:sz w:val="20"/>
                <w:lang w:eastAsia="ko-KR"/>
              </w:rPr>
              <w:t>4</w:t>
            </w:r>
            <w:r w:rsidRPr="008948CC">
              <w:rPr>
                <w:rFonts w:eastAsia="Malgun Gothic"/>
                <w:sz w:val="20"/>
                <w:lang w:eastAsia="ko-KR"/>
              </w:rPr>
              <w:t>-</w:t>
            </w:r>
          </w:p>
        </w:tc>
      </w:tr>
      <w:tr w:rsidR="00C74981" w:rsidRPr="008948CC" w:rsidTr="00102E00">
        <w:trPr>
          <w:jc w:val="center"/>
        </w:trPr>
        <w:tc>
          <w:tcPr>
            <w:tcW w:w="1182" w:type="dxa"/>
          </w:tcPr>
          <w:p w:rsidR="00F974F2" w:rsidRPr="008948CC" w:rsidRDefault="00F974F2" w:rsidP="008948CC">
            <w:pPr>
              <w:spacing w:before="0"/>
              <w:jc w:val="center"/>
              <w:rPr>
                <w:sz w:val="20"/>
                <w:lang w:eastAsia="ko-KR"/>
              </w:rPr>
            </w:pPr>
          </w:p>
        </w:tc>
        <w:tc>
          <w:tcPr>
            <w:tcW w:w="975" w:type="dxa"/>
            <w:shd w:val="clear" w:color="auto" w:fill="auto"/>
          </w:tcPr>
          <w:p w:rsidR="00F974F2" w:rsidRPr="008948CC" w:rsidRDefault="00F974F2" w:rsidP="008948CC">
            <w:pPr>
              <w:spacing w:before="0"/>
              <w:rPr>
                <w:rFonts w:eastAsia="Malgun Gothic"/>
                <w:sz w:val="20"/>
              </w:rPr>
            </w:pPr>
            <w:r w:rsidRPr="008948CC">
              <w:rPr>
                <w:rFonts w:eastAsia="Malgun Gothic"/>
                <w:sz w:val="20"/>
                <w:lang w:eastAsia="ko-KR"/>
              </w:rPr>
              <w:t>ITU-T SG5 Q17</w:t>
            </w:r>
          </w:p>
        </w:tc>
        <w:tc>
          <w:tcPr>
            <w:tcW w:w="2141" w:type="dxa"/>
            <w:shd w:val="clear" w:color="auto" w:fill="auto"/>
          </w:tcPr>
          <w:p w:rsidR="00F974F2" w:rsidRPr="008948CC" w:rsidRDefault="00F974F2" w:rsidP="007F3B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sz w:val="20"/>
              </w:rPr>
            </w:pPr>
            <w:r w:rsidRPr="008948CC">
              <w:rPr>
                <w:sz w:val="20"/>
              </w:rPr>
              <w:t xml:space="preserve">Supplement on </w:t>
            </w:r>
            <w:r w:rsidRPr="007F3BA6">
              <w:rPr>
                <w:sz w:val="20"/>
              </w:rPr>
              <w:t>reduction of air-conditioning energy by optical fiber based thermometry”</w:t>
            </w:r>
          </w:p>
        </w:tc>
        <w:tc>
          <w:tcPr>
            <w:tcW w:w="5952" w:type="dxa"/>
            <w:shd w:val="clear" w:color="auto" w:fill="auto"/>
          </w:tcPr>
          <w:p w:rsidR="00F974F2" w:rsidRPr="008948CC" w:rsidRDefault="00F974F2" w:rsidP="007F3B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sz w:val="20"/>
                <w:lang w:eastAsia="ko-KR"/>
              </w:rPr>
            </w:pPr>
            <w:r w:rsidRPr="007F3BA6">
              <w:rPr>
                <w:sz w:val="20"/>
                <w:lang w:eastAsia="ko-KR"/>
              </w:rPr>
              <w:t>Case study of reduction of air-conditioning energy by optical fiber based thermometry</w:t>
            </w:r>
          </w:p>
        </w:tc>
        <w:tc>
          <w:tcPr>
            <w:tcW w:w="1850" w:type="dxa"/>
            <w:shd w:val="clear" w:color="auto" w:fill="auto"/>
          </w:tcPr>
          <w:p w:rsidR="00F974F2" w:rsidRPr="008948CC" w:rsidRDefault="00F974F2" w:rsidP="008948CC">
            <w:pPr>
              <w:spacing w:before="0"/>
              <w:rPr>
                <w:rFonts w:eastAsia="Malgun Gothic"/>
                <w:sz w:val="20"/>
                <w:lang w:eastAsia="ko-KR"/>
              </w:rPr>
            </w:pPr>
            <w:r w:rsidRPr="008948CC">
              <w:rPr>
                <w:rFonts w:eastAsia="Malgun Gothic"/>
                <w:sz w:val="20"/>
                <w:lang w:eastAsia="ko-KR"/>
              </w:rPr>
              <w:t>Approved</w:t>
            </w:r>
          </w:p>
        </w:tc>
        <w:tc>
          <w:tcPr>
            <w:tcW w:w="1265" w:type="dxa"/>
            <w:shd w:val="clear" w:color="auto" w:fill="auto"/>
          </w:tcPr>
          <w:p w:rsidR="00F974F2" w:rsidRPr="008948CC" w:rsidRDefault="00F974F2" w:rsidP="008948CC">
            <w:pPr>
              <w:spacing w:before="0"/>
              <w:rPr>
                <w:sz w:val="20"/>
                <w:lang w:eastAsia="ko-KR"/>
              </w:rPr>
            </w:pPr>
            <w:r w:rsidRPr="008948CC">
              <w:rPr>
                <w:rFonts w:eastAsia="Malgun Gothic"/>
                <w:sz w:val="20"/>
                <w:lang w:eastAsia="ko-KR"/>
              </w:rPr>
              <w:t>2012-10-08</w:t>
            </w:r>
          </w:p>
        </w:tc>
        <w:tc>
          <w:tcPr>
            <w:tcW w:w="1014" w:type="dxa"/>
            <w:shd w:val="clear" w:color="auto" w:fill="auto"/>
          </w:tcPr>
          <w:p w:rsidR="00F974F2" w:rsidRPr="008948CC" w:rsidRDefault="00F974F2" w:rsidP="008F4841">
            <w:pPr>
              <w:spacing w:before="0"/>
              <w:rPr>
                <w:rFonts w:eastAsia="Malgun Gothic"/>
                <w:sz w:val="20"/>
                <w:lang w:eastAsia="ko-KR"/>
              </w:rPr>
            </w:pPr>
            <w:r w:rsidRPr="008948CC">
              <w:rPr>
                <w:rFonts w:eastAsia="Malgun Gothic"/>
                <w:sz w:val="20"/>
                <w:lang w:eastAsia="ko-KR"/>
              </w:rPr>
              <w:t>Approved in 201</w:t>
            </w:r>
            <w:r w:rsidR="008F4841">
              <w:rPr>
                <w:rFonts w:eastAsia="Malgun Gothic"/>
                <w:sz w:val="20"/>
                <w:lang w:eastAsia="ko-KR"/>
              </w:rPr>
              <w:t>4</w:t>
            </w:r>
            <w:r w:rsidRPr="008948CC">
              <w:rPr>
                <w:rFonts w:eastAsia="Malgun Gothic"/>
                <w:sz w:val="20"/>
                <w:lang w:eastAsia="ko-KR"/>
              </w:rPr>
              <w:t>-</w:t>
            </w:r>
          </w:p>
        </w:tc>
      </w:tr>
    </w:tbl>
    <w:p w:rsidR="002A23B6" w:rsidRDefault="002A23B6">
      <w:r>
        <w:br w:type="page"/>
      </w:r>
    </w:p>
    <w:tbl>
      <w:tblPr>
        <w:tblW w:w="1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68"/>
        <w:gridCol w:w="958"/>
        <w:gridCol w:w="2186"/>
        <w:gridCol w:w="5952"/>
        <w:gridCol w:w="1870"/>
        <w:gridCol w:w="1245"/>
        <w:gridCol w:w="1015"/>
      </w:tblGrid>
      <w:tr w:rsidR="002A23B6" w:rsidRPr="00AC3131" w:rsidTr="00171F53">
        <w:trPr>
          <w:tblHeader/>
          <w:jc w:val="center"/>
        </w:trPr>
        <w:tc>
          <w:tcPr>
            <w:tcW w:w="1168" w:type="dxa"/>
            <w:tcBorders>
              <w:top w:val="single" w:sz="4" w:space="0" w:color="auto"/>
              <w:left w:val="single" w:sz="4" w:space="0" w:color="auto"/>
              <w:bottom w:val="single" w:sz="4" w:space="0" w:color="auto"/>
              <w:right w:val="single" w:sz="4" w:space="0" w:color="auto"/>
            </w:tcBorders>
          </w:tcPr>
          <w:p w:rsidR="002A23B6" w:rsidRPr="007F3BA6" w:rsidRDefault="002A23B6" w:rsidP="002A23B6">
            <w:pPr>
              <w:pStyle w:val="Tablehead"/>
              <w:rPr>
                <w:sz w:val="20"/>
                <w:lang w:eastAsia="ko-KR"/>
              </w:rPr>
            </w:pPr>
            <w:r w:rsidRPr="007F3BA6">
              <w:rPr>
                <w:sz w:val="20"/>
                <w:lang w:eastAsia="ko-KR"/>
              </w:rPr>
              <w:lastRenderedPageBreak/>
              <w:t>Activity domain</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A23B6" w:rsidRPr="007F3BA6" w:rsidRDefault="002A23B6" w:rsidP="002A23B6">
            <w:pPr>
              <w:pStyle w:val="Tablehead"/>
              <w:rPr>
                <w:sz w:val="20"/>
                <w:lang w:eastAsia="ko-KR"/>
              </w:rPr>
            </w:pPr>
            <w:r w:rsidRPr="007F3BA6">
              <w:rPr>
                <w:sz w:val="20"/>
                <w:lang w:eastAsia="ko-KR"/>
              </w:rPr>
              <w:t>Entity</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2A23B6" w:rsidRPr="007F3BA6" w:rsidRDefault="002A23B6" w:rsidP="002A23B6">
            <w:pPr>
              <w:pStyle w:val="Tablehead"/>
              <w:rPr>
                <w:sz w:val="20"/>
              </w:rPr>
            </w:pPr>
            <w:r w:rsidRPr="007F3BA6">
              <w:rPr>
                <w:sz w:val="20"/>
              </w:rPr>
              <w:t>Title of deliverable</w:t>
            </w:r>
          </w:p>
        </w:tc>
        <w:tc>
          <w:tcPr>
            <w:tcW w:w="5952" w:type="dxa"/>
            <w:tcBorders>
              <w:top w:val="single" w:sz="4" w:space="0" w:color="auto"/>
              <w:left w:val="single" w:sz="4" w:space="0" w:color="auto"/>
              <w:bottom w:val="single" w:sz="4" w:space="0" w:color="auto"/>
              <w:right w:val="single" w:sz="4" w:space="0" w:color="auto"/>
            </w:tcBorders>
            <w:shd w:val="clear" w:color="auto" w:fill="auto"/>
          </w:tcPr>
          <w:p w:rsidR="002A23B6" w:rsidRPr="007F3BA6" w:rsidRDefault="002A23B6" w:rsidP="002A23B6">
            <w:pPr>
              <w:pStyle w:val="Tablehead"/>
              <w:rPr>
                <w:sz w:val="20"/>
                <w:lang w:val="en-US" w:eastAsia="zh-CN"/>
              </w:rPr>
            </w:pPr>
            <w:r w:rsidRPr="007F3BA6">
              <w:rPr>
                <w:sz w:val="20"/>
                <w:lang w:val="en-US" w:eastAsia="zh-CN"/>
              </w:rPr>
              <w:t>Scope of deliverable</w:t>
            </w: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2A23B6" w:rsidRPr="007F3BA6" w:rsidRDefault="002A23B6" w:rsidP="002A23B6">
            <w:pPr>
              <w:pStyle w:val="Tablehead"/>
              <w:rPr>
                <w:rFonts w:eastAsia="Malgun Gothic"/>
                <w:sz w:val="20"/>
                <w:lang w:eastAsia="ko-KR"/>
              </w:rPr>
            </w:pPr>
            <w:r w:rsidRPr="007F3BA6">
              <w:rPr>
                <w:rFonts w:eastAsia="Malgun Gothic"/>
                <w:sz w:val="20"/>
                <w:lang w:eastAsia="ko-KR"/>
              </w:rPr>
              <w:t>Current status</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2A23B6" w:rsidRPr="007F3BA6" w:rsidRDefault="002A23B6" w:rsidP="002A23B6">
            <w:pPr>
              <w:pStyle w:val="Tablehead"/>
              <w:rPr>
                <w:rFonts w:eastAsia="Malgun Gothic"/>
                <w:sz w:val="20"/>
                <w:lang w:eastAsia="ko-KR"/>
              </w:rPr>
            </w:pPr>
            <w:r w:rsidRPr="007F3BA6">
              <w:rPr>
                <w:rFonts w:eastAsia="Malgun Gothic"/>
                <w:sz w:val="20"/>
                <w:lang w:eastAsia="ko-KR"/>
              </w:rPr>
              <w:t>Starting date</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2A23B6" w:rsidRPr="007F3BA6" w:rsidRDefault="002A23B6" w:rsidP="002A23B6">
            <w:pPr>
              <w:pStyle w:val="Tablehead"/>
              <w:rPr>
                <w:rFonts w:eastAsia="Malgun Gothic"/>
                <w:sz w:val="20"/>
                <w:lang w:eastAsia="ko-KR"/>
              </w:rPr>
            </w:pPr>
            <w:r w:rsidRPr="007F3BA6">
              <w:rPr>
                <w:rFonts w:eastAsia="Malgun Gothic"/>
                <w:sz w:val="20"/>
                <w:lang w:eastAsia="ko-KR"/>
              </w:rPr>
              <w:t>Target date</w:t>
            </w:r>
          </w:p>
        </w:tc>
      </w:tr>
      <w:tr w:rsidR="00C74981" w:rsidRPr="00AC3131" w:rsidTr="00102E00">
        <w:trPr>
          <w:jc w:val="center"/>
        </w:trPr>
        <w:tc>
          <w:tcPr>
            <w:tcW w:w="1168" w:type="dxa"/>
          </w:tcPr>
          <w:p w:rsidR="00C74981" w:rsidRPr="007F3BA6" w:rsidRDefault="00C74981" w:rsidP="00D71C71">
            <w:pPr>
              <w:jc w:val="center"/>
              <w:rPr>
                <w:sz w:val="20"/>
                <w:lang w:eastAsia="ko-KR"/>
              </w:rPr>
            </w:pPr>
          </w:p>
        </w:tc>
        <w:tc>
          <w:tcPr>
            <w:tcW w:w="958" w:type="dxa"/>
            <w:shd w:val="clear" w:color="auto" w:fill="auto"/>
          </w:tcPr>
          <w:p w:rsidR="00C74981" w:rsidRPr="007F3BA6" w:rsidRDefault="00C74981" w:rsidP="00D71C71">
            <w:pPr>
              <w:rPr>
                <w:sz w:val="20"/>
                <w:lang w:eastAsia="ko-KR"/>
              </w:rPr>
            </w:pPr>
            <w:r w:rsidRPr="007F3BA6">
              <w:rPr>
                <w:sz w:val="20"/>
                <w:lang w:eastAsia="ko-KR"/>
              </w:rPr>
              <w:t>ITU</w:t>
            </w:r>
            <w:r w:rsidR="00A22A92" w:rsidRPr="00AC3131">
              <w:rPr>
                <w:sz w:val="20"/>
                <w:lang w:eastAsia="ko-KR"/>
              </w:rPr>
              <w:t>-</w:t>
            </w:r>
            <w:r w:rsidRPr="007F3BA6">
              <w:rPr>
                <w:sz w:val="20"/>
                <w:lang w:eastAsia="ko-KR"/>
              </w:rPr>
              <w:t>T SG</w:t>
            </w:r>
            <w:r w:rsidR="00A22A92" w:rsidRPr="00AC3131">
              <w:rPr>
                <w:sz w:val="20"/>
                <w:lang w:eastAsia="ko-KR"/>
              </w:rPr>
              <w:t>5</w:t>
            </w:r>
            <w:r w:rsidRPr="007F3BA6">
              <w:rPr>
                <w:sz w:val="20"/>
                <w:lang w:eastAsia="ko-KR"/>
              </w:rPr>
              <w:t xml:space="preserve"> Q17</w:t>
            </w:r>
          </w:p>
        </w:tc>
        <w:tc>
          <w:tcPr>
            <w:tcW w:w="2186" w:type="dxa"/>
            <w:shd w:val="clear" w:color="auto" w:fill="auto"/>
          </w:tcPr>
          <w:p w:rsidR="00C74981" w:rsidRPr="007F3BA6" w:rsidRDefault="003F7479" w:rsidP="00D71C71">
            <w:pPr>
              <w:rPr>
                <w:b/>
                <w:sz w:val="20"/>
              </w:rPr>
            </w:pPr>
            <w:r>
              <w:rPr>
                <w:b/>
                <w:bCs/>
                <w:sz w:val="20"/>
                <w:lang w:val="en-US" w:eastAsia="zh-CN"/>
              </w:rPr>
              <w:t xml:space="preserve">ITU-T </w:t>
            </w:r>
            <w:r w:rsidR="00C74981" w:rsidRPr="007F3BA6">
              <w:rPr>
                <w:b/>
                <w:bCs/>
                <w:sz w:val="20"/>
                <w:lang w:val="en-US" w:eastAsia="zh-CN"/>
              </w:rPr>
              <w:t>L.green_mgm_DC,</w:t>
            </w:r>
            <w:r w:rsidR="00C74981" w:rsidRPr="007F3BA6">
              <w:rPr>
                <w:sz w:val="20"/>
                <w:lang w:val="en-US" w:eastAsia="zh-CN"/>
              </w:rPr>
              <w:t xml:space="preserve"> </w:t>
            </w:r>
            <w:r w:rsidR="00C74981" w:rsidRPr="007F3BA6">
              <w:rPr>
                <w:sz w:val="20"/>
                <w:lang w:eastAsia="zh-CN"/>
              </w:rPr>
              <w:t>Functionality requirements and framework of green data center energy-saving management system</w:t>
            </w:r>
          </w:p>
        </w:tc>
        <w:tc>
          <w:tcPr>
            <w:tcW w:w="5952" w:type="dxa"/>
            <w:shd w:val="clear" w:color="auto" w:fill="auto"/>
          </w:tcPr>
          <w:p w:rsidR="00C74981" w:rsidRPr="007F3BA6" w:rsidRDefault="00C74981" w:rsidP="00C74981">
            <w:pPr>
              <w:rPr>
                <w:sz w:val="20"/>
                <w:lang w:eastAsia="zh-CN"/>
              </w:rPr>
            </w:pPr>
            <w:r w:rsidRPr="007F3BA6">
              <w:rPr>
                <w:sz w:val="20"/>
                <w:lang w:eastAsia="zh-CN"/>
              </w:rPr>
              <w:t>This Recommendation describes Functionality requirements and framework of green data center energy-saving management system.</w:t>
            </w:r>
          </w:p>
          <w:p w:rsidR="00C74981" w:rsidRPr="007F3BA6" w:rsidRDefault="00C74981" w:rsidP="00C74981">
            <w:pPr>
              <w:rPr>
                <w:sz w:val="20"/>
                <w:lang w:eastAsia="zh-CN"/>
              </w:rPr>
            </w:pPr>
            <w:r w:rsidRPr="007F3BA6">
              <w:rPr>
                <w:sz w:val="20"/>
                <w:lang w:eastAsia="zh-CN"/>
              </w:rPr>
              <w:t>The energy-saving will be realized through performance to increase the energy efficiency of data center.</w:t>
            </w:r>
          </w:p>
          <w:p w:rsidR="00C74981" w:rsidRPr="007F3BA6" w:rsidRDefault="00C74981" w:rsidP="00C74981">
            <w:pPr>
              <w:rPr>
                <w:sz w:val="20"/>
                <w:lang w:eastAsia="zh-CN"/>
              </w:rPr>
            </w:pPr>
            <w:r w:rsidRPr="007F3BA6">
              <w:rPr>
                <w:sz w:val="20"/>
                <w:lang w:eastAsia="zh-CN"/>
              </w:rPr>
              <w:t>The scope of this Recommendation includes:</w:t>
            </w:r>
          </w:p>
          <w:p w:rsidR="00C74981" w:rsidRPr="007F3BA6" w:rsidRDefault="00C74981" w:rsidP="00C74981">
            <w:pPr>
              <w:pStyle w:val="ListParagraph"/>
              <w:numPr>
                <w:ilvl w:val="0"/>
                <w:numId w:val="8"/>
              </w:numPr>
              <w:ind w:firstLineChars="0"/>
              <w:rPr>
                <w:sz w:val="20"/>
                <w:lang w:eastAsia="zh-CN"/>
              </w:rPr>
            </w:pPr>
            <w:r w:rsidRPr="007F3BA6">
              <w:rPr>
                <w:sz w:val="20"/>
                <w:lang w:eastAsia="zh-CN"/>
              </w:rPr>
              <w:t xml:space="preserve">Characteristics and </w:t>
            </w:r>
            <w:hyperlink r:id="rId15" w:history="1">
              <w:r w:rsidRPr="007F3BA6">
                <w:rPr>
                  <w:sz w:val="20"/>
                  <w:lang w:eastAsia="zh-CN"/>
                </w:rPr>
                <w:t>operation</w:t>
              </w:r>
            </w:hyperlink>
            <w:r w:rsidRPr="007F3BA6">
              <w:rPr>
                <w:sz w:val="20"/>
                <w:lang w:eastAsia="zh-CN"/>
              </w:rPr>
              <w:t xml:space="preserve"> </w:t>
            </w:r>
            <w:hyperlink r:id="rId16" w:history="1">
              <w:r w:rsidRPr="007F3BA6">
                <w:rPr>
                  <w:sz w:val="20"/>
                  <w:lang w:eastAsia="zh-CN"/>
                </w:rPr>
                <w:t>flow</w:t>
              </w:r>
            </w:hyperlink>
            <w:r w:rsidRPr="007F3BA6">
              <w:rPr>
                <w:sz w:val="20"/>
                <w:lang w:eastAsia="zh-CN"/>
              </w:rPr>
              <w:t xml:space="preserve"> of green data center energy-saving management system</w:t>
            </w:r>
          </w:p>
          <w:p w:rsidR="00C74981" w:rsidRPr="007F3BA6" w:rsidRDefault="00C74981" w:rsidP="00C74981">
            <w:pPr>
              <w:pStyle w:val="ListParagraph"/>
              <w:numPr>
                <w:ilvl w:val="0"/>
                <w:numId w:val="8"/>
              </w:numPr>
              <w:ind w:firstLineChars="0"/>
              <w:rPr>
                <w:sz w:val="20"/>
                <w:lang w:eastAsia="zh-CN"/>
              </w:rPr>
            </w:pPr>
            <w:r w:rsidRPr="007F3BA6">
              <w:rPr>
                <w:sz w:val="20"/>
                <w:lang w:eastAsia="zh-CN"/>
              </w:rPr>
              <w:t>Functionality requirements of green data center energy-saving management system (eg: Real-time energy consumption data acquisition; Energy consumption data analysis and chart show; Energy consumption data query; Energy consumption monitoring and early warning; Strategy Optimization, etc.)</w:t>
            </w:r>
          </w:p>
          <w:p w:rsidR="00C74981" w:rsidRPr="007F3BA6" w:rsidRDefault="00C74981" w:rsidP="00C74981">
            <w:pPr>
              <w:pStyle w:val="ListParagraph"/>
              <w:numPr>
                <w:ilvl w:val="0"/>
                <w:numId w:val="8"/>
              </w:numPr>
              <w:ind w:firstLineChars="0"/>
              <w:rPr>
                <w:sz w:val="20"/>
                <w:lang w:eastAsia="zh-CN"/>
              </w:rPr>
            </w:pPr>
            <w:r w:rsidRPr="007F3BA6">
              <w:rPr>
                <w:sz w:val="20"/>
                <w:lang w:eastAsia="zh-CN"/>
              </w:rPr>
              <w:t>Capability needs of green data center energy-saving management system (eg: collect data from different communication interface; secure storage; control management, etc.)</w:t>
            </w:r>
          </w:p>
          <w:p w:rsidR="00C74981" w:rsidRPr="007F3BA6" w:rsidRDefault="00C74981" w:rsidP="00C74981">
            <w:pPr>
              <w:pStyle w:val="ListParagraph"/>
              <w:numPr>
                <w:ilvl w:val="0"/>
                <w:numId w:val="8"/>
              </w:numPr>
              <w:ind w:firstLineChars="0"/>
              <w:rPr>
                <w:sz w:val="20"/>
                <w:lang w:eastAsia="zh-CN"/>
              </w:rPr>
            </w:pPr>
            <w:r w:rsidRPr="007F3BA6">
              <w:rPr>
                <w:sz w:val="20"/>
                <w:lang w:eastAsia="zh-CN"/>
              </w:rPr>
              <w:t>Framework of green data center energy-saving management system</w:t>
            </w:r>
          </w:p>
          <w:p w:rsidR="00C74981" w:rsidRPr="007F3BA6" w:rsidRDefault="00C74981" w:rsidP="00C74981">
            <w:pPr>
              <w:rPr>
                <w:sz w:val="20"/>
                <w:lang w:val="en-US" w:eastAsia="zh-CN"/>
              </w:rPr>
            </w:pPr>
            <w:r w:rsidRPr="007F3BA6">
              <w:rPr>
                <w:sz w:val="20"/>
                <w:lang w:eastAsia="zh-CN"/>
              </w:rPr>
              <w:t>Sensor definition, interface and protocol are not included in the scope of this Recommendation.</w:t>
            </w:r>
          </w:p>
        </w:tc>
        <w:tc>
          <w:tcPr>
            <w:tcW w:w="1870" w:type="dxa"/>
            <w:shd w:val="clear" w:color="auto" w:fill="auto"/>
          </w:tcPr>
          <w:p w:rsidR="00C74981" w:rsidRPr="007F3BA6" w:rsidRDefault="00C74981" w:rsidP="00D71C71">
            <w:pPr>
              <w:rPr>
                <w:rFonts w:eastAsia="Malgun Gothic"/>
                <w:sz w:val="20"/>
                <w:lang w:eastAsia="ko-KR"/>
              </w:rPr>
            </w:pPr>
            <w:r w:rsidRPr="007F3BA6">
              <w:rPr>
                <w:rFonts w:eastAsia="Malgun Gothic"/>
                <w:sz w:val="20"/>
                <w:lang w:eastAsia="ko-KR"/>
              </w:rPr>
              <w:t>WI approved</w:t>
            </w:r>
          </w:p>
        </w:tc>
        <w:tc>
          <w:tcPr>
            <w:tcW w:w="1245" w:type="dxa"/>
            <w:shd w:val="clear" w:color="auto" w:fill="auto"/>
          </w:tcPr>
          <w:p w:rsidR="00C74981" w:rsidRPr="007F3BA6" w:rsidRDefault="00C74981" w:rsidP="00D71C71">
            <w:pPr>
              <w:rPr>
                <w:rFonts w:eastAsia="Malgun Gothic"/>
                <w:sz w:val="20"/>
                <w:lang w:eastAsia="ko-KR"/>
              </w:rPr>
            </w:pPr>
          </w:p>
        </w:tc>
        <w:tc>
          <w:tcPr>
            <w:tcW w:w="1015" w:type="dxa"/>
            <w:shd w:val="clear" w:color="auto" w:fill="auto"/>
          </w:tcPr>
          <w:p w:rsidR="00C74981" w:rsidRPr="007F3BA6" w:rsidRDefault="00C74981" w:rsidP="00D71C71">
            <w:pPr>
              <w:rPr>
                <w:rFonts w:eastAsia="Malgun Gothic"/>
                <w:sz w:val="20"/>
                <w:lang w:eastAsia="ko-KR"/>
              </w:rPr>
            </w:pPr>
            <w:r w:rsidRPr="007F3BA6">
              <w:rPr>
                <w:rFonts w:eastAsia="Malgun Gothic"/>
                <w:sz w:val="20"/>
                <w:lang w:eastAsia="ko-KR"/>
              </w:rPr>
              <w:t>2017</w:t>
            </w:r>
          </w:p>
        </w:tc>
      </w:tr>
      <w:tr w:rsidR="00600868" w:rsidRPr="00AC3131" w:rsidTr="00102E00">
        <w:trPr>
          <w:jc w:val="center"/>
        </w:trPr>
        <w:tc>
          <w:tcPr>
            <w:tcW w:w="1168" w:type="dxa"/>
          </w:tcPr>
          <w:p w:rsidR="00600868" w:rsidRPr="007F3BA6" w:rsidRDefault="00600868" w:rsidP="00D71C71">
            <w:pPr>
              <w:jc w:val="center"/>
              <w:rPr>
                <w:sz w:val="20"/>
                <w:lang w:eastAsia="ko-KR"/>
              </w:rPr>
            </w:pPr>
          </w:p>
        </w:tc>
        <w:tc>
          <w:tcPr>
            <w:tcW w:w="958" w:type="dxa"/>
            <w:shd w:val="clear" w:color="auto" w:fill="auto"/>
          </w:tcPr>
          <w:p w:rsidR="00600868" w:rsidRPr="007F3BA6" w:rsidRDefault="00600868" w:rsidP="00D71C71">
            <w:pPr>
              <w:rPr>
                <w:rFonts w:eastAsia="Malgun Gothic"/>
                <w:sz w:val="20"/>
                <w:lang w:eastAsia="ko-KR"/>
              </w:rPr>
            </w:pPr>
            <w:r w:rsidRPr="007F3BA6">
              <w:rPr>
                <w:sz w:val="20"/>
                <w:lang w:eastAsia="ko-KR"/>
              </w:rPr>
              <w:t>ITU-T SG</w:t>
            </w:r>
            <w:r w:rsidRPr="007F3BA6">
              <w:rPr>
                <w:rFonts w:eastAsia="Malgun Gothic"/>
                <w:sz w:val="20"/>
                <w:lang w:eastAsia="ko-KR"/>
              </w:rPr>
              <w:t>5</w:t>
            </w:r>
            <w:r w:rsidRPr="007F3BA6">
              <w:rPr>
                <w:sz w:val="20"/>
                <w:lang w:eastAsia="ko-KR"/>
              </w:rPr>
              <w:t xml:space="preserve"> </w:t>
            </w:r>
            <w:r w:rsidRPr="007F3BA6">
              <w:rPr>
                <w:rFonts w:eastAsia="Malgun Gothic"/>
                <w:sz w:val="20"/>
                <w:lang w:eastAsia="ko-KR"/>
              </w:rPr>
              <w:t>Q18</w:t>
            </w:r>
          </w:p>
        </w:tc>
        <w:tc>
          <w:tcPr>
            <w:tcW w:w="2186" w:type="dxa"/>
            <w:shd w:val="clear" w:color="auto" w:fill="auto"/>
          </w:tcPr>
          <w:p w:rsidR="00600868" w:rsidRPr="007F3BA6" w:rsidRDefault="00600868" w:rsidP="00D71C71">
            <w:pPr>
              <w:rPr>
                <w:sz w:val="20"/>
              </w:rPr>
            </w:pPr>
            <w:r w:rsidRPr="007F3BA6">
              <w:rPr>
                <w:b/>
                <w:sz w:val="20"/>
              </w:rPr>
              <w:t>ITU-T L.1410</w:t>
            </w:r>
            <w:r w:rsidRPr="007F3BA6">
              <w:rPr>
                <w:sz w:val="20"/>
              </w:rPr>
              <w:t>, Methodology for environmental impact assessment of information and communication technologies (ICT) goods, networks and services</w:t>
            </w:r>
          </w:p>
        </w:tc>
        <w:tc>
          <w:tcPr>
            <w:tcW w:w="5952" w:type="dxa"/>
            <w:shd w:val="clear" w:color="auto" w:fill="auto"/>
          </w:tcPr>
          <w:p w:rsidR="00600868" w:rsidRPr="007F3BA6" w:rsidRDefault="00600868" w:rsidP="00D71C71">
            <w:pPr>
              <w:rPr>
                <w:sz w:val="20"/>
                <w:lang w:val="en-US" w:eastAsia="zh-CN"/>
              </w:rPr>
            </w:pPr>
            <w:r w:rsidRPr="007F3BA6">
              <w:rPr>
                <w:sz w:val="20"/>
                <w:lang w:val="en-US" w:eastAsia="zh-CN"/>
              </w:rPr>
              <w:t>Recommendation ITU-T L.1410 deals with the assessment of the environmental impact of information and communication technology (ICT) goods, networks and services. It is organized in two parts:</w:t>
            </w:r>
          </w:p>
          <w:p w:rsidR="00600868" w:rsidRPr="007F3BA6" w:rsidRDefault="00600868" w:rsidP="00600868">
            <w:pPr>
              <w:widowControl w:val="0"/>
              <w:numPr>
                <w:ilvl w:val="0"/>
                <w:numId w:val="7"/>
              </w:numPr>
              <w:tabs>
                <w:tab w:val="clear" w:pos="794"/>
                <w:tab w:val="left" w:pos="383"/>
              </w:tabs>
              <w:suppressAutoHyphens/>
              <w:autoSpaceDN/>
              <w:adjustRightInd/>
              <w:rPr>
                <w:sz w:val="20"/>
                <w:lang w:val="en-US" w:eastAsia="zh-CN"/>
              </w:rPr>
            </w:pPr>
            <w:r w:rsidRPr="007F3BA6">
              <w:rPr>
                <w:sz w:val="20"/>
                <w:lang w:val="en-US" w:eastAsia="zh-CN"/>
              </w:rPr>
              <w:t>Part I (clause 5) – ICT life cycle assessment: framework and guidance.</w:t>
            </w:r>
          </w:p>
          <w:p w:rsidR="00600868" w:rsidRPr="007F3BA6" w:rsidRDefault="00600868" w:rsidP="00600868">
            <w:pPr>
              <w:widowControl w:val="0"/>
              <w:numPr>
                <w:ilvl w:val="0"/>
                <w:numId w:val="7"/>
              </w:numPr>
              <w:tabs>
                <w:tab w:val="clear" w:pos="794"/>
                <w:tab w:val="left" w:pos="383"/>
              </w:tabs>
              <w:suppressAutoHyphens/>
              <w:autoSpaceDN/>
              <w:adjustRightInd/>
              <w:rPr>
                <w:sz w:val="20"/>
                <w:lang w:val="en-US" w:eastAsia="zh-CN"/>
              </w:rPr>
            </w:pPr>
            <w:r w:rsidRPr="007F3BA6">
              <w:rPr>
                <w:sz w:val="20"/>
                <w:lang w:val="en-US" w:eastAsia="zh-CN"/>
              </w:rPr>
              <w:t>Part II (clause 6) – Comparative analysis between ICT and a reference product system (baseline</w:t>
            </w:r>
            <w:r w:rsidRPr="007F3BA6">
              <w:rPr>
                <w:rFonts w:eastAsia="Malgun Gothic"/>
                <w:sz w:val="20"/>
                <w:lang w:val="en-US" w:eastAsia="ko-KR"/>
              </w:rPr>
              <w:t xml:space="preserve"> </w:t>
            </w:r>
            <w:r w:rsidRPr="007F3BA6">
              <w:rPr>
                <w:sz w:val="20"/>
                <w:lang w:val="en-US" w:eastAsia="zh-CN"/>
              </w:rPr>
              <w:t>scenario); framework and guidance.</w:t>
            </w:r>
          </w:p>
          <w:p w:rsidR="00600868" w:rsidRPr="007F3BA6" w:rsidRDefault="00600868" w:rsidP="00D71C71">
            <w:pPr>
              <w:spacing w:before="0"/>
              <w:rPr>
                <w:sz w:val="20"/>
                <w:lang w:val="en-US" w:eastAsia="zh-CN"/>
              </w:rPr>
            </w:pPr>
            <w:r w:rsidRPr="007F3BA6">
              <w:rPr>
                <w:sz w:val="20"/>
                <w:lang w:val="en-US" w:eastAsia="zh-CN"/>
              </w:rPr>
              <w:t>Part I deals with the life cycle assessment (LCA) methodology applied to ICT goods, networks and</w:t>
            </w:r>
            <w:r w:rsidRPr="007F3BA6">
              <w:rPr>
                <w:rFonts w:eastAsia="Malgun Gothic"/>
                <w:sz w:val="20"/>
                <w:lang w:val="en-US" w:eastAsia="ko-KR"/>
              </w:rPr>
              <w:t xml:space="preserve"> </w:t>
            </w:r>
            <w:r w:rsidRPr="007F3BA6">
              <w:rPr>
                <w:sz w:val="20"/>
                <w:lang w:val="en-US" w:eastAsia="zh-CN"/>
              </w:rPr>
              <w:t>services (ICT GNS). Part II deals with comparative analysis based on LCA results of an ICT GNS</w:t>
            </w:r>
            <w:r w:rsidRPr="007F3BA6">
              <w:rPr>
                <w:rFonts w:eastAsia="Malgun Gothic"/>
                <w:sz w:val="20"/>
                <w:lang w:val="en-US" w:eastAsia="ko-KR"/>
              </w:rPr>
              <w:t xml:space="preserve"> </w:t>
            </w:r>
            <w:r w:rsidRPr="007F3BA6">
              <w:rPr>
                <w:sz w:val="20"/>
                <w:lang w:val="en-US" w:eastAsia="zh-CN"/>
              </w:rPr>
              <w:t>product system and a referenced product system.</w:t>
            </w:r>
          </w:p>
          <w:p w:rsidR="00600868" w:rsidRPr="007F3BA6" w:rsidRDefault="00600868" w:rsidP="00D71C71">
            <w:pPr>
              <w:spacing w:before="0"/>
              <w:rPr>
                <w:rFonts w:eastAsia="Malgun Gothic"/>
                <w:sz w:val="20"/>
                <w:lang w:val="en-US" w:eastAsia="ko-KR"/>
              </w:rPr>
            </w:pPr>
            <w:r w:rsidRPr="007F3BA6">
              <w:rPr>
                <w:sz w:val="20"/>
                <w:lang w:val="en-US" w:eastAsia="zh-CN"/>
              </w:rPr>
              <w:t>This Recommendation provides specific guidance on energy and greenhouse gas (GHG) impacts.</w:t>
            </w:r>
          </w:p>
          <w:p w:rsidR="00600868" w:rsidRPr="007F3BA6" w:rsidRDefault="00600868" w:rsidP="007F3BA6">
            <w:pPr>
              <w:spacing w:before="60"/>
              <w:rPr>
                <w:rFonts w:eastAsia="Malgun Gothic"/>
                <w:sz w:val="20"/>
                <w:lang w:val="fr-CH" w:eastAsia="ko-KR"/>
              </w:rPr>
            </w:pPr>
            <w:r w:rsidRPr="007F3BA6">
              <w:rPr>
                <w:rFonts w:eastAsia="Malgun Gothic"/>
                <w:sz w:val="20"/>
                <w:lang w:val="fr-CH" w:eastAsia="ko-KR"/>
              </w:rPr>
              <w:t xml:space="preserve">URI : </w:t>
            </w:r>
            <w:hyperlink r:id="rId17" w:history="1">
              <w:r w:rsidRPr="007F3BA6">
                <w:rPr>
                  <w:rFonts w:eastAsia="Malgun Gothic"/>
                  <w:color w:val="0000FF"/>
                  <w:sz w:val="20"/>
                  <w:u w:val="single"/>
                  <w:lang w:val="fr-CH" w:eastAsia="ko-KR"/>
                </w:rPr>
                <w:t>http://www.itu.int/ITU-T/recommendations/rec.aspx?id=11430</w:t>
              </w:r>
            </w:hyperlink>
            <w:r w:rsidRPr="007F3BA6">
              <w:rPr>
                <w:rFonts w:eastAsia="Malgun Gothic"/>
                <w:sz w:val="20"/>
                <w:lang w:val="fr-CH" w:eastAsia="ko-KR"/>
              </w:rPr>
              <w:t xml:space="preserve"> </w:t>
            </w:r>
          </w:p>
        </w:tc>
        <w:tc>
          <w:tcPr>
            <w:tcW w:w="1870" w:type="dxa"/>
            <w:shd w:val="clear" w:color="auto" w:fill="auto"/>
          </w:tcPr>
          <w:p w:rsidR="00600868" w:rsidRPr="007F3BA6" w:rsidRDefault="00600868" w:rsidP="00D71C71">
            <w:pPr>
              <w:rPr>
                <w:rFonts w:eastAsia="Malgun Gothic"/>
                <w:sz w:val="20"/>
                <w:lang w:eastAsia="ko-KR"/>
              </w:rPr>
            </w:pPr>
            <w:r w:rsidRPr="007F3BA6">
              <w:rPr>
                <w:rFonts w:eastAsia="Malgun Gothic"/>
                <w:sz w:val="20"/>
                <w:lang w:eastAsia="ko-KR"/>
              </w:rPr>
              <w:t>Recommendation</w:t>
            </w:r>
          </w:p>
        </w:tc>
        <w:tc>
          <w:tcPr>
            <w:tcW w:w="1245" w:type="dxa"/>
            <w:shd w:val="clear" w:color="auto" w:fill="auto"/>
          </w:tcPr>
          <w:p w:rsidR="00600868" w:rsidRPr="007F3BA6" w:rsidRDefault="00600868" w:rsidP="00D71C71">
            <w:pPr>
              <w:rPr>
                <w:rFonts w:eastAsia="Malgun Gothic"/>
                <w:sz w:val="20"/>
                <w:lang w:eastAsia="ko-KR"/>
              </w:rPr>
            </w:pPr>
          </w:p>
        </w:tc>
        <w:tc>
          <w:tcPr>
            <w:tcW w:w="1015" w:type="dxa"/>
            <w:shd w:val="clear" w:color="auto" w:fill="auto"/>
          </w:tcPr>
          <w:p w:rsidR="00600868" w:rsidRPr="007F3BA6" w:rsidRDefault="00600868" w:rsidP="00D71C71">
            <w:pPr>
              <w:rPr>
                <w:rFonts w:eastAsia="Malgun Gothic"/>
                <w:sz w:val="20"/>
                <w:lang w:eastAsia="ko-KR"/>
              </w:rPr>
            </w:pPr>
          </w:p>
        </w:tc>
      </w:tr>
      <w:tr w:rsidR="00600868" w:rsidRPr="00AC3131" w:rsidTr="00102E00">
        <w:trPr>
          <w:jc w:val="center"/>
        </w:trPr>
        <w:tc>
          <w:tcPr>
            <w:tcW w:w="1168" w:type="dxa"/>
          </w:tcPr>
          <w:p w:rsidR="00600868" w:rsidRPr="007F3BA6" w:rsidRDefault="00600868" w:rsidP="00D71C71">
            <w:pPr>
              <w:jc w:val="center"/>
              <w:rPr>
                <w:sz w:val="20"/>
                <w:lang w:eastAsia="ko-KR"/>
              </w:rPr>
            </w:pPr>
          </w:p>
        </w:tc>
        <w:tc>
          <w:tcPr>
            <w:tcW w:w="958" w:type="dxa"/>
            <w:shd w:val="clear" w:color="auto" w:fill="auto"/>
          </w:tcPr>
          <w:p w:rsidR="00600868" w:rsidRPr="007F3BA6" w:rsidRDefault="00EA4A21" w:rsidP="00D71C71">
            <w:pPr>
              <w:rPr>
                <w:rFonts w:eastAsia="Malgun Gothic"/>
                <w:sz w:val="20"/>
                <w:lang w:eastAsia="ko-KR"/>
              </w:rPr>
            </w:pPr>
            <w:r w:rsidRPr="007F3BA6">
              <w:rPr>
                <w:sz w:val="20"/>
                <w:lang w:eastAsia="ko-KR"/>
              </w:rPr>
              <w:t>ITU-T SG</w:t>
            </w:r>
            <w:r w:rsidRPr="007F3BA6">
              <w:rPr>
                <w:rFonts w:eastAsia="Malgun Gothic"/>
                <w:sz w:val="20"/>
                <w:lang w:eastAsia="ko-KR"/>
              </w:rPr>
              <w:t>5</w:t>
            </w:r>
            <w:r w:rsidRPr="007F3BA6">
              <w:rPr>
                <w:sz w:val="20"/>
                <w:lang w:eastAsia="ko-KR"/>
              </w:rPr>
              <w:t xml:space="preserve"> </w:t>
            </w:r>
            <w:r w:rsidRPr="007F3BA6">
              <w:rPr>
                <w:rFonts w:eastAsia="Malgun Gothic"/>
                <w:sz w:val="20"/>
                <w:lang w:eastAsia="ko-KR"/>
              </w:rPr>
              <w:t>Q17</w:t>
            </w:r>
          </w:p>
        </w:tc>
        <w:tc>
          <w:tcPr>
            <w:tcW w:w="2186" w:type="dxa"/>
            <w:shd w:val="clear" w:color="auto" w:fill="auto"/>
          </w:tcPr>
          <w:p w:rsidR="00600868" w:rsidRPr="007F3BA6" w:rsidRDefault="003F7479">
            <w:pPr>
              <w:rPr>
                <w:rFonts w:eastAsia="Malgun Gothic"/>
                <w:b/>
                <w:sz w:val="20"/>
                <w:lang w:eastAsia="ko-KR"/>
              </w:rPr>
            </w:pPr>
            <w:r w:rsidRPr="007F3BA6">
              <w:rPr>
                <w:b/>
                <w:sz w:val="20"/>
              </w:rPr>
              <w:t xml:space="preserve">ITU-T </w:t>
            </w:r>
            <w:r w:rsidR="00BD52C8" w:rsidRPr="007F3BA6">
              <w:rPr>
                <w:b/>
                <w:sz w:val="20"/>
              </w:rPr>
              <w:t>1301</w:t>
            </w:r>
            <w:hyperlink r:id="rId18" w:tooltip="See more details" w:history="1"/>
            <w:r w:rsidR="00EA4A21" w:rsidRPr="007F3BA6">
              <w:rPr>
                <w:rFonts w:eastAsia="Malgun Gothic"/>
                <w:sz w:val="20"/>
                <w:lang w:eastAsia="ko-KR"/>
              </w:rPr>
              <w:t>, Minimum data set for data center energy management</w:t>
            </w:r>
          </w:p>
        </w:tc>
        <w:tc>
          <w:tcPr>
            <w:tcW w:w="5952" w:type="dxa"/>
            <w:shd w:val="clear" w:color="auto" w:fill="auto"/>
          </w:tcPr>
          <w:p w:rsidR="00600868" w:rsidRPr="007F3BA6" w:rsidRDefault="00EA4A21" w:rsidP="007F3BA6">
            <w:pPr>
              <w:rPr>
                <w:rFonts w:eastAsia="Malgun Gothic"/>
                <w:sz w:val="20"/>
                <w:lang w:val="en-US" w:eastAsia="ko-KR"/>
              </w:rPr>
            </w:pPr>
            <w:r w:rsidRPr="007F3BA6">
              <w:rPr>
                <w:sz w:val="20"/>
              </w:rPr>
              <w:t>Minimum data set and communication interface</w:t>
            </w:r>
            <w:r w:rsidR="00BD52C8" w:rsidRPr="007F3BA6">
              <w:rPr>
                <w:sz w:val="20"/>
              </w:rPr>
              <w:t xml:space="preserve"> </w:t>
            </w:r>
            <w:r w:rsidRPr="007F3BA6">
              <w:rPr>
                <w:sz w:val="20"/>
              </w:rPr>
              <w:t>requirements for DataCenter energy management</w:t>
            </w:r>
          </w:p>
          <w:p w:rsidR="00600868" w:rsidRPr="007F3BA6" w:rsidRDefault="00EA4A21" w:rsidP="007F3BA6">
            <w:pPr>
              <w:spacing w:before="60"/>
              <w:rPr>
                <w:rFonts w:eastAsia="Malgun Gothic"/>
                <w:sz w:val="20"/>
                <w:lang w:val="fr-CH" w:eastAsia="ko-KR"/>
              </w:rPr>
            </w:pPr>
            <w:r w:rsidRPr="007F3BA6">
              <w:rPr>
                <w:rFonts w:eastAsia="Malgun Gothic"/>
                <w:sz w:val="20"/>
                <w:lang w:val="fr-CH" w:eastAsia="ko-KR"/>
              </w:rPr>
              <w:t xml:space="preserve">URI : </w:t>
            </w:r>
            <w:hyperlink r:id="rId19" w:history="1">
              <w:r w:rsidRPr="007F3BA6">
                <w:rPr>
                  <w:rFonts w:eastAsia="Malgun Gothic"/>
                  <w:color w:val="0000FF"/>
                  <w:sz w:val="20"/>
                  <w:u w:val="single"/>
                  <w:lang w:val="fr-CH" w:eastAsia="ko-KR"/>
                </w:rPr>
                <w:t>http://www.itu.int/ITU-T/workprog/wp_item.aspx?isn=8620</w:t>
              </w:r>
            </w:hyperlink>
            <w:r w:rsidRPr="007F3BA6">
              <w:rPr>
                <w:rFonts w:eastAsia="Malgun Gothic"/>
                <w:sz w:val="20"/>
                <w:lang w:val="fr-CH" w:eastAsia="ko-KR"/>
              </w:rPr>
              <w:t xml:space="preserve"> </w:t>
            </w:r>
          </w:p>
        </w:tc>
        <w:tc>
          <w:tcPr>
            <w:tcW w:w="1870" w:type="dxa"/>
            <w:shd w:val="clear" w:color="auto" w:fill="auto"/>
          </w:tcPr>
          <w:p w:rsidR="00600868" w:rsidRPr="007F3BA6" w:rsidRDefault="00BD52C8" w:rsidP="00D71C71">
            <w:pPr>
              <w:rPr>
                <w:rFonts w:eastAsia="Malgun Gothic"/>
                <w:sz w:val="20"/>
                <w:lang w:eastAsia="ko-KR"/>
              </w:rPr>
            </w:pPr>
            <w:r w:rsidRPr="00BD52C8">
              <w:rPr>
                <w:sz w:val="20"/>
              </w:rPr>
              <w:t>Draft Recommendation</w:t>
            </w:r>
          </w:p>
        </w:tc>
        <w:tc>
          <w:tcPr>
            <w:tcW w:w="1245" w:type="dxa"/>
            <w:shd w:val="clear" w:color="auto" w:fill="auto"/>
          </w:tcPr>
          <w:p w:rsidR="00600868" w:rsidRPr="007F3BA6" w:rsidRDefault="00EA4A21" w:rsidP="00D71C71">
            <w:pPr>
              <w:rPr>
                <w:rFonts w:eastAsia="Malgun Gothic"/>
                <w:sz w:val="20"/>
                <w:lang w:eastAsia="ko-KR"/>
              </w:rPr>
            </w:pPr>
            <w:r w:rsidRPr="007F3BA6">
              <w:rPr>
                <w:sz w:val="20"/>
                <w:lang w:eastAsia="ko-KR"/>
              </w:rPr>
              <w:t>2013-01-29</w:t>
            </w:r>
          </w:p>
        </w:tc>
        <w:tc>
          <w:tcPr>
            <w:tcW w:w="1015" w:type="dxa"/>
            <w:shd w:val="clear" w:color="auto" w:fill="auto"/>
          </w:tcPr>
          <w:p w:rsidR="00600868" w:rsidRPr="007F3BA6" w:rsidRDefault="00BD52C8" w:rsidP="00D71C71">
            <w:pPr>
              <w:rPr>
                <w:rFonts w:eastAsia="Malgun Gothic"/>
                <w:sz w:val="20"/>
                <w:lang w:eastAsia="ko-KR"/>
              </w:rPr>
            </w:pPr>
            <w:r>
              <w:rPr>
                <w:rFonts w:eastAsia="Malgun Gothic"/>
                <w:sz w:val="20"/>
                <w:lang w:eastAsia="ko-KR"/>
              </w:rPr>
              <w:t>Consented 2014</w:t>
            </w:r>
          </w:p>
        </w:tc>
      </w:tr>
      <w:tr w:rsidR="00600868" w:rsidRPr="00AC3131" w:rsidTr="00102E00">
        <w:trPr>
          <w:jc w:val="center"/>
        </w:trPr>
        <w:tc>
          <w:tcPr>
            <w:tcW w:w="1168" w:type="dxa"/>
          </w:tcPr>
          <w:p w:rsidR="00600868" w:rsidRPr="007F3BA6" w:rsidRDefault="00600868" w:rsidP="00171F53">
            <w:pPr>
              <w:keepNext/>
              <w:keepLines/>
              <w:jc w:val="center"/>
              <w:rPr>
                <w:sz w:val="20"/>
                <w:lang w:eastAsia="ko-KR"/>
              </w:rPr>
            </w:pPr>
          </w:p>
        </w:tc>
        <w:tc>
          <w:tcPr>
            <w:tcW w:w="958" w:type="dxa"/>
            <w:shd w:val="clear" w:color="auto" w:fill="auto"/>
          </w:tcPr>
          <w:p w:rsidR="00600868" w:rsidRPr="007F3BA6" w:rsidRDefault="00600868" w:rsidP="00171F53">
            <w:pPr>
              <w:keepNext/>
              <w:keepLines/>
              <w:rPr>
                <w:sz w:val="20"/>
                <w:lang w:val="en-US" w:eastAsia="ko-KR"/>
              </w:rPr>
            </w:pPr>
            <w:r w:rsidRPr="007F3BA6">
              <w:rPr>
                <w:sz w:val="20"/>
              </w:rPr>
              <w:t>ITU-T SG5 Q19</w:t>
            </w:r>
          </w:p>
        </w:tc>
        <w:tc>
          <w:tcPr>
            <w:tcW w:w="2186" w:type="dxa"/>
            <w:shd w:val="clear" w:color="auto" w:fill="auto"/>
          </w:tcPr>
          <w:p w:rsidR="00096EF9" w:rsidRPr="007F3BA6" w:rsidRDefault="00600868" w:rsidP="00171F53">
            <w:pPr>
              <w:keepNext/>
              <w:keepLines/>
              <w:rPr>
                <w:rFonts w:eastAsia="Malgun Gothic"/>
                <w:b/>
                <w:sz w:val="20"/>
                <w:lang w:val="en-US" w:eastAsia="ko-KR"/>
              </w:rPr>
            </w:pPr>
            <w:r w:rsidRPr="007F3BA6">
              <w:rPr>
                <w:b/>
                <w:bCs/>
                <w:sz w:val="20"/>
              </w:rPr>
              <w:t>ITU-T L.</w:t>
            </w:r>
            <w:r w:rsidR="00C74981" w:rsidRPr="007F3BA6">
              <w:rPr>
                <w:b/>
                <w:bCs/>
                <w:sz w:val="20"/>
              </w:rPr>
              <w:t>1201</w:t>
            </w:r>
            <w:r w:rsidRPr="007F3BA6">
              <w:rPr>
                <w:rFonts w:eastAsia="Malgun Gothic"/>
                <w:b/>
                <w:bCs/>
                <w:sz w:val="20"/>
                <w:lang w:eastAsia="ko-KR"/>
              </w:rPr>
              <w:t xml:space="preserve">, </w:t>
            </w:r>
            <w:r w:rsidRPr="007F3BA6">
              <w:rPr>
                <w:rFonts w:eastAsia="Malgun Gothic"/>
                <w:bCs/>
                <w:sz w:val="20"/>
                <w:lang w:eastAsia="ko-KR"/>
              </w:rPr>
              <w:t>Architecture of DC power feeding systems</w:t>
            </w:r>
          </w:p>
        </w:tc>
        <w:tc>
          <w:tcPr>
            <w:tcW w:w="5952" w:type="dxa"/>
            <w:shd w:val="clear" w:color="auto" w:fill="auto"/>
          </w:tcPr>
          <w:p w:rsidR="00600868" w:rsidRPr="007F3BA6" w:rsidRDefault="00600868" w:rsidP="007F3BA6">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rPr>
                <w:rFonts w:eastAsia="Malgun Gothic"/>
                <w:bCs/>
                <w:sz w:val="20"/>
                <w:lang w:eastAsia="ko-KR"/>
              </w:rPr>
            </w:pPr>
            <w:r w:rsidRPr="007F3BA6">
              <w:rPr>
                <w:bCs/>
                <w:sz w:val="20"/>
              </w:rPr>
              <w:t>System configu</w:t>
            </w:r>
            <w:r w:rsidRPr="007F3BA6">
              <w:rPr>
                <w:rFonts w:eastAsia="Batang"/>
                <w:bCs/>
                <w:sz w:val="20"/>
                <w:lang w:eastAsia="ko-KR"/>
              </w:rPr>
              <w:t>r</w:t>
            </w:r>
            <w:r w:rsidRPr="007F3BA6">
              <w:rPr>
                <w:bCs/>
                <w:sz w:val="20"/>
              </w:rPr>
              <w:t>ation, architecture and cable distribution including feeding, lightning protection, EMC, earthing and bonding of the power feeding system</w:t>
            </w:r>
          </w:p>
          <w:p w:rsidR="00600868" w:rsidRPr="007F3BA6" w:rsidRDefault="00600868" w:rsidP="007F3BA6">
            <w:pPr>
              <w:keepNext/>
              <w:keepLines/>
              <w:spacing w:before="60"/>
              <w:rPr>
                <w:rFonts w:eastAsia="Malgun Gothic"/>
                <w:sz w:val="20"/>
                <w:lang w:val="fr-CH" w:eastAsia="ko-KR"/>
              </w:rPr>
            </w:pPr>
            <w:r w:rsidRPr="007F3BA6">
              <w:rPr>
                <w:rFonts w:eastAsia="Malgun Gothic"/>
                <w:bCs/>
                <w:sz w:val="20"/>
                <w:lang w:val="fr-CH" w:eastAsia="ko-KR"/>
              </w:rPr>
              <w:t xml:space="preserve">URI : </w:t>
            </w:r>
            <w:hyperlink r:id="rId20" w:history="1">
              <w:r w:rsidR="003F7479" w:rsidRPr="007F3BA6">
                <w:rPr>
                  <w:rStyle w:val="Hyperlink"/>
                  <w:rFonts w:eastAsia="Malgun Gothic"/>
                  <w:sz w:val="20"/>
                  <w:lang w:val="fr-CH"/>
                </w:rPr>
                <w:t>http://www.itu.int/ITU-T/recommendations/rec.aspx?rec=12135</w:t>
              </w:r>
            </w:hyperlink>
            <w:r w:rsidR="003F7479">
              <w:rPr>
                <w:rFonts w:eastAsia="Malgun Gothic"/>
                <w:bCs/>
                <w:sz w:val="20"/>
                <w:lang w:val="it-IT" w:eastAsia="ko-KR"/>
              </w:rPr>
              <w:t xml:space="preserve"> </w:t>
            </w:r>
          </w:p>
        </w:tc>
        <w:tc>
          <w:tcPr>
            <w:tcW w:w="1870" w:type="dxa"/>
            <w:shd w:val="clear" w:color="auto" w:fill="auto"/>
          </w:tcPr>
          <w:p w:rsidR="00600868" w:rsidRPr="007F3BA6" w:rsidRDefault="00600868" w:rsidP="00171F53">
            <w:pPr>
              <w:keepNext/>
              <w:keepLines/>
              <w:rPr>
                <w:sz w:val="20"/>
                <w:lang w:val="en-US" w:eastAsia="ko-KR"/>
              </w:rPr>
            </w:pPr>
            <w:r w:rsidRPr="007F3BA6">
              <w:rPr>
                <w:sz w:val="20"/>
              </w:rPr>
              <w:t>Recommendation</w:t>
            </w:r>
          </w:p>
        </w:tc>
        <w:tc>
          <w:tcPr>
            <w:tcW w:w="1245" w:type="dxa"/>
            <w:shd w:val="clear" w:color="auto" w:fill="auto"/>
          </w:tcPr>
          <w:p w:rsidR="00600868" w:rsidRPr="007F3BA6" w:rsidRDefault="00600868" w:rsidP="00171F53">
            <w:pPr>
              <w:keepNext/>
              <w:keepLines/>
              <w:rPr>
                <w:sz w:val="20"/>
                <w:lang w:val="en-US"/>
              </w:rPr>
            </w:pPr>
          </w:p>
        </w:tc>
        <w:tc>
          <w:tcPr>
            <w:tcW w:w="1015" w:type="dxa"/>
            <w:shd w:val="clear" w:color="auto" w:fill="auto"/>
          </w:tcPr>
          <w:p w:rsidR="00600868" w:rsidRPr="007F3BA6" w:rsidRDefault="00600868" w:rsidP="00171F53">
            <w:pPr>
              <w:keepNext/>
              <w:keepLines/>
              <w:rPr>
                <w:sz w:val="20"/>
                <w:lang w:eastAsia="ko-KR"/>
              </w:rPr>
            </w:pPr>
          </w:p>
        </w:tc>
      </w:tr>
      <w:tr w:rsidR="00600868" w:rsidRPr="00AC3131" w:rsidTr="00102E00">
        <w:trPr>
          <w:jc w:val="center"/>
        </w:trPr>
        <w:tc>
          <w:tcPr>
            <w:tcW w:w="1168" w:type="dxa"/>
          </w:tcPr>
          <w:p w:rsidR="00600868" w:rsidRPr="007F3BA6" w:rsidRDefault="00600868" w:rsidP="00D71C71">
            <w:pPr>
              <w:jc w:val="center"/>
              <w:rPr>
                <w:sz w:val="20"/>
                <w:lang w:eastAsia="ko-KR"/>
              </w:rPr>
            </w:pPr>
          </w:p>
        </w:tc>
        <w:tc>
          <w:tcPr>
            <w:tcW w:w="958" w:type="dxa"/>
            <w:shd w:val="clear" w:color="auto" w:fill="auto"/>
          </w:tcPr>
          <w:p w:rsidR="00600868" w:rsidRPr="007F3BA6" w:rsidRDefault="00600868" w:rsidP="00D71C71">
            <w:pPr>
              <w:rPr>
                <w:sz w:val="20"/>
                <w:lang w:val="en-US" w:eastAsia="ko-KR"/>
              </w:rPr>
            </w:pPr>
            <w:r w:rsidRPr="007F3BA6">
              <w:rPr>
                <w:sz w:val="20"/>
              </w:rPr>
              <w:t>ITU-T SG5 Q19</w:t>
            </w:r>
          </w:p>
        </w:tc>
        <w:tc>
          <w:tcPr>
            <w:tcW w:w="2186" w:type="dxa"/>
            <w:shd w:val="clear" w:color="auto" w:fill="auto"/>
          </w:tcPr>
          <w:p w:rsidR="00600868" w:rsidRPr="007F3BA6" w:rsidRDefault="00600868">
            <w:pPr>
              <w:rPr>
                <w:rFonts w:eastAsia="Malgun Gothic"/>
                <w:sz w:val="20"/>
                <w:lang w:val="en-US" w:eastAsia="ko-KR"/>
              </w:rPr>
            </w:pPr>
            <w:r w:rsidRPr="007F3BA6">
              <w:rPr>
                <w:b/>
                <w:bCs/>
                <w:sz w:val="20"/>
              </w:rPr>
              <w:t>ITU-T L.</w:t>
            </w:r>
            <w:r w:rsidR="00BD52C8">
              <w:rPr>
                <w:b/>
                <w:bCs/>
                <w:sz w:val="20"/>
              </w:rPr>
              <w:t>1202</w:t>
            </w:r>
            <w:r w:rsidRPr="007F3BA6">
              <w:rPr>
                <w:rFonts w:eastAsia="Malgun Gothic"/>
                <w:b/>
                <w:bCs/>
                <w:sz w:val="20"/>
                <w:lang w:eastAsia="ko-KR"/>
              </w:rPr>
              <w:t>,</w:t>
            </w:r>
            <w:r w:rsidRPr="007F3BA6">
              <w:rPr>
                <w:rFonts w:eastAsia="Malgun Gothic"/>
                <w:bCs/>
                <w:sz w:val="20"/>
                <w:lang w:eastAsia="ko-KR"/>
              </w:rPr>
              <w:t xml:space="preserve"> Methodologies for evaluating the performance of energy feeding and its environmental impact</w:t>
            </w:r>
          </w:p>
        </w:tc>
        <w:tc>
          <w:tcPr>
            <w:tcW w:w="5952" w:type="dxa"/>
            <w:shd w:val="clear" w:color="auto" w:fill="auto"/>
          </w:tcPr>
          <w:p w:rsidR="00600868" w:rsidRPr="007F3BA6" w:rsidRDefault="00600868" w:rsidP="007F3BA6">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rPr>
                <w:rFonts w:eastAsia="Malgun Gothic"/>
                <w:bCs/>
                <w:sz w:val="20"/>
                <w:lang w:eastAsia="ko-KR"/>
              </w:rPr>
            </w:pPr>
            <w:r w:rsidRPr="007F3BA6">
              <w:rPr>
                <w:bCs/>
                <w:sz w:val="20"/>
              </w:rPr>
              <w:t>Methodologies for evaluating the performance of energy feeding and its environmental impact</w:t>
            </w:r>
          </w:p>
          <w:p w:rsidR="00600868" w:rsidRPr="007F3BA6" w:rsidRDefault="00600868" w:rsidP="007F3BA6">
            <w:pPr>
              <w:keepNext/>
              <w:keepLines/>
              <w:spacing w:before="60"/>
              <w:rPr>
                <w:rFonts w:eastAsia="Malgun Gothic"/>
                <w:sz w:val="20"/>
                <w:lang w:val="fr-CH" w:eastAsia="ko-KR"/>
              </w:rPr>
            </w:pPr>
            <w:r w:rsidRPr="007F3BA6">
              <w:rPr>
                <w:rFonts w:eastAsia="Malgun Gothic"/>
                <w:bCs/>
                <w:sz w:val="20"/>
                <w:lang w:val="fr-CH" w:eastAsia="ko-KR"/>
              </w:rPr>
              <w:t xml:space="preserve">URI : </w:t>
            </w:r>
            <w:hyperlink r:id="rId21" w:history="1">
              <w:r w:rsidRPr="007F3BA6">
                <w:rPr>
                  <w:rFonts w:eastAsia="Malgun Gothic"/>
                  <w:bCs/>
                  <w:color w:val="0000FF"/>
                  <w:sz w:val="20"/>
                  <w:u w:val="single"/>
                  <w:lang w:val="fr-CH" w:eastAsia="ko-KR"/>
                </w:rPr>
                <w:t>http://www.itu.int/ITU-T/workprog/wp_item.aspx?isn=8779</w:t>
              </w:r>
            </w:hyperlink>
            <w:r w:rsidRPr="007F3BA6">
              <w:rPr>
                <w:rFonts w:eastAsia="Malgun Gothic"/>
                <w:bCs/>
                <w:sz w:val="20"/>
                <w:lang w:val="fr-CH" w:eastAsia="ko-KR"/>
              </w:rPr>
              <w:t xml:space="preserve"> </w:t>
            </w:r>
          </w:p>
        </w:tc>
        <w:tc>
          <w:tcPr>
            <w:tcW w:w="1870" w:type="dxa"/>
            <w:shd w:val="clear" w:color="auto" w:fill="auto"/>
          </w:tcPr>
          <w:p w:rsidR="00600868" w:rsidRPr="007F3BA6" w:rsidRDefault="00600868" w:rsidP="00D71C71">
            <w:pPr>
              <w:rPr>
                <w:sz w:val="20"/>
                <w:lang w:val="en-US" w:eastAsia="ko-KR"/>
              </w:rPr>
            </w:pPr>
            <w:r w:rsidRPr="007F3BA6">
              <w:rPr>
                <w:sz w:val="20"/>
              </w:rPr>
              <w:t>Draft Recommendation</w:t>
            </w:r>
          </w:p>
        </w:tc>
        <w:tc>
          <w:tcPr>
            <w:tcW w:w="1245" w:type="dxa"/>
            <w:shd w:val="clear" w:color="auto" w:fill="auto"/>
          </w:tcPr>
          <w:p w:rsidR="00600868" w:rsidRPr="007F3BA6" w:rsidRDefault="00600868" w:rsidP="00D71C71">
            <w:pPr>
              <w:rPr>
                <w:sz w:val="20"/>
                <w:lang w:val="en-US"/>
              </w:rPr>
            </w:pPr>
            <w:r w:rsidRPr="007F3BA6">
              <w:rPr>
                <w:sz w:val="20"/>
                <w:lang w:val="it-IT"/>
              </w:rPr>
              <w:t>2012-10-08</w:t>
            </w:r>
          </w:p>
        </w:tc>
        <w:tc>
          <w:tcPr>
            <w:tcW w:w="1015" w:type="dxa"/>
            <w:shd w:val="clear" w:color="auto" w:fill="auto"/>
          </w:tcPr>
          <w:p w:rsidR="00600868" w:rsidRPr="007F3BA6" w:rsidRDefault="00982FA5" w:rsidP="00E370B8">
            <w:pPr>
              <w:rPr>
                <w:sz w:val="20"/>
                <w:lang w:eastAsia="ko-KR"/>
              </w:rPr>
            </w:pPr>
            <w:r w:rsidRPr="007F3BA6">
              <w:rPr>
                <w:sz w:val="20"/>
                <w:lang w:val="it-IT"/>
              </w:rPr>
              <w:t>Conse</w:t>
            </w:r>
            <w:r w:rsidR="00E370B8" w:rsidRPr="007F3BA6">
              <w:rPr>
                <w:sz w:val="20"/>
                <w:lang w:val="it-IT"/>
              </w:rPr>
              <w:t>n</w:t>
            </w:r>
            <w:r w:rsidRPr="007F3BA6">
              <w:rPr>
                <w:sz w:val="20"/>
                <w:lang w:val="it-IT"/>
              </w:rPr>
              <w:t xml:space="preserve">ted </w:t>
            </w:r>
            <w:r w:rsidR="00600868" w:rsidRPr="007F3BA6">
              <w:rPr>
                <w:sz w:val="20"/>
                <w:lang w:val="it-IT"/>
              </w:rPr>
              <w:t>2014</w:t>
            </w:r>
          </w:p>
        </w:tc>
      </w:tr>
      <w:tr w:rsidR="00600868" w:rsidRPr="00AC3131" w:rsidTr="00102E00">
        <w:trPr>
          <w:jc w:val="center"/>
        </w:trPr>
        <w:tc>
          <w:tcPr>
            <w:tcW w:w="1168" w:type="dxa"/>
          </w:tcPr>
          <w:p w:rsidR="00600868" w:rsidRPr="007F3BA6" w:rsidRDefault="00600868" w:rsidP="00D71C71">
            <w:pPr>
              <w:jc w:val="center"/>
              <w:rPr>
                <w:sz w:val="20"/>
                <w:lang w:eastAsia="ko-KR"/>
              </w:rPr>
            </w:pPr>
          </w:p>
        </w:tc>
        <w:tc>
          <w:tcPr>
            <w:tcW w:w="958" w:type="dxa"/>
            <w:shd w:val="clear" w:color="auto" w:fill="auto"/>
          </w:tcPr>
          <w:p w:rsidR="00600868" w:rsidRPr="007F3BA6" w:rsidRDefault="00600868" w:rsidP="00D71C71">
            <w:pPr>
              <w:rPr>
                <w:sz w:val="20"/>
                <w:lang w:val="en-US" w:eastAsia="ko-KR"/>
              </w:rPr>
            </w:pPr>
            <w:r w:rsidRPr="007F3BA6">
              <w:rPr>
                <w:sz w:val="20"/>
              </w:rPr>
              <w:t>ITU-T SG5 Q18</w:t>
            </w:r>
          </w:p>
        </w:tc>
        <w:tc>
          <w:tcPr>
            <w:tcW w:w="2186" w:type="dxa"/>
            <w:shd w:val="clear" w:color="auto" w:fill="auto"/>
          </w:tcPr>
          <w:p w:rsidR="00600868" w:rsidRPr="007F3BA6" w:rsidRDefault="00600868" w:rsidP="007F3BA6">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rPr>
                <w:sz w:val="20"/>
                <w:lang w:val="en-US" w:eastAsia="ko-KR"/>
              </w:rPr>
            </w:pPr>
            <w:r w:rsidRPr="007F3BA6">
              <w:rPr>
                <w:b/>
                <w:bCs/>
                <w:sz w:val="20"/>
              </w:rPr>
              <w:t>ITU-T L.1420</w:t>
            </w:r>
            <w:r w:rsidRPr="007F3BA6">
              <w:rPr>
                <w:rFonts w:eastAsia="Malgun Gothic"/>
                <w:bCs/>
                <w:sz w:val="20"/>
                <w:lang w:val="en-US" w:eastAsia="ko-KR"/>
              </w:rPr>
              <w:t xml:space="preserve">, </w:t>
            </w:r>
            <w:r w:rsidRPr="007F3BA6">
              <w:rPr>
                <w:bCs/>
                <w:sz w:val="20"/>
                <w:lang w:val="en-US"/>
              </w:rPr>
              <w:t>Methodology for energy consumption and</w:t>
            </w:r>
            <w:r w:rsidRPr="007F3BA6">
              <w:rPr>
                <w:rFonts w:eastAsia="Malgun Gothic"/>
                <w:bCs/>
                <w:sz w:val="20"/>
                <w:lang w:val="en-US" w:eastAsia="ko-KR"/>
              </w:rPr>
              <w:t xml:space="preserve"> </w:t>
            </w:r>
            <w:r w:rsidRPr="007F3BA6">
              <w:rPr>
                <w:bCs/>
                <w:sz w:val="20"/>
                <w:lang w:val="en-US"/>
              </w:rPr>
              <w:t>greenhouse gas emissions impact assessment</w:t>
            </w:r>
            <w:r w:rsidRPr="007F3BA6">
              <w:rPr>
                <w:rFonts w:eastAsia="Malgun Gothic"/>
                <w:bCs/>
                <w:sz w:val="20"/>
                <w:lang w:val="en-US" w:eastAsia="ko-KR"/>
              </w:rPr>
              <w:t xml:space="preserve"> </w:t>
            </w:r>
            <w:r w:rsidRPr="007F3BA6">
              <w:rPr>
                <w:bCs/>
                <w:sz w:val="20"/>
                <w:lang w:val="en-US"/>
              </w:rPr>
              <w:t>of information and communication technologies</w:t>
            </w:r>
            <w:r w:rsidRPr="007F3BA6">
              <w:rPr>
                <w:rFonts w:eastAsia="Malgun Gothic"/>
                <w:bCs/>
                <w:sz w:val="20"/>
                <w:lang w:val="en-US" w:eastAsia="ko-KR"/>
              </w:rPr>
              <w:t xml:space="preserve"> </w:t>
            </w:r>
            <w:r w:rsidRPr="007F3BA6">
              <w:rPr>
                <w:bCs/>
                <w:sz w:val="20"/>
                <w:lang w:val="en-US"/>
              </w:rPr>
              <w:t>in organizations</w:t>
            </w:r>
          </w:p>
        </w:tc>
        <w:tc>
          <w:tcPr>
            <w:tcW w:w="5952" w:type="dxa"/>
            <w:shd w:val="clear" w:color="auto" w:fill="auto"/>
          </w:tcPr>
          <w:p w:rsidR="00600868" w:rsidRPr="007F3BA6" w:rsidRDefault="00600868" w:rsidP="00D71C71">
            <w:pPr>
              <w:rPr>
                <w:rFonts w:eastAsia="Malgun Gothic"/>
                <w:sz w:val="20"/>
                <w:lang w:val="en-US" w:eastAsia="ko-KR"/>
              </w:rPr>
            </w:pPr>
            <w:r w:rsidRPr="007F3BA6">
              <w:rPr>
                <w:sz w:val="20"/>
                <w:lang w:val="en-US" w:eastAsia="ja-JP"/>
              </w:rPr>
              <w:t>This Recommendation can be used to assess energy consumption and GHG emissions generated over a defined period of time for the following purposes: for assessment of related impact from ICT organizations or for assessment of impact from ICT related activities within non-ICT organizations.</w:t>
            </w:r>
          </w:p>
          <w:p w:rsidR="00600868" w:rsidRPr="007F3BA6" w:rsidRDefault="00600868" w:rsidP="007F3BA6">
            <w:pPr>
              <w:keepNext/>
              <w:keepLines/>
              <w:spacing w:before="60"/>
              <w:rPr>
                <w:rFonts w:eastAsia="Malgun Gothic"/>
                <w:sz w:val="20"/>
                <w:lang w:val="fr-CH" w:eastAsia="ko-KR"/>
              </w:rPr>
            </w:pPr>
            <w:r w:rsidRPr="007F3BA6">
              <w:rPr>
                <w:rFonts w:eastAsia="Malgun Gothic"/>
                <w:sz w:val="20"/>
                <w:lang w:val="fr-CH" w:eastAsia="ko-KR"/>
              </w:rPr>
              <w:t xml:space="preserve">URI : </w:t>
            </w:r>
            <w:hyperlink r:id="rId22" w:history="1">
              <w:r w:rsidR="00AC3131" w:rsidRPr="00C63B9B">
                <w:rPr>
                  <w:rStyle w:val="Hyperlink"/>
                  <w:rFonts w:eastAsia="Malgun Gothic"/>
                  <w:sz w:val="20"/>
                  <w:lang w:val="fr-CH"/>
                </w:rPr>
                <w:t>http://www.itu.int/ITU-T/recommendations/rec.aspx?rec=11431</w:t>
              </w:r>
            </w:hyperlink>
            <w:r w:rsidR="00AC3131" w:rsidRPr="00BD52C8">
              <w:rPr>
                <w:rFonts w:eastAsia="Malgun Gothic"/>
                <w:sz w:val="20"/>
                <w:lang w:val="fr-CH" w:eastAsia="ko-KR"/>
              </w:rPr>
              <w:t xml:space="preserve"> </w:t>
            </w:r>
          </w:p>
        </w:tc>
        <w:tc>
          <w:tcPr>
            <w:tcW w:w="1870" w:type="dxa"/>
            <w:shd w:val="clear" w:color="auto" w:fill="auto"/>
          </w:tcPr>
          <w:p w:rsidR="00600868" w:rsidRPr="007F3BA6" w:rsidRDefault="00600868" w:rsidP="00D71C71">
            <w:pPr>
              <w:rPr>
                <w:sz w:val="20"/>
                <w:lang w:val="en-US" w:eastAsia="ko-KR"/>
              </w:rPr>
            </w:pPr>
            <w:r w:rsidRPr="007F3BA6">
              <w:rPr>
                <w:sz w:val="20"/>
              </w:rPr>
              <w:t>Recommendation</w:t>
            </w:r>
          </w:p>
        </w:tc>
        <w:tc>
          <w:tcPr>
            <w:tcW w:w="1245" w:type="dxa"/>
            <w:shd w:val="clear" w:color="auto" w:fill="auto"/>
          </w:tcPr>
          <w:p w:rsidR="00600868" w:rsidRPr="007F3BA6" w:rsidRDefault="00600868" w:rsidP="00D71C71">
            <w:pPr>
              <w:rPr>
                <w:sz w:val="20"/>
                <w:lang w:val="en-US"/>
              </w:rPr>
            </w:pPr>
            <w:r w:rsidRPr="007F3BA6">
              <w:rPr>
                <w:sz w:val="20"/>
                <w:lang w:val="en-US"/>
              </w:rPr>
              <w:t>2009</w:t>
            </w:r>
          </w:p>
        </w:tc>
        <w:tc>
          <w:tcPr>
            <w:tcW w:w="1015" w:type="dxa"/>
            <w:shd w:val="clear" w:color="auto" w:fill="auto"/>
          </w:tcPr>
          <w:p w:rsidR="00600868" w:rsidRPr="007F3BA6" w:rsidRDefault="00600868" w:rsidP="00D71C71">
            <w:pPr>
              <w:rPr>
                <w:sz w:val="20"/>
                <w:lang w:eastAsia="ko-KR"/>
              </w:rPr>
            </w:pPr>
            <w:r w:rsidRPr="007F3BA6">
              <w:rPr>
                <w:sz w:val="20"/>
                <w:lang w:val="en-US"/>
              </w:rPr>
              <w:t>2012</w:t>
            </w:r>
          </w:p>
        </w:tc>
      </w:tr>
      <w:tr w:rsidR="00600868" w:rsidRPr="00AC3131" w:rsidTr="00102E00">
        <w:trPr>
          <w:jc w:val="center"/>
        </w:trPr>
        <w:tc>
          <w:tcPr>
            <w:tcW w:w="1168" w:type="dxa"/>
          </w:tcPr>
          <w:p w:rsidR="00600868" w:rsidRPr="007F3BA6" w:rsidRDefault="00600868" w:rsidP="00D71C71">
            <w:pPr>
              <w:jc w:val="center"/>
              <w:rPr>
                <w:sz w:val="20"/>
                <w:lang w:eastAsia="ko-KR"/>
              </w:rPr>
            </w:pPr>
          </w:p>
        </w:tc>
        <w:tc>
          <w:tcPr>
            <w:tcW w:w="958" w:type="dxa"/>
            <w:shd w:val="clear" w:color="auto" w:fill="auto"/>
          </w:tcPr>
          <w:p w:rsidR="00600868" w:rsidRPr="007F3BA6" w:rsidRDefault="00600868" w:rsidP="00D71C71">
            <w:pPr>
              <w:rPr>
                <w:sz w:val="20"/>
                <w:lang w:val="en-US" w:eastAsia="ko-KR"/>
              </w:rPr>
            </w:pPr>
            <w:r w:rsidRPr="007F3BA6">
              <w:rPr>
                <w:sz w:val="20"/>
              </w:rPr>
              <w:t>ITU-T SG5 Q18</w:t>
            </w:r>
          </w:p>
        </w:tc>
        <w:tc>
          <w:tcPr>
            <w:tcW w:w="2186" w:type="dxa"/>
            <w:shd w:val="clear" w:color="auto" w:fill="auto"/>
          </w:tcPr>
          <w:p w:rsidR="00600868" w:rsidRPr="007F3BA6" w:rsidRDefault="00600868" w:rsidP="00D71C71">
            <w:pPr>
              <w:rPr>
                <w:rFonts w:eastAsia="Malgun Gothic"/>
                <w:sz w:val="20"/>
                <w:lang w:val="en-US" w:eastAsia="ko-KR"/>
              </w:rPr>
            </w:pPr>
            <w:r w:rsidRPr="007F3BA6">
              <w:rPr>
                <w:b/>
                <w:bCs/>
                <w:sz w:val="20"/>
              </w:rPr>
              <w:t>ITU-T L.</w:t>
            </w:r>
            <w:r w:rsidRPr="007F3BA6">
              <w:rPr>
                <w:rFonts w:eastAsia="Malgun Gothic"/>
                <w:b/>
                <w:bCs/>
                <w:sz w:val="20"/>
                <w:lang w:eastAsia="ko-KR"/>
              </w:rPr>
              <w:t>1430</w:t>
            </w:r>
            <w:r w:rsidRPr="007F3BA6">
              <w:rPr>
                <w:rFonts w:eastAsia="Malgun Gothic"/>
                <w:bCs/>
                <w:sz w:val="20"/>
                <w:lang w:eastAsia="ko-KR"/>
              </w:rPr>
              <w:t>, Methodology for environmental impact assessment of information and communication technology greenhouse gas and energy projects</w:t>
            </w:r>
          </w:p>
        </w:tc>
        <w:tc>
          <w:tcPr>
            <w:tcW w:w="5952" w:type="dxa"/>
            <w:shd w:val="clear" w:color="auto" w:fill="auto"/>
          </w:tcPr>
          <w:p w:rsidR="00600868" w:rsidRPr="007F3BA6" w:rsidRDefault="00600868" w:rsidP="00D71C71">
            <w:pPr>
              <w:rPr>
                <w:rFonts w:eastAsia="Malgun Gothic"/>
                <w:sz w:val="20"/>
                <w:lang w:eastAsia="ko-KR"/>
              </w:rPr>
            </w:pPr>
            <w:r w:rsidRPr="007F3BA6">
              <w:rPr>
                <w:sz w:val="20"/>
                <w:lang w:eastAsia="zh-CN"/>
              </w:rPr>
              <w:t>Specific guidance for Information and Communication Technology (ICT) greenhouse gas (GHG) and energy projects for quantifying and reporting their GHG emission reductions and/or removal enhancements as well as their energy consumption reductions and enhancement of energy generation and energy storage</w:t>
            </w:r>
          </w:p>
          <w:p w:rsidR="00600868" w:rsidRPr="007F3BA6" w:rsidRDefault="00600868" w:rsidP="007F3BA6">
            <w:pPr>
              <w:keepNext/>
              <w:keepLines/>
              <w:spacing w:before="60"/>
              <w:rPr>
                <w:rFonts w:eastAsia="Malgun Gothic"/>
                <w:sz w:val="20"/>
                <w:lang w:val="fr-CH" w:eastAsia="ko-KR"/>
              </w:rPr>
            </w:pPr>
            <w:r w:rsidRPr="007F3BA6">
              <w:rPr>
                <w:rFonts w:eastAsia="Malgun Gothic"/>
                <w:sz w:val="20"/>
                <w:lang w:val="fr-CH" w:eastAsia="ko-KR"/>
              </w:rPr>
              <w:t xml:space="preserve">URI : </w:t>
            </w:r>
            <w:hyperlink r:id="rId23" w:history="1">
              <w:r w:rsidR="00AC3131" w:rsidRPr="00C63B9B">
                <w:rPr>
                  <w:rStyle w:val="Hyperlink"/>
                  <w:rFonts w:eastAsia="Malgun Gothic"/>
                  <w:sz w:val="20"/>
                  <w:lang w:val="fr-CH"/>
                </w:rPr>
                <w:t>http://www.itu.int/ITU-T/recommendations/rec.aspx?rec=11904</w:t>
              </w:r>
            </w:hyperlink>
            <w:r w:rsidR="00AC3131" w:rsidRPr="00BD52C8">
              <w:rPr>
                <w:rFonts w:eastAsia="Malgun Gothic"/>
                <w:sz w:val="20"/>
                <w:lang w:val="fr-CH" w:eastAsia="ko-KR"/>
              </w:rPr>
              <w:t xml:space="preserve"> </w:t>
            </w:r>
          </w:p>
        </w:tc>
        <w:tc>
          <w:tcPr>
            <w:tcW w:w="1870" w:type="dxa"/>
            <w:shd w:val="clear" w:color="auto" w:fill="auto"/>
          </w:tcPr>
          <w:p w:rsidR="00600868" w:rsidRPr="007F3BA6" w:rsidRDefault="00600868" w:rsidP="00D71C71">
            <w:pPr>
              <w:rPr>
                <w:rFonts w:eastAsia="Malgun Gothic"/>
                <w:sz w:val="20"/>
                <w:lang w:val="en-US" w:eastAsia="ko-KR"/>
              </w:rPr>
            </w:pPr>
            <w:r w:rsidRPr="007F3BA6">
              <w:rPr>
                <w:sz w:val="20"/>
              </w:rPr>
              <w:t>Recommendation</w:t>
            </w:r>
            <w:r w:rsidRPr="007F3BA6">
              <w:rPr>
                <w:rFonts w:eastAsia="Malgun Gothic"/>
                <w:sz w:val="20"/>
                <w:lang w:eastAsia="ko-KR"/>
              </w:rPr>
              <w:t xml:space="preserve"> </w:t>
            </w:r>
          </w:p>
        </w:tc>
        <w:tc>
          <w:tcPr>
            <w:tcW w:w="1245" w:type="dxa"/>
            <w:shd w:val="clear" w:color="auto" w:fill="auto"/>
          </w:tcPr>
          <w:p w:rsidR="00600868" w:rsidRPr="007F3BA6" w:rsidRDefault="00600868" w:rsidP="00D71C71">
            <w:pPr>
              <w:rPr>
                <w:sz w:val="20"/>
                <w:lang w:val="en-US"/>
              </w:rPr>
            </w:pPr>
          </w:p>
        </w:tc>
        <w:tc>
          <w:tcPr>
            <w:tcW w:w="1015" w:type="dxa"/>
            <w:shd w:val="clear" w:color="auto" w:fill="auto"/>
          </w:tcPr>
          <w:p w:rsidR="00600868" w:rsidRPr="007F3BA6" w:rsidRDefault="00600868" w:rsidP="00D71C71">
            <w:pPr>
              <w:rPr>
                <w:sz w:val="20"/>
                <w:lang w:eastAsia="ko-KR"/>
              </w:rPr>
            </w:pPr>
          </w:p>
        </w:tc>
      </w:tr>
      <w:tr w:rsidR="00481D89" w:rsidRPr="00AC3131" w:rsidTr="00102E00">
        <w:trPr>
          <w:jc w:val="center"/>
        </w:trPr>
        <w:tc>
          <w:tcPr>
            <w:tcW w:w="1168" w:type="dxa"/>
          </w:tcPr>
          <w:p w:rsidR="00600868" w:rsidRPr="007F3BA6" w:rsidRDefault="00600868" w:rsidP="007F3BA6">
            <w:pPr>
              <w:keepNext/>
              <w:keepLines/>
              <w:jc w:val="center"/>
              <w:rPr>
                <w:sz w:val="20"/>
                <w:lang w:eastAsia="ko-KR"/>
              </w:rPr>
            </w:pPr>
          </w:p>
        </w:tc>
        <w:tc>
          <w:tcPr>
            <w:tcW w:w="958" w:type="dxa"/>
            <w:shd w:val="clear" w:color="auto" w:fill="auto"/>
          </w:tcPr>
          <w:p w:rsidR="00600868" w:rsidRPr="007F3BA6" w:rsidRDefault="00600868" w:rsidP="007F3BA6">
            <w:pPr>
              <w:keepNext/>
              <w:keepLines/>
              <w:rPr>
                <w:sz w:val="20"/>
                <w:lang w:val="en-US" w:eastAsia="ko-KR"/>
              </w:rPr>
            </w:pPr>
            <w:r w:rsidRPr="007F3BA6">
              <w:rPr>
                <w:sz w:val="20"/>
              </w:rPr>
              <w:t>ITU-T SG5 Q17</w:t>
            </w:r>
          </w:p>
        </w:tc>
        <w:tc>
          <w:tcPr>
            <w:tcW w:w="2186" w:type="dxa"/>
            <w:shd w:val="clear" w:color="auto" w:fill="auto"/>
          </w:tcPr>
          <w:p w:rsidR="00600868" w:rsidRPr="007F3BA6" w:rsidRDefault="00600868" w:rsidP="007F3BA6">
            <w:pPr>
              <w:keepNext/>
              <w:keepLines/>
              <w:rPr>
                <w:b/>
                <w:sz w:val="20"/>
                <w:lang w:val="en-US" w:eastAsia="ko-KR"/>
              </w:rPr>
            </w:pPr>
            <w:r w:rsidRPr="007F3BA6">
              <w:rPr>
                <w:b/>
                <w:bCs/>
                <w:sz w:val="20"/>
              </w:rPr>
              <w:t xml:space="preserve">ITU-T </w:t>
            </w:r>
            <w:r w:rsidRPr="007F3BA6">
              <w:rPr>
                <w:rFonts w:eastAsia="Batang"/>
                <w:b/>
                <w:bCs/>
                <w:sz w:val="20"/>
                <w:lang w:eastAsia="ko-KR"/>
              </w:rPr>
              <w:t xml:space="preserve">L.assDC, </w:t>
            </w:r>
            <w:r w:rsidRPr="007F3BA6">
              <w:rPr>
                <w:sz w:val="20"/>
                <w:lang w:eastAsia="ko-KR"/>
              </w:rPr>
              <w:t>Assessment of DC and TLC room Infrastructure</w:t>
            </w:r>
          </w:p>
        </w:tc>
        <w:tc>
          <w:tcPr>
            <w:tcW w:w="5952" w:type="dxa"/>
            <w:shd w:val="clear" w:color="auto" w:fill="auto"/>
          </w:tcPr>
          <w:p w:rsidR="00600868" w:rsidRPr="007F3BA6" w:rsidRDefault="00600868" w:rsidP="007F3BA6">
            <w:pPr>
              <w:keepNext/>
              <w:keepLines/>
              <w:rPr>
                <w:rFonts w:eastAsia="Malgun Gothic"/>
                <w:sz w:val="20"/>
                <w:lang w:val="en-US" w:eastAsia="ko-KR"/>
              </w:rPr>
            </w:pPr>
            <w:r w:rsidRPr="007F3BA6">
              <w:rPr>
                <w:sz w:val="20"/>
                <w:lang w:val="en-US" w:eastAsia="zh-CN"/>
              </w:rPr>
              <w:t>Assessment methodology of data center and telecommunication room infrastructure energy efficiency considering environmental conditions and running conditions.</w:t>
            </w:r>
          </w:p>
          <w:p w:rsidR="00600868" w:rsidRPr="007F3BA6" w:rsidRDefault="00600868" w:rsidP="007F3BA6">
            <w:pPr>
              <w:keepNext/>
              <w:keepLines/>
              <w:spacing w:before="60"/>
              <w:rPr>
                <w:rFonts w:eastAsia="Malgun Gothic"/>
                <w:sz w:val="20"/>
                <w:lang w:val="fr-CH" w:eastAsia="ko-KR"/>
              </w:rPr>
            </w:pPr>
            <w:r w:rsidRPr="007F3BA6">
              <w:rPr>
                <w:rFonts w:eastAsia="Malgun Gothic"/>
                <w:sz w:val="20"/>
                <w:lang w:val="fr-CH" w:eastAsia="ko-KR"/>
              </w:rPr>
              <w:t xml:space="preserve">URI : </w:t>
            </w:r>
            <w:hyperlink r:id="rId24" w:history="1">
              <w:r w:rsidRPr="007F3BA6">
                <w:rPr>
                  <w:rFonts w:eastAsia="Malgun Gothic"/>
                  <w:color w:val="0000FF"/>
                  <w:sz w:val="20"/>
                  <w:u w:val="single"/>
                  <w:lang w:val="fr-CH" w:eastAsia="ko-KR"/>
                </w:rPr>
                <w:t>http://www.itu.int/ITU-T/workprog/wp_item.aspx?isn=9653</w:t>
              </w:r>
            </w:hyperlink>
            <w:r w:rsidRPr="007F3BA6">
              <w:rPr>
                <w:rFonts w:eastAsia="Malgun Gothic"/>
                <w:sz w:val="20"/>
                <w:lang w:val="fr-CH" w:eastAsia="ko-KR"/>
              </w:rPr>
              <w:t xml:space="preserve"> </w:t>
            </w:r>
          </w:p>
        </w:tc>
        <w:tc>
          <w:tcPr>
            <w:tcW w:w="1870" w:type="dxa"/>
            <w:shd w:val="clear" w:color="auto" w:fill="auto"/>
          </w:tcPr>
          <w:p w:rsidR="00600868" w:rsidRPr="007F3BA6" w:rsidRDefault="00600868" w:rsidP="007F3BA6">
            <w:pPr>
              <w:keepNext/>
              <w:keepLines/>
              <w:rPr>
                <w:sz w:val="20"/>
                <w:lang w:val="en-US" w:eastAsia="ko-KR"/>
              </w:rPr>
            </w:pPr>
            <w:r w:rsidRPr="007F3BA6">
              <w:rPr>
                <w:sz w:val="20"/>
              </w:rPr>
              <w:t>Draft Recommendation</w:t>
            </w:r>
          </w:p>
        </w:tc>
        <w:tc>
          <w:tcPr>
            <w:tcW w:w="1245" w:type="dxa"/>
            <w:shd w:val="clear" w:color="auto" w:fill="auto"/>
          </w:tcPr>
          <w:p w:rsidR="00600868" w:rsidRPr="007F3BA6" w:rsidRDefault="00600868" w:rsidP="007F3BA6">
            <w:pPr>
              <w:keepNext/>
              <w:keepLines/>
              <w:rPr>
                <w:sz w:val="20"/>
                <w:lang w:eastAsia="ko-KR"/>
              </w:rPr>
            </w:pPr>
            <w:r w:rsidRPr="007F3BA6">
              <w:rPr>
                <w:sz w:val="20"/>
                <w:lang w:eastAsia="ko-KR"/>
              </w:rPr>
              <w:t>2013-01-29</w:t>
            </w:r>
          </w:p>
          <w:p w:rsidR="00600868" w:rsidRPr="007F3BA6" w:rsidRDefault="00600868" w:rsidP="007F3BA6">
            <w:pPr>
              <w:keepNext/>
              <w:keepLines/>
              <w:rPr>
                <w:sz w:val="20"/>
                <w:lang w:val="en-US"/>
              </w:rPr>
            </w:pPr>
          </w:p>
        </w:tc>
        <w:tc>
          <w:tcPr>
            <w:tcW w:w="1015" w:type="dxa"/>
            <w:shd w:val="clear" w:color="auto" w:fill="auto"/>
          </w:tcPr>
          <w:p w:rsidR="00600868" w:rsidRPr="007F3BA6" w:rsidRDefault="00600868" w:rsidP="007F3BA6">
            <w:pPr>
              <w:keepNext/>
              <w:keepLines/>
              <w:rPr>
                <w:sz w:val="20"/>
                <w:lang w:eastAsia="ko-KR"/>
              </w:rPr>
            </w:pPr>
            <w:r w:rsidRPr="007F3BA6">
              <w:rPr>
                <w:rFonts w:eastAsia="Malgun Gothic"/>
                <w:sz w:val="20"/>
                <w:lang w:eastAsia="ko-KR"/>
              </w:rPr>
              <w:t>2015 for consent</w:t>
            </w:r>
          </w:p>
        </w:tc>
      </w:tr>
      <w:tr w:rsidR="00600868" w:rsidRPr="00AC3131" w:rsidTr="00102E00">
        <w:trPr>
          <w:jc w:val="center"/>
        </w:trPr>
        <w:tc>
          <w:tcPr>
            <w:tcW w:w="1168" w:type="dxa"/>
          </w:tcPr>
          <w:p w:rsidR="00600868" w:rsidRPr="007F3BA6" w:rsidRDefault="00600868" w:rsidP="00D71C71">
            <w:pPr>
              <w:jc w:val="center"/>
              <w:rPr>
                <w:sz w:val="20"/>
                <w:lang w:eastAsia="ko-KR"/>
              </w:rPr>
            </w:pPr>
          </w:p>
        </w:tc>
        <w:tc>
          <w:tcPr>
            <w:tcW w:w="958" w:type="dxa"/>
            <w:shd w:val="clear" w:color="auto" w:fill="auto"/>
          </w:tcPr>
          <w:p w:rsidR="00600868" w:rsidRPr="007F3BA6" w:rsidRDefault="00600868" w:rsidP="00D71C71">
            <w:pPr>
              <w:rPr>
                <w:sz w:val="20"/>
              </w:rPr>
            </w:pPr>
            <w:r w:rsidRPr="007F3BA6">
              <w:rPr>
                <w:rFonts w:eastAsia="Malgun Gothic"/>
                <w:sz w:val="20"/>
                <w:lang w:eastAsia="ko-KR"/>
              </w:rPr>
              <w:t>ITU-T SG5 Q17</w:t>
            </w:r>
          </w:p>
        </w:tc>
        <w:tc>
          <w:tcPr>
            <w:tcW w:w="2186" w:type="dxa"/>
            <w:shd w:val="clear" w:color="auto" w:fill="auto"/>
          </w:tcPr>
          <w:p w:rsidR="00600868" w:rsidRPr="007F3BA6" w:rsidRDefault="003F7479" w:rsidP="00D71C71">
            <w:pPr>
              <w:rPr>
                <w:b/>
                <w:bCs/>
                <w:sz w:val="20"/>
              </w:rPr>
            </w:pPr>
            <w:r>
              <w:rPr>
                <w:b/>
                <w:sz w:val="20"/>
              </w:rPr>
              <w:t xml:space="preserve">ITU-T </w:t>
            </w:r>
            <w:r w:rsidR="00600868" w:rsidRPr="007F3BA6">
              <w:rPr>
                <w:b/>
                <w:sz w:val="20"/>
              </w:rPr>
              <w:t>L.1320</w:t>
            </w:r>
            <w:r>
              <w:rPr>
                <w:b/>
                <w:sz w:val="20"/>
              </w:rPr>
              <w:t xml:space="preserve">, </w:t>
            </w:r>
            <w:r w:rsidR="00600868" w:rsidRPr="007F3BA6">
              <w:rPr>
                <w:sz w:val="20"/>
              </w:rPr>
              <w:t>Energy efficiency metrics and measurement for power and cooling equipment</w:t>
            </w:r>
            <w:r w:rsidR="00600868" w:rsidRPr="007F3BA6">
              <w:rPr>
                <w:sz w:val="20"/>
                <w:lang w:eastAsia="zh-CN"/>
              </w:rPr>
              <w:t xml:space="preserve"> for telecommunications and data centres</w:t>
            </w:r>
          </w:p>
        </w:tc>
        <w:tc>
          <w:tcPr>
            <w:tcW w:w="5952" w:type="dxa"/>
            <w:shd w:val="clear" w:color="auto" w:fill="auto"/>
          </w:tcPr>
          <w:p w:rsidR="00600868" w:rsidRPr="007F3BA6" w:rsidRDefault="00600868" w:rsidP="00D71C71">
            <w:pPr>
              <w:rPr>
                <w:rFonts w:eastAsia="Malgun Gothic"/>
                <w:sz w:val="20"/>
                <w:lang w:eastAsia="ko-KR"/>
              </w:rPr>
            </w:pPr>
            <w:r w:rsidRPr="007F3BA6">
              <w:rPr>
                <w:sz w:val="20"/>
                <w:lang w:eastAsia="ko-KR"/>
              </w:rPr>
              <w:t>This Recommendation specifies principles and concepts of energy efficiency me</w:t>
            </w:r>
            <w:r w:rsidRPr="007F3BA6">
              <w:rPr>
                <w:sz w:val="20"/>
                <w:lang w:eastAsia="zh-CN"/>
              </w:rPr>
              <w:t>trics</w:t>
            </w:r>
            <w:r w:rsidRPr="007F3BA6">
              <w:rPr>
                <w:sz w:val="20"/>
                <w:lang w:eastAsia="ko-KR"/>
              </w:rPr>
              <w:t xml:space="preserve"> and measurement methods for</w:t>
            </w:r>
            <w:r w:rsidRPr="007F3BA6">
              <w:rPr>
                <w:sz w:val="20"/>
                <w:lang w:eastAsia="zh-CN"/>
              </w:rPr>
              <w:t xml:space="preserve"> power feeding equipment and cooling equipment in telecommunications rooms and data centres. The methodologies defined in this Recommendation are applied at </w:t>
            </w:r>
            <w:r w:rsidRPr="007F3BA6">
              <w:rPr>
                <w:bCs/>
                <w:sz w:val="20"/>
                <w:lang w:eastAsia="zh-CN"/>
              </w:rPr>
              <w:t>single equipment level</w:t>
            </w:r>
            <w:r w:rsidRPr="007F3BA6">
              <w:rPr>
                <w:sz w:val="20"/>
                <w:lang w:eastAsia="zh-CN"/>
              </w:rPr>
              <w:t>. The efficiency of power conversion and cooling in the data centre or telecommunication facility is only partially attributed to the equipment.  The architecture and organization of the space and equipment to deliver the power or cooling to the systems is as equal, if not a more significant factor to energy efficiency.  Another general factor will be the interoperability, management, and response of these systems across the demand and operational range.</w:t>
            </w:r>
          </w:p>
          <w:p w:rsidR="00600868" w:rsidRPr="007F3BA6" w:rsidRDefault="00600868" w:rsidP="007F3BA6">
            <w:pPr>
              <w:spacing w:before="60"/>
              <w:rPr>
                <w:rFonts w:eastAsia="Malgun Gothic"/>
                <w:sz w:val="20"/>
                <w:lang w:val="fr-CH" w:eastAsia="ko-KR"/>
              </w:rPr>
            </w:pPr>
            <w:r w:rsidRPr="007F3BA6">
              <w:rPr>
                <w:rFonts w:eastAsia="Malgun Gothic"/>
                <w:sz w:val="20"/>
                <w:lang w:val="fr-CH" w:eastAsia="ko-KR"/>
              </w:rPr>
              <w:t xml:space="preserve">URI : </w:t>
            </w:r>
            <w:hyperlink r:id="rId25" w:history="1">
              <w:r w:rsidR="003F7479" w:rsidRPr="007F3BA6">
                <w:rPr>
                  <w:rStyle w:val="Hyperlink"/>
                  <w:rFonts w:eastAsia="Malgun Gothic"/>
                  <w:sz w:val="20"/>
                  <w:lang w:val="fr-CH"/>
                </w:rPr>
                <w:t>http://www.itu.int/ITU-T/recommendations/rec.aspx?rec=12136</w:t>
              </w:r>
            </w:hyperlink>
            <w:r w:rsidR="003F7479">
              <w:rPr>
                <w:rFonts w:eastAsia="Malgun Gothic"/>
                <w:sz w:val="20"/>
                <w:lang w:val="it-IT" w:eastAsia="ko-KR"/>
              </w:rPr>
              <w:t xml:space="preserve"> </w:t>
            </w:r>
            <w:r w:rsidRPr="007F3BA6">
              <w:rPr>
                <w:rFonts w:eastAsia="Malgun Gothic"/>
                <w:sz w:val="20"/>
                <w:lang w:val="fr-CH" w:eastAsia="ko-KR"/>
              </w:rPr>
              <w:t xml:space="preserve"> </w:t>
            </w:r>
          </w:p>
        </w:tc>
        <w:tc>
          <w:tcPr>
            <w:tcW w:w="1870" w:type="dxa"/>
            <w:shd w:val="clear" w:color="auto" w:fill="auto"/>
          </w:tcPr>
          <w:p w:rsidR="00600868" w:rsidRPr="007F3BA6" w:rsidRDefault="00E370B8" w:rsidP="00D71C71">
            <w:pPr>
              <w:rPr>
                <w:sz w:val="20"/>
              </w:rPr>
            </w:pPr>
            <w:r w:rsidRPr="007F3BA6">
              <w:rPr>
                <w:rFonts w:eastAsia="Malgun Gothic"/>
                <w:sz w:val="20"/>
                <w:lang w:eastAsia="ko-KR"/>
              </w:rPr>
              <w:t>Recom</w:t>
            </w:r>
            <w:r w:rsidR="00481D89">
              <w:rPr>
                <w:rFonts w:eastAsia="Malgun Gothic"/>
                <w:sz w:val="20"/>
                <w:lang w:eastAsia="ko-KR"/>
              </w:rPr>
              <w:t>m</w:t>
            </w:r>
            <w:r w:rsidRPr="007F3BA6">
              <w:rPr>
                <w:rFonts w:eastAsia="Malgun Gothic"/>
                <w:sz w:val="20"/>
                <w:lang w:eastAsia="ko-KR"/>
              </w:rPr>
              <w:t>endation</w:t>
            </w:r>
          </w:p>
        </w:tc>
        <w:tc>
          <w:tcPr>
            <w:tcW w:w="1245" w:type="dxa"/>
            <w:shd w:val="clear" w:color="auto" w:fill="auto"/>
          </w:tcPr>
          <w:p w:rsidR="00600868" w:rsidRPr="007F3BA6" w:rsidRDefault="00600868" w:rsidP="00D71C71">
            <w:pPr>
              <w:rPr>
                <w:sz w:val="20"/>
                <w:lang w:eastAsia="ko-KR"/>
              </w:rPr>
            </w:pPr>
          </w:p>
        </w:tc>
        <w:tc>
          <w:tcPr>
            <w:tcW w:w="1015" w:type="dxa"/>
            <w:shd w:val="clear" w:color="auto" w:fill="auto"/>
          </w:tcPr>
          <w:p w:rsidR="00600868" w:rsidRPr="007F3BA6" w:rsidRDefault="00600868" w:rsidP="00D71C71">
            <w:pPr>
              <w:rPr>
                <w:rFonts w:eastAsia="Malgun Gothic"/>
                <w:sz w:val="20"/>
                <w:lang w:eastAsia="ko-KR"/>
              </w:rPr>
            </w:pPr>
          </w:p>
        </w:tc>
      </w:tr>
      <w:tr w:rsidR="00600868" w:rsidRPr="00AC3131" w:rsidTr="00102E00">
        <w:trPr>
          <w:jc w:val="center"/>
        </w:trPr>
        <w:tc>
          <w:tcPr>
            <w:tcW w:w="1168" w:type="dxa"/>
          </w:tcPr>
          <w:p w:rsidR="00600868" w:rsidRPr="007F3BA6" w:rsidRDefault="00600868" w:rsidP="00D71C71">
            <w:pPr>
              <w:jc w:val="center"/>
              <w:rPr>
                <w:sz w:val="20"/>
                <w:lang w:eastAsia="ko-KR"/>
              </w:rPr>
            </w:pPr>
          </w:p>
        </w:tc>
        <w:tc>
          <w:tcPr>
            <w:tcW w:w="958" w:type="dxa"/>
            <w:shd w:val="clear" w:color="auto" w:fill="auto"/>
          </w:tcPr>
          <w:p w:rsidR="00600868" w:rsidRPr="007F3BA6" w:rsidRDefault="00600868" w:rsidP="00D71C71">
            <w:pPr>
              <w:rPr>
                <w:rFonts w:eastAsia="Malgun Gothic"/>
                <w:sz w:val="20"/>
                <w:lang w:eastAsia="ko-KR"/>
              </w:rPr>
            </w:pPr>
            <w:r w:rsidRPr="007F3BA6">
              <w:rPr>
                <w:sz w:val="20"/>
                <w:lang w:eastAsia="ko-KR"/>
              </w:rPr>
              <w:t>ITU-T SG</w:t>
            </w:r>
            <w:r w:rsidRPr="007F3BA6">
              <w:rPr>
                <w:sz w:val="20"/>
                <w:lang w:eastAsia="ja-JP"/>
              </w:rPr>
              <w:t>5</w:t>
            </w:r>
            <w:r w:rsidRPr="007F3BA6">
              <w:rPr>
                <w:sz w:val="20"/>
                <w:lang w:eastAsia="ko-KR"/>
              </w:rPr>
              <w:t xml:space="preserve"> </w:t>
            </w:r>
            <w:r w:rsidRPr="007F3BA6">
              <w:rPr>
                <w:rFonts w:eastAsia="Malgun Gothic"/>
                <w:sz w:val="20"/>
                <w:lang w:eastAsia="ko-KR"/>
              </w:rPr>
              <w:t>Q1</w:t>
            </w:r>
            <w:r w:rsidRPr="007F3BA6">
              <w:rPr>
                <w:sz w:val="20"/>
                <w:lang w:eastAsia="ja-JP"/>
              </w:rPr>
              <w:t>9</w:t>
            </w:r>
          </w:p>
        </w:tc>
        <w:tc>
          <w:tcPr>
            <w:tcW w:w="2186" w:type="dxa"/>
            <w:shd w:val="clear" w:color="auto" w:fill="auto"/>
          </w:tcPr>
          <w:p w:rsidR="00600868" w:rsidRPr="007F3BA6" w:rsidRDefault="00600868" w:rsidP="00D71C71">
            <w:pPr>
              <w:rPr>
                <w:b/>
                <w:sz w:val="20"/>
              </w:rPr>
            </w:pPr>
            <w:r w:rsidRPr="007F3BA6">
              <w:rPr>
                <w:b/>
                <w:sz w:val="20"/>
              </w:rPr>
              <w:t>ITU-T L.renewable</w:t>
            </w:r>
          </w:p>
        </w:tc>
        <w:tc>
          <w:tcPr>
            <w:tcW w:w="5952" w:type="dxa"/>
            <w:shd w:val="clear" w:color="auto" w:fill="auto"/>
          </w:tcPr>
          <w:p w:rsidR="00600868" w:rsidRPr="007F3BA6" w:rsidRDefault="00600868" w:rsidP="00D71C71">
            <w:pPr>
              <w:rPr>
                <w:rFonts w:eastAsia="Malgun Gothic"/>
                <w:sz w:val="20"/>
                <w:lang w:eastAsia="ko-KR"/>
              </w:rPr>
            </w:pPr>
            <w:r w:rsidRPr="007F3BA6">
              <w:rPr>
                <w:sz w:val="20"/>
                <w:lang w:eastAsia="ja-JP"/>
              </w:rPr>
              <w:t>Defining interface and architecture for injecting renewable energy and distributed power sources into an up to 400 V power system as defined in L.architecture</w:t>
            </w:r>
            <w:r w:rsidR="00936CC1">
              <w:rPr>
                <w:sz w:val="20"/>
                <w:lang w:eastAsia="ja-JP"/>
              </w:rPr>
              <w:t>.</w:t>
            </w:r>
          </w:p>
          <w:p w:rsidR="00600868" w:rsidRPr="007F3BA6" w:rsidRDefault="00600868" w:rsidP="007F3BA6">
            <w:pPr>
              <w:spacing w:before="60"/>
              <w:rPr>
                <w:rFonts w:eastAsia="Malgun Gothic"/>
                <w:sz w:val="20"/>
                <w:lang w:val="fr-CH" w:eastAsia="ko-KR"/>
              </w:rPr>
            </w:pPr>
            <w:r w:rsidRPr="007F3BA6">
              <w:rPr>
                <w:rFonts w:eastAsia="Malgun Gothic"/>
                <w:sz w:val="20"/>
                <w:lang w:val="fr-CH" w:eastAsia="ko-KR"/>
              </w:rPr>
              <w:t xml:space="preserve">URI : </w:t>
            </w:r>
            <w:hyperlink r:id="rId26" w:history="1">
              <w:r w:rsidRPr="007F3BA6">
                <w:rPr>
                  <w:rFonts w:eastAsia="Malgun Gothic"/>
                  <w:color w:val="0000FF"/>
                  <w:sz w:val="20"/>
                  <w:u w:val="single"/>
                  <w:lang w:val="fr-CH" w:eastAsia="ko-KR"/>
                </w:rPr>
                <w:t>http://www.itu.int/ITU-T/workprog/wp_item.aspx?isn=10018</w:t>
              </w:r>
            </w:hyperlink>
            <w:r w:rsidRPr="007F3BA6">
              <w:rPr>
                <w:rFonts w:eastAsia="Malgun Gothic"/>
                <w:sz w:val="20"/>
                <w:lang w:val="fr-CH" w:eastAsia="ko-KR"/>
              </w:rPr>
              <w:t xml:space="preserve"> </w:t>
            </w:r>
          </w:p>
        </w:tc>
        <w:tc>
          <w:tcPr>
            <w:tcW w:w="1870" w:type="dxa"/>
            <w:shd w:val="clear" w:color="auto" w:fill="auto"/>
          </w:tcPr>
          <w:p w:rsidR="00600868" w:rsidRPr="007F3BA6" w:rsidRDefault="00600868" w:rsidP="00D71C71">
            <w:pPr>
              <w:rPr>
                <w:rFonts w:eastAsia="Malgun Gothic"/>
                <w:sz w:val="20"/>
                <w:lang w:eastAsia="ko-KR"/>
              </w:rPr>
            </w:pPr>
            <w:r w:rsidRPr="007F3BA6">
              <w:rPr>
                <w:sz w:val="20"/>
                <w:lang w:eastAsia="ja-JP"/>
              </w:rPr>
              <w:t>Agreed to initiate the work</w:t>
            </w:r>
          </w:p>
        </w:tc>
        <w:tc>
          <w:tcPr>
            <w:tcW w:w="1245" w:type="dxa"/>
            <w:shd w:val="clear" w:color="auto" w:fill="auto"/>
          </w:tcPr>
          <w:p w:rsidR="00600868" w:rsidRPr="007F3BA6" w:rsidRDefault="00600868" w:rsidP="00D71C71">
            <w:pPr>
              <w:rPr>
                <w:rFonts w:eastAsia="Malgun Gothic"/>
                <w:sz w:val="20"/>
                <w:lang w:eastAsia="ko-KR"/>
              </w:rPr>
            </w:pPr>
            <w:r w:rsidRPr="007F3BA6">
              <w:rPr>
                <w:sz w:val="20"/>
                <w:lang w:eastAsia="ja-JP"/>
              </w:rPr>
              <w:t>Dec. 201</w:t>
            </w:r>
            <w:r w:rsidR="00936CC1">
              <w:rPr>
                <w:sz w:val="20"/>
                <w:lang w:eastAsia="ja-JP"/>
              </w:rPr>
              <w:t>4</w:t>
            </w:r>
          </w:p>
        </w:tc>
        <w:tc>
          <w:tcPr>
            <w:tcW w:w="1015" w:type="dxa"/>
            <w:shd w:val="clear" w:color="auto" w:fill="auto"/>
          </w:tcPr>
          <w:p w:rsidR="00600868" w:rsidRPr="007F3BA6" w:rsidRDefault="00E370B8" w:rsidP="00E370B8">
            <w:pPr>
              <w:rPr>
                <w:rFonts w:eastAsia="Malgun Gothic"/>
                <w:sz w:val="20"/>
                <w:lang w:eastAsia="ko-KR"/>
              </w:rPr>
            </w:pPr>
            <w:r w:rsidRPr="007F3BA6">
              <w:rPr>
                <w:rFonts w:eastAsia="Malgun Gothic"/>
                <w:sz w:val="20"/>
                <w:lang w:eastAsia="ko-KR"/>
              </w:rPr>
              <w:t>2015</w:t>
            </w:r>
          </w:p>
        </w:tc>
      </w:tr>
      <w:tr w:rsidR="00982FA5" w:rsidRPr="00AC3131" w:rsidTr="002A23B6">
        <w:trPr>
          <w:jc w:val="center"/>
        </w:trPr>
        <w:tc>
          <w:tcPr>
            <w:tcW w:w="1168" w:type="dxa"/>
          </w:tcPr>
          <w:p w:rsidR="00982FA5" w:rsidRPr="007F3BA6" w:rsidRDefault="00982FA5" w:rsidP="00D71C71">
            <w:pPr>
              <w:jc w:val="center"/>
              <w:rPr>
                <w:sz w:val="20"/>
                <w:lang w:eastAsia="ko-KR"/>
              </w:rPr>
            </w:pPr>
          </w:p>
        </w:tc>
        <w:tc>
          <w:tcPr>
            <w:tcW w:w="958" w:type="dxa"/>
            <w:shd w:val="clear" w:color="auto" w:fill="auto"/>
          </w:tcPr>
          <w:p w:rsidR="00982FA5" w:rsidRPr="007F3BA6" w:rsidRDefault="00982FA5" w:rsidP="00D71C71">
            <w:pPr>
              <w:rPr>
                <w:rFonts w:eastAsia="Malgun Gothic"/>
                <w:sz w:val="20"/>
                <w:lang w:eastAsia="ko-KR"/>
              </w:rPr>
            </w:pPr>
            <w:r w:rsidRPr="007F3BA6">
              <w:rPr>
                <w:rFonts w:eastAsia="Malgun Gothic"/>
                <w:sz w:val="20"/>
                <w:lang w:eastAsia="ko-KR"/>
              </w:rPr>
              <w:t>ITU-T SG5 Q18</w:t>
            </w:r>
          </w:p>
        </w:tc>
        <w:tc>
          <w:tcPr>
            <w:tcW w:w="2186" w:type="dxa"/>
            <w:shd w:val="clear" w:color="auto" w:fill="auto"/>
          </w:tcPr>
          <w:p w:rsidR="00982FA5" w:rsidRPr="007F3BA6" w:rsidRDefault="003F7479">
            <w:pPr>
              <w:rPr>
                <w:sz w:val="20"/>
                <w:lang w:val="en-US" w:eastAsia="zh-CN"/>
              </w:rPr>
            </w:pPr>
            <w:r w:rsidRPr="007F3BA6">
              <w:rPr>
                <w:b/>
                <w:bCs/>
                <w:sz w:val="20"/>
              </w:rPr>
              <w:t xml:space="preserve">ITU-T </w:t>
            </w:r>
            <w:r w:rsidR="00982FA5" w:rsidRPr="007F3BA6">
              <w:rPr>
                <w:b/>
                <w:bCs/>
                <w:sz w:val="20"/>
              </w:rPr>
              <w:t>L.</w:t>
            </w:r>
            <w:r w:rsidR="00936CC1">
              <w:rPr>
                <w:b/>
                <w:bCs/>
                <w:sz w:val="20"/>
              </w:rPr>
              <w:t>1440</w:t>
            </w:r>
            <w:r w:rsidRPr="007F3BA6">
              <w:rPr>
                <w:b/>
                <w:bCs/>
                <w:sz w:val="20"/>
              </w:rPr>
              <w:t>,</w:t>
            </w:r>
            <w:r>
              <w:rPr>
                <w:b/>
                <w:bCs/>
                <w:color w:val="0000FF"/>
                <w:sz w:val="20"/>
              </w:rPr>
              <w:t xml:space="preserve"> </w:t>
            </w:r>
            <w:r w:rsidR="00982FA5" w:rsidRPr="007F3BA6">
              <w:rPr>
                <w:sz w:val="20"/>
              </w:rPr>
              <w:t xml:space="preserve"> Methodology to evaluate the GHG impact of ICT in cities Title: Methodology for environmental impact assessment of information and communication technologies on cities</w:t>
            </w:r>
          </w:p>
        </w:tc>
        <w:tc>
          <w:tcPr>
            <w:tcW w:w="5952" w:type="dxa"/>
            <w:shd w:val="clear" w:color="auto" w:fill="auto"/>
          </w:tcPr>
          <w:p w:rsidR="004338A8" w:rsidRPr="007F3BA6" w:rsidRDefault="004338A8" w:rsidP="007F3BA6">
            <w:pPr>
              <w:jc w:val="both"/>
              <w:rPr>
                <w:color w:val="548DD4"/>
                <w:sz w:val="20"/>
                <w:lang w:val="en-US"/>
              </w:rPr>
            </w:pPr>
            <w:r w:rsidRPr="007F3BA6">
              <w:rPr>
                <w:sz w:val="20"/>
              </w:rPr>
              <w:t xml:space="preserve">This ITU-T Recommendation gives general guidance to cities and provides for the definition and use of methodologies for the assessment of the environmental impact of ICT in cities. In this first edition of this Recommendation, the environmental impact considered is limited to energy consumption and GHG emissions.  </w:t>
            </w:r>
          </w:p>
          <w:p w:rsidR="00982FA5" w:rsidRPr="007F3BA6" w:rsidRDefault="004338A8" w:rsidP="004338A8">
            <w:pPr>
              <w:rPr>
                <w:sz w:val="20"/>
              </w:rPr>
            </w:pPr>
            <w:r w:rsidRPr="007F3BA6">
              <w:rPr>
                <w:sz w:val="20"/>
              </w:rPr>
              <w:t>This Recommendation provides specific guidance in setting the city boundaries, integrating and coordinating the assessment of all ICT related GHG emissions and energy consumption at city level, and on issues to consider at city scale when setting up ICT projects, including pre-studies</w:t>
            </w:r>
          </w:p>
          <w:p w:rsidR="004338A8" w:rsidRPr="007F3BA6" w:rsidRDefault="004338A8" w:rsidP="007F3BA6">
            <w:pPr>
              <w:spacing w:before="60"/>
              <w:rPr>
                <w:sz w:val="20"/>
                <w:lang w:eastAsia="zh-CN"/>
              </w:rPr>
            </w:pPr>
            <w:r w:rsidRPr="007F3BA6">
              <w:rPr>
                <w:sz w:val="20"/>
              </w:rPr>
              <w:t xml:space="preserve">URL: </w:t>
            </w:r>
            <w:hyperlink r:id="rId27" w:history="1">
              <w:r w:rsidR="003F7479" w:rsidRPr="007F3BA6">
                <w:rPr>
                  <w:rStyle w:val="Hyperlink"/>
                  <w:sz w:val="20"/>
                </w:rPr>
                <w:t>http://www.itu.int/ITU-T/workprog/wp_item.aspx?isn=8785</w:t>
              </w:r>
            </w:hyperlink>
            <w:r w:rsidR="003F7479">
              <w:rPr>
                <w:sz w:val="20"/>
              </w:rPr>
              <w:t xml:space="preserve"> </w:t>
            </w:r>
          </w:p>
        </w:tc>
        <w:tc>
          <w:tcPr>
            <w:tcW w:w="1870" w:type="dxa"/>
            <w:shd w:val="clear" w:color="auto" w:fill="auto"/>
          </w:tcPr>
          <w:p w:rsidR="00982FA5" w:rsidRPr="007F3BA6" w:rsidRDefault="00982FA5" w:rsidP="00D71C71">
            <w:pPr>
              <w:rPr>
                <w:rFonts w:eastAsia="Malgun Gothic"/>
                <w:sz w:val="20"/>
                <w:lang w:eastAsia="ko-KR"/>
              </w:rPr>
            </w:pPr>
            <w:r w:rsidRPr="007F3BA6">
              <w:rPr>
                <w:rFonts w:eastAsia="Malgun Gothic"/>
                <w:sz w:val="20"/>
                <w:lang w:eastAsia="ko-KR"/>
              </w:rPr>
              <w:t>Consented</w:t>
            </w:r>
          </w:p>
        </w:tc>
        <w:tc>
          <w:tcPr>
            <w:tcW w:w="1245" w:type="dxa"/>
            <w:shd w:val="clear" w:color="auto" w:fill="auto"/>
          </w:tcPr>
          <w:p w:rsidR="00982FA5" w:rsidRPr="007F3BA6" w:rsidRDefault="004338A8" w:rsidP="00D71C71">
            <w:pPr>
              <w:rPr>
                <w:rFonts w:eastAsia="Malgun Gothic"/>
                <w:sz w:val="20"/>
                <w:lang w:eastAsia="ko-KR"/>
              </w:rPr>
            </w:pPr>
            <w:r w:rsidRPr="007F3BA6">
              <w:rPr>
                <w:rFonts w:eastAsia="Malgun Gothic"/>
                <w:sz w:val="20"/>
                <w:lang w:eastAsia="ko-KR"/>
              </w:rPr>
              <w:t>2013</w:t>
            </w:r>
          </w:p>
        </w:tc>
        <w:tc>
          <w:tcPr>
            <w:tcW w:w="1015" w:type="dxa"/>
            <w:shd w:val="clear" w:color="auto" w:fill="auto"/>
          </w:tcPr>
          <w:p w:rsidR="00982FA5" w:rsidRPr="007F3BA6" w:rsidRDefault="00982FA5" w:rsidP="00D71C71">
            <w:pPr>
              <w:rPr>
                <w:rFonts w:eastAsia="Malgun Gothic"/>
                <w:sz w:val="20"/>
                <w:lang w:eastAsia="ko-KR"/>
              </w:rPr>
            </w:pPr>
            <w:r w:rsidRPr="007F3BA6">
              <w:rPr>
                <w:rFonts w:eastAsia="Malgun Gothic"/>
                <w:sz w:val="20"/>
                <w:lang w:eastAsia="ko-KR"/>
              </w:rPr>
              <w:t>Consented 2014</w:t>
            </w:r>
          </w:p>
        </w:tc>
      </w:tr>
    </w:tbl>
    <w:p w:rsidR="00A0724C" w:rsidRDefault="00481D89">
      <w:pPr>
        <w:jc w:val="center"/>
      </w:pPr>
      <w:r>
        <w:t>_________________</w:t>
      </w:r>
      <w:bookmarkStart w:id="5" w:name="_GoBack"/>
      <w:bookmarkEnd w:id="5"/>
    </w:p>
    <w:sectPr w:rsidR="00A0724C" w:rsidSect="007F3BA6">
      <w:headerReference w:type="first" r:id="rId28"/>
      <w:footerReference w:type="first" r:id="rId29"/>
      <w:pgSz w:w="16840" w:h="11907" w:orient="landscape"/>
      <w:pgMar w:top="1418"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C1B" w:rsidRDefault="00412C1B" w:rsidP="009F5CAB">
      <w:r>
        <w:separator/>
      </w:r>
    </w:p>
  </w:endnote>
  <w:endnote w:type="continuationSeparator" w:id="0">
    <w:p w:rsidR="00412C1B" w:rsidRDefault="00412C1B" w:rsidP="009F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C71" w:rsidRPr="00381494" w:rsidRDefault="00D71C71" w:rsidP="00D71C71">
    <w:pPr>
      <w:spacing w:before="0"/>
      <w:rPr>
        <w:sz w:val="18"/>
      </w:rPr>
    </w:pPr>
  </w:p>
  <w:tbl>
    <w:tblPr>
      <w:tblW w:w="9923" w:type="dxa"/>
      <w:jc w:val="center"/>
      <w:tblLayout w:type="fixed"/>
      <w:tblLook w:val="0000" w:firstRow="0" w:lastRow="0" w:firstColumn="0" w:lastColumn="0" w:noHBand="0" w:noVBand="0"/>
    </w:tblPr>
    <w:tblGrid>
      <w:gridCol w:w="9923"/>
    </w:tblGrid>
    <w:tr w:rsidR="00D71C71" w:rsidRPr="00024326" w:rsidTr="00D71C71">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D71C71" w:rsidRPr="00024326" w:rsidRDefault="00D71C71" w:rsidP="00D71C71">
          <w:pPr>
            <w:rPr>
              <w:sz w:val="18"/>
            </w:rPr>
          </w:pPr>
          <w:r w:rsidRPr="00024326">
            <w:rPr>
              <w:b/>
              <w:bCs/>
              <w:sz w:val="18"/>
            </w:rPr>
            <w:t>Attention:</w:t>
          </w:r>
          <w:r w:rsidRPr="00024326">
            <w:rPr>
              <w:sz w:val="18"/>
            </w:rPr>
            <w:t xml:space="preserve"> This is not a publication made available to the public, but </w:t>
          </w:r>
          <w:r w:rsidRPr="00024326">
            <w:rPr>
              <w:b/>
              <w:bCs/>
              <w:sz w:val="18"/>
            </w:rPr>
            <w:t>an internal ITU-T Document</w:t>
          </w:r>
          <w:r w:rsidRPr="00024326">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D71C71" w:rsidRPr="00381494" w:rsidRDefault="00D71C71" w:rsidP="00D71C71">
    <w:pPr>
      <w:spacing w:before="0"/>
      <w:rPr>
        <w:sz w:val="18"/>
      </w:rPr>
    </w:pPr>
  </w:p>
  <w:p w:rsidR="00D71C71" w:rsidRPr="00381494" w:rsidRDefault="00D71C71" w:rsidP="00381494">
    <w:pPr>
      <w:spacing w:before="0"/>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C71" w:rsidRPr="00AF5B26" w:rsidRDefault="00D71C71" w:rsidP="00AF5B26">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C1B" w:rsidRDefault="00412C1B" w:rsidP="009F5CAB">
      <w:r>
        <w:separator/>
      </w:r>
    </w:p>
  </w:footnote>
  <w:footnote w:type="continuationSeparator" w:id="0">
    <w:p w:rsidR="00412C1B" w:rsidRDefault="00412C1B" w:rsidP="009F5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C71" w:rsidRPr="00381494" w:rsidRDefault="00D71C71" w:rsidP="00381494">
    <w:pPr>
      <w:pStyle w:val="Header"/>
    </w:pPr>
    <w:r w:rsidRPr="00381494">
      <w:t xml:space="preserve">- </w:t>
    </w:r>
    <w:r w:rsidRPr="00381494">
      <w:fldChar w:fldCharType="begin"/>
    </w:r>
    <w:r w:rsidRPr="00381494">
      <w:instrText xml:space="preserve"> PAGE  \* MERGEFORMAT </w:instrText>
    </w:r>
    <w:r w:rsidRPr="00381494">
      <w:fldChar w:fldCharType="separate"/>
    </w:r>
    <w:r w:rsidR="00234CDD">
      <w:rPr>
        <w:noProof/>
      </w:rPr>
      <w:t>6</w:t>
    </w:r>
    <w:r w:rsidRPr="00381494">
      <w:fldChar w:fldCharType="end"/>
    </w:r>
    <w:r w:rsidRPr="00381494">
      <w:t xml:space="preserve"> -</w:t>
    </w:r>
  </w:p>
  <w:p w:rsidR="00D71C71" w:rsidRPr="00381494" w:rsidRDefault="00DB66E8" w:rsidP="00381494">
    <w:pPr>
      <w:pStyle w:val="Header"/>
      <w:spacing w:after="240"/>
    </w:pPr>
    <w:r>
      <w:t>Doc</w:t>
    </w:r>
    <w:r w:rsidR="00D71C71">
      <w:t xml:space="preserve"> 174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C71" w:rsidRDefault="00D71C71" w:rsidP="008948CC">
    <w:pPr>
      <w:pStyle w:val="Header"/>
      <w:spacing w:after="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C71" w:rsidRPr="00AF5B26" w:rsidRDefault="00D71C71" w:rsidP="008948CC">
    <w:pPr>
      <w:pStyle w:val="Header"/>
    </w:pPr>
    <w:r w:rsidRPr="00AF5B26">
      <w:t xml:space="preserve">- </w:t>
    </w:r>
    <w:r w:rsidRPr="00AF5B26">
      <w:fldChar w:fldCharType="begin"/>
    </w:r>
    <w:r w:rsidRPr="00AF5B26">
      <w:instrText xml:space="preserve"> PAGE  \* MERGEFORMAT </w:instrText>
    </w:r>
    <w:r w:rsidRPr="00AF5B26">
      <w:fldChar w:fldCharType="separate"/>
    </w:r>
    <w:r>
      <w:rPr>
        <w:noProof/>
      </w:rPr>
      <w:t>2</w:t>
    </w:r>
    <w:r w:rsidRPr="00AF5B26">
      <w:fldChar w:fldCharType="end"/>
    </w:r>
    <w:r w:rsidRPr="00AF5B26">
      <w:t xml:space="preserve"> -</w:t>
    </w:r>
  </w:p>
  <w:p w:rsidR="00D71C71" w:rsidRDefault="00D71C71" w:rsidP="008948CC">
    <w:pPr>
      <w:pStyle w:val="Header"/>
      <w:spacing w:after="240"/>
    </w:pPr>
    <w:r w:rsidRPr="00AF5B26">
      <w:fldChar w:fldCharType="begin"/>
    </w:r>
    <w:r w:rsidRPr="00AF5B26">
      <w:instrText xml:space="preserve"> STYLEREF  Docnumber  </w:instrText>
    </w:r>
    <w:r w:rsidRPr="00AF5B26">
      <w:fldChar w:fldCharType="separate"/>
    </w:r>
    <w:r>
      <w:rPr>
        <w:noProof/>
      </w:rPr>
      <w:t>TD 0849Rev.2 (GEN/5)</w:t>
    </w:r>
    <w:r w:rsidRPr="00AF5B2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34252136"/>
    <w:multiLevelType w:val="hybridMultilevel"/>
    <w:tmpl w:val="4B020C3E"/>
    <w:lvl w:ilvl="0" w:tplc="4AB2F338">
      <w:start w:val="3"/>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C765E06"/>
    <w:multiLevelType w:val="hybridMultilevel"/>
    <w:tmpl w:val="8E0CF962"/>
    <w:lvl w:ilvl="0" w:tplc="C4E075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4E31392"/>
    <w:multiLevelType w:val="hybridMultilevel"/>
    <w:tmpl w:val="11EE33B0"/>
    <w:lvl w:ilvl="0" w:tplc="1F30D7D0">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intFractionalCharacterWidth/>
  <w:bordersDoNotSurroundHeader/>
  <w:bordersDoNotSurroundFooter/>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AB"/>
    <w:rsid w:val="00021675"/>
    <w:rsid w:val="00024AC1"/>
    <w:rsid w:val="000258E3"/>
    <w:rsid w:val="00044CFA"/>
    <w:rsid w:val="000453A4"/>
    <w:rsid w:val="00051292"/>
    <w:rsid w:val="00053C26"/>
    <w:rsid w:val="00062E1A"/>
    <w:rsid w:val="00085735"/>
    <w:rsid w:val="00096EF9"/>
    <w:rsid w:val="000A4F27"/>
    <w:rsid w:val="000B4EC6"/>
    <w:rsid w:val="000D15B6"/>
    <w:rsid w:val="000D73C8"/>
    <w:rsid w:val="000E7E4C"/>
    <w:rsid w:val="000F276C"/>
    <w:rsid w:val="00102E00"/>
    <w:rsid w:val="001171A6"/>
    <w:rsid w:val="00161DD1"/>
    <w:rsid w:val="001644C6"/>
    <w:rsid w:val="00165C6A"/>
    <w:rsid w:val="00171F53"/>
    <w:rsid w:val="00225365"/>
    <w:rsid w:val="00226033"/>
    <w:rsid w:val="00234CDD"/>
    <w:rsid w:val="00256EEA"/>
    <w:rsid w:val="0026139B"/>
    <w:rsid w:val="002A23B6"/>
    <w:rsid w:val="002B601D"/>
    <w:rsid w:val="002E2365"/>
    <w:rsid w:val="002F12D0"/>
    <w:rsid w:val="002F1988"/>
    <w:rsid w:val="00303CAF"/>
    <w:rsid w:val="00312EF2"/>
    <w:rsid w:val="003428C6"/>
    <w:rsid w:val="00381494"/>
    <w:rsid w:val="003869CD"/>
    <w:rsid w:val="00387359"/>
    <w:rsid w:val="003D2BDE"/>
    <w:rsid w:val="003F0E49"/>
    <w:rsid w:val="003F7479"/>
    <w:rsid w:val="00401258"/>
    <w:rsid w:val="004018A7"/>
    <w:rsid w:val="00412C1B"/>
    <w:rsid w:val="004338A8"/>
    <w:rsid w:val="00461000"/>
    <w:rsid w:val="00473A79"/>
    <w:rsid w:val="004744EE"/>
    <w:rsid w:val="00481D89"/>
    <w:rsid w:val="00482E1A"/>
    <w:rsid w:val="00485401"/>
    <w:rsid w:val="004935D0"/>
    <w:rsid w:val="00495EA8"/>
    <w:rsid w:val="004C229B"/>
    <w:rsid w:val="004D3A8E"/>
    <w:rsid w:val="00506C63"/>
    <w:rsid w:val="00510A86"/>
    <w:rsid w:val="00527C86"/>
    <w:rsid w:val="00562669"/>
    <w:rsid w:val="00566FD3"/>
    <w:rsid w:val="00570165"/>
    <w:rsid w:val="00583D2E"/>
    <w:rsid w:val="0058567B"/>
    <w:rsid w:val="005935B6"/>
    <w:rsid w:val="00593750"/>
    <w:rsid w:val="005A3162"/>
    <w:rsid w:val="005A50ED"/>
    <w:rsid w:val="005A680E"/>
    <w:rsid w:val="005D1503"/>
    <w:rsid w:val="005E2801"/>
    <w:rsid w:val="00600868"/>
    <w:rsid w:val="00603BB1"/>
    <w:rsid w:val="006049EF"/>
    <w:rsid w:val="00606027"/>
    <w:rsid w:val="006122AB"/>
    <w:rsid w:val="00615A36"/>
    <w:rsid w:val="006166C8"/>
    <w:rsid w:val="00630D18"/>
    <w:rsid w:val="00636F38"/>
    <w:rsid w:val="006409A3"/>
    <w:rsid w:val="006462D5"/>
    <w:rsid w:val="00647530"/>
    <w:rsid w:val="00653B0E"/>
    <w:rsid w:val="00654410"/>
    <w:rsid w:val="006752D1"/>
    <w:rsid w:val="00680D07"/>
    <w:rsid w:val="0068456D"/>
    <w:rsid w:val="006A3E94"/>
    <w:rsid w:val="006C2A7D"/>
    <w:rsid w:val="006C2C11"/>
    <w:rsid w:val="006C5B4B"/>
    <w:rsid w:val="006C707B"/>
    <w:rsid w:val="006E13CA"/>
    <w:rsid w:val="006E2126"/>
    <w:rsid w:val="00701738"/>
    <w:rsid w:val="00702ED4"/>
    <w:rsid w:val="0071713D"/>
    <w:rsid w:val="00735812"/>
    <w:rsid w:val="007368EB"/>
    <w:rsid w:val="00737AEB"/>
    <w:rsid w:val="00751929"/>
    <w:rsid w:val="00767F66"/>
    <w:rsid w:val="00785BD6"/>
    <w:rsid w:val="00796FF6"/>
    <w:rsid w:val="007A2DDD"/>
    <w:rsid w:val="007A3997"/>
    <w:rsid w:val="007A7A4F"/>
    <w:rsid w:val="007F3897"/>
    <w:rsid w:val="007F3BA6"/>
    <w:rsid w:val="00801719"/>
    <w:rsid w:val="00804DF6"/>
    <w:rsid w:val="00824BDC"/>
    <w:rsid w:val="00833E3B"/>
    <w:rsid w:val="008377DC"/>
    <w:rsid w:val="00851755"/>
    <w:rsid w:val="00861B4E"/>
    <w:rsid w:val="00862A36"/>
    <w:rsid w:val="00874024"/>
    <w:rsid w:val="008948CC"/>
    <w:rsid w:val="008A648B"/>
    <w:rsid w:val="008C7D8A"/>
    <w:rsid w:val="008E2CE7"/>
    <w:rsid w:val="008F4841"/>
    <w:rsid w:val="008F56D0"/>
    <w:rsid w:val="00925778"/>
    <w:rsid w:val="00930982"/>
    <w:rsid w:val="009351F5"/>
    <w:rsid w:val="00936CC1"/>
    <w:rsid w:val="00941A4E"/>
    <w:rsid w:val="00952BAF"/>
    <w:rsid w:val="00953EE1"/>
    <w:rsid w:val="00960642"/>
    <w:rsid w:val="00982FA5"/>
    <w:rsid w:val="009E226A"/>
    <w:rsid w:val="009F5CAB"/>
    <w:rsid w:val="00A0724C"/>
    <w:rsid w:val="00A2149C"/>
    <w:rsid w:val="00A22A92"/>
    <w:rsid w:val="00A255C1"/>
    <w:rsid w:val="00A43B52"/>
    <w:rsid w:val="00A61D13"/>
    <w:rsid w:val="00A6213D"/>
    <w:rsid w:val="00A635A2"/>
    <w:rsid w:val="00AC3131"/>
    <w:rsid w:val="00AC5ECE"/>
    <w:rsid w:val="00AE64FB"/>
    <w:rsid w:val="00AF245A"/>
    <w:rsid w:val="00AF52DB"/>
    <w:rsid w:val="00AF5B26"/>
    <w:rsid w:val="00AF716E"/>
    <w:rsid w:val="00B11E7E"/>
    <w:rsid w:val="00B26BC5"/>
    <w:rsid w:val="00B34977"/>
    <w:rsid w:val="00B40427"/>
    <w:rsid w:val="00B47F89"/>
    <w:rsid w:val="00B53253"/>
    <w:rsid w:val="00B53285"/>
    <w:rsid w:val="00B720C1"/>
    <w:rsid w:val="00B8167E"/>
    <w:rsid w:val="00B8479D"/>
    <w:rsid w:val="00B86E4C"/>
    <w:rsid w:val="00BA2ABC"/>
    <w:rsid w:val="00BB0535"/>
    <w:rsid w:val="00BC06EC"/>
    <w:rsid w:val="00BC497B"/>
    <w:rsid w:val="00BC6AEA"/>
    <w:rsid w:val="00BD089E"/>
    <w:rsid w:val="00BD0B85"/>
    <w:rsid w:val="00BD4799"/>
    <w:rsid w:val="00BD52C8"/>
    <w:rsid w:val="00BE6AE8"/>
    <w:rsid w:val="00BF7070"/>
    <w:rsid w:val="00C16A19"/>
    <w:rsid w:val="00C279D8"/>
    <w:rsid w:val="00C55691"/>
    <w:rsid w:val="00C63B9B"/>
    <w:rsid w:val="00C7009B"/>
    <w:rsid w:val="00C74981"/>
    <w:rsid w:val="00C758EE"/>
    <w:rsid w:val="00C863B5"/>
    <w:rsid w:val="00C955F2"/>
    <w:rsid w:val="00CA3A7D"/>
    <w:rsid w:val="00CC5757"/>
    <w:rsid w:val="00D24EF0"/>
    <w:rsid w:val="00D41484"/>
    <w:rsid w:val="00D52137"/>
    <w:rsid w:val="00D71C71"/>
    <w:rsid w:val="00D813BA"/>
    <w:rsid w:val="00DA265C"/>
    <w:rsid w:val="00DB0766"/>
    <w:rsid w:val="00DB66E8"/>
    <w:rsid w:val="00DC359C"/>
    <w:rsid w:val="00DC44D7"/>
    <w:rsid w:val="00DF3CC0"/>
    <w:rsid w:val="00E06F65"/>
    <w:rsid w:val="00E12DE1"/>
    <w:rsid w:val="00E150DA"/>
    <w:rsid w:val="00E1575B"/>
    <w:rsid w:val="00E370B8"/>
    <w:rsid w:val="00E64BE9"/>
    <w:rsid w:val="00E73A34"/>
    <w:rsid w:val="00E76222"/>
    <w:rsid w:val="00EA27A3"/>
    <w:rsid w:val="00EA4A21"/>
    <w:rsid w:val="00EA7326"/>
    <w:rsid w:val="00ED1C20"/>
    <w:rsid w:val="00ED7546"/>
    <w:rsid w:val="00EF4D5C"/>
    <w:rsid w:val="00F0715C"/>
    <w:rsid w:val="00F10AB1"/>
    <w:rsid w:val="00F13CDC"/>
    <w:rsid w:val="00F16F31"/>
    <w:rsid w:val="00F20AC0"/>
    <w:rsid w:val="00F353BB"/>
    <w:rsid w:val="00F4000E"/>
    <w:rsid w:val="00F42A95"/>
    <w:rsid w:val="00F44D62"/>
    <w:rsid w:val="00F57841"/>
    <w:rsid w:val="00F80BE0"/>
    <w:rsid w:val="00F83A15"/>
    <w:rsid w:val="00F90F75"/>
    <w:rsid w:val="00F974F2"/>
    <w:rsid w:val="00FB1CDF"/>
    <w:rsid w:val="00FC6514"/>
    <w:rsid w:val="00FD7063"/>
    <w:rsid w:val="00FE0F58"/>
    <w:rsid w:val="00FF0B1F"/>
    <w:rsid w:val="00FF0C89"/>
    <w:rsid w:val="00FF59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97C962B-CE83-41C1-A6E9-161B7B60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w-KE" w:eastAsia="sw-K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165"/>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570165"/>
    <w:pPr>
      <w:keepNext/>
      <w:keepLines/>
      <w:spacing w:before="360"/>
      <w:ind w:left="794" w:hanging="794"/>
      <w:outlineLvl w:val="0"/>
    </w:pPr>
    <w:rPr>
      <w:b/>
    </w:rPr>
  </w:style>
  <w:style w:type="paragraph" w:styleId="Heading2">
    <w:name w:val="heading 2"/>
    <w:basedOn w:val="Heading1"/>
    <w:next w:val="Normal"/>
    <w:qFormat/>
    <w:rsid w:val="00570165"/>
    <w:pPr>
      <w:spacing w:before="240"/>
      <w:outlineLvl w:val="1"/>
    </w:pPr>
  </w:style>
  <w:style w:type="paragraph" w:styleId="Heading3">
    <w:name w:val="heading 3"/>
    <w:basedOn w:val="Heading1"/>
    <w:next w:val="Normal"/>
    <w:qFormat/>
    <w:rsid w:val="00570165"/>
    <w:pPr>
      <w:spacing w:before="160"/>
      <w:outlineLvl w:val="2"/>
    </w:pPr>
  </w:style>
  <w:style w:type="paragraph" w:styleId="Heading4">
    <w:name w:val="heading 4"/>
    <w:basedOn w:val="Heading3"/>
    <w:next w:val="Normal"/>
    <w:qFormat/>
    <w:rsid w:val="00570165"/>
    <w:pPr>
      <w:tabs>
        <w:tab w:val="clear" w:pos="794"/>
        <w:tab w:val="left" w:pos="1021"/>
      </w:tabs>
      <w:ind w:left="1021" w:hanging="1021"/>
      <w:outlineLvl w:val="3"/>
    </w:pPr>
  </w:style>
  <w:style w:type="paragraph" w:styleId="Heading5">
    <w:name w:val="heading 5"/>
    <w:basedOn w:val="Heading4"/>
    <w:next w:val="Normal"/>
    <w:qFormat/>
    <w:rsid w:val="00570165"/>
    <w:pPr>
      <w:outlineLvl w:val="4"/>
    </w:pPr>
  </w:style>
  <w:style w:type="paragraph" w:styleId="Heading6">
    <w:name w:val="heading 6"/>
    <w:basedOn w:val="Heading4"/>
    <w:next w:val="Normal"/>
    <w:qFormat/>
    <w:rsid w:val="00570165"/>
    <w:pPr>
      <w:tabs>
        <w:tab w:val="clear" w:pos="1021"/>
        <w:tab w:val="clear" w:pos="1191"/>
      </w:tabs>
      <w:ind w:left="1588" w:hanging="1588"/>
      <w:outlineLvl w:val="5"/>
    </w:pPr>
  </w:style>
  <w:style w:type="paragraph" w:styleId="Heading7">
    <w:name w:val="heading 7"/>
    <w:basedOn w:val="Heading6"/>
    <w:next w:val="Normal"/>
    <w:qFormat/>
    <w:rsid w:val="00570165"/>
    <w:pPr>
      <w:outlineLvl w:val="6"/>
    </w:pPr>
  </w:style>
  <w:style w:type="paragraph" w:styleId="Heading8">
    <w:name w:val="heading 8"/>
    <w:basedOn w:val="Heading6"/>
    <w:next w:val="Normal"/>
    <w:qFormat/>
    <w:rsid w:val="00570165"/>
    <w:pPr>
      <w:outlineLvl w:val="7"/>
    </w:pPr>
  </w:style>
  <w:style w:type="paragraph" w:styleId="Heading9">
    <w:name w:val="heading 9"/>
    <w:basedOn w:val="Heading6"/>
    <w:next w:val="Normal"/>
    <w:qFormat/>
    <w:rsid w:val="0057016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570165"/>
    <w:pPr>
      <w:keepNext/>
      <w:keepLines/>
      <w:spacing w:before="480"/>
      <w:jc w:val="center"/>
    </w:pPr>
    <w:rPr>
      <w:b/>
      <w:sz w:val="28"/>
    </w:rPr>
  </w:style>
  <w:style w:type="character" w:customStyle="1" w:styleId="Appdef">
    <w:name w:val="App_def"/>
    <w:rsid w:val="00570165"/>
    <w:rPr>
      <w:rFonts w:ascii="Times New Roman" w:hAnsi="Times New Roman"/>
      <w:b/>
    </w:rPr>
  </w:style>
  <w:style w:type="character" w:customStyle="1" w:styleId="Appref">
    <w:name w:val="App_ref"/>
    <w:basedOn w:val="DefaultParagraphFont"/>
    <w:rsid w:val="00570165"/>
  </w:style>
  <w:style w:type="paragraph" w:customStyle="1" w:styleId="AppendixNotitle">
    <w:name w:val="Appendix_No &amp; title"/>
    <w:basedOn w:val="AnnexNotitle"/>
    <w:next w:val="Normal"/>
    <w:rsid w:val="00570165"/>
  </w:style>
  <w:style w:type="character" w:customStyle="1" w:styleId="Artdef">
    <w:name w:val="Art_def"/>
    <w:rsid w:val="00570165"/>
    <w:rPr>
      <w:rFonts w:ascii="Times New Roman" w:hAnsi="Times New Roman"/>
      <w:b/>
    </w:rPr>
  </w:style>
  <w:style w:type="paragraph" w:customStyle="1" w:styleId="Artheading">
    <w:name w:val="Art_heading"/>
    <w:basedOn w:val="Normal"/>
    <w:next w:val="Normal"/>
    <w:rsid w:val="00570165"/>
    <w:pPr>
      <w:spacing w:before="480"/>
      <w:jc w:val="center"/>
    </w:pPr>
    <w:rPr>
      <w:b/>
      <w:sz w:val="28"/>
    </w:rPr>
  </w:style>
  <w:style w:type="paragraph" w:customStyle="1" w:styleId="ArtNo">
    <w:name w:val="Art_No"/>
    <w:basedOn w:val="Normal"/>
    <w:next w:val="Normal"/>
    <w:rsid w:val="00570165"/>
    <w:pPr>
      <w:keepNext/>
      <w:keepLines/>
      <w:spacing w:before="480"/>
      <w:jc w:val="center"/>
    </w:pPr>
    <w:rPr>
      <w:caps/>
      <w:sz w:val="28"/>
    </w:rPr>
  </w:style>
  <w:style w:type="character" w:customStyle="1" w:styleId="Artref">
    <w:name w:val="Art_ref"/>
    <w:basedOn w:val="DefaultParagraphFont"/>
    <w:rsid w:val="00570165"/>
  </w:style>
  <w:style w:type="paragraph" w:customStyle="1" w:styleId="Arttitle">
    <w:name w:val="Art_title"/>
    <w:basedOn w:val="Normal"/>
    <w:next w:val="Normal"/>
    <w:rsid w:val="00570165"/>
    <w:pPr>
      <w:keepNext/>
      <w:keepLines/>
      <w:spacing w:before="240"/>
      <w:jc w:val="center"/>
    </w:pPr>
    <w:rPr>
      <w:b/>
      <w:sz w:val="28"/>
    </w:rPr>
  </w:style>
  <w:style w:type="paragraph" w:customStyle="1" w:styleId="ASN1">
    <w:name w:val="ASN.1"/>
    <w:basedOn w:val="Normal"/>
    <w:rsid w:val="0057016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570165"/>
    <w:pPr>
      <w:keepNext/>
      <w:keepLines/>
      <w:spacing w:before="160"/>
      <w:ind w:left="794"/>
    </w:pPr>
    <w:rPr>
      <w:i/>
    </w:rPr>
  </w:style>
  <w:style w:type="paragraph" w:customStyle="1" w:styleId="ChapNo">
    <w:name w:val="Chap_No"/>
    <w:basedOn w:val="Normal"/>
    <w:next w:val="Normal"/>
    <w:rsid w:val="00570165"/>
    <w:pPr>
      <w:keepNext/>
      <w:keepLines/>
      <w:spacing w:before="480"/>
      <w:jc w:val="center"/>
    </w:pPr>
    <w:rPr>
      <w:b/>
      <w:caps/>
      <w:sz w:val="28"/>
    </w:rPr>
  </w:style>
  <w:style w:type="paragraph" w:customStyle="1" w:styleId="Chaptitle">
    <w:name w:val="Chap_title"/>
    <w:basedOn w:val="Normal"/>
    <w:next w:val="Normal"/>
    <w:rsid w:val="00570165"/>
    <w:pPr>
      <w:keepNext/>
      <w:keepLines/>
      <w:spacing w:before="240"/>
      <w:jc w:val="center"/>
    </w:pPr>
    <w:rPr>
      <w:b/>
      <w:sz w:val="28"/>
    </w:rPr>
  </w:style>
  <w:style w:type="character" w:styleId="EndnoteReference">
    <w:name w:val="endnote reference"/>
    <w:semiHidden/>
    <w:rsid w:val="00570165"/>
    <w:rPr>
      <w:vertAlign w:val="superscript"/>
    </w:rPr>
  </w:style>
  <w:style w:type="paragraph" w:customStyle="1" w:styleId="enumlev1">
    <w:name w:val="enumlev1"/>
    <w:basedOn w:val="Normal"/>
    <w:rsid w:val="00570165"/>
    <w:pPr>
      <w:spacing w:before="80"/>
      <w:ind w:left="794" w:hanging="794"/>
    </w:pPr>
  </w:style>
  <w:style w:type="paragraph" w:customStyle="1" w:styleId="enumlev2">
    <w:name w:val="enumlev2"/>
    <w:basedOn w:val="enumlev1"/>
    <w:rsid w:val="00570165"/>
    <w:pPr>
      <w:ind w:left="1191" w:hanging="397"/>
    </w:pPr>
  </w:style>
  <w:style w:type="paragraph" w:customStyle="1" w:styleId="enumlev3">
    <w:name w:val="enumlev3"/>
    <w:basedOn w:val="enumlev2"/>
    <w:rsid w:val="00570165"/>
    <w:pPr>
      <w:ind w:left="1588"/>
    </w:pPr>
  </w:style>
  <w:style w:type="paragraph" w:customStyle="1" w:styleId="Equation">
    <w:name w:val="Equation"/>
    <w:basedOn w:val="Normal"/>
    <w:rsid w:val="00570165"/>
    <w:pPr>
      <w:tabs>
        <w:tab w:val="clear" w:pos="1191"/>
        <w:tab w:val="clear" w:pos="1588"/>
        <w:tab w:val="clear" w:pos="1985"/>
        <w:tab w:val="center" w:pos="4820"/>
        <w:tab w:val="right" w:pos="9639"/>
      </w:tabs>
    </w:pPr>
  </w:style>
  <w:style w:type="paragraph" w:customStyle="1" w:styleId="Equationlegend">
    <w:name w:val="Equation_legend"/>
    <w:basedOn w:val="Normal"/>
    <w:rsid w:val="00570165"/>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570165"/>
    <w:pPr>
      <w:keepNext/>
      <w:keepLines/>
      <w:spacing w:before="240" w:after="120"/>
      <w:jc w:val="center"/>
    </w:pPr>
  </w:style>
  <w:style w:type="paragraph" w:customStyle="1" w:styleId="Figurelegend">
    <w:name w:val="Figure_legend"/>
    <w:basedOn w:val="Normal"/>
    <w:rsid w:val="00570165"/>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570165"/>
    <w:pPr>
      <w:keepLines/>
      <w:spacing w:before="240" w:after="120"/>
      <w:jc w:val="center"/>
    </w:pPr>
    <w:rPr>
      <w:b/>
    </w:rPr>
  </w:style>
  <w:style w:type="paragraph" w:customStyle="1" w:styleId="FigureNoBR">
    <w:name w:val="Figure_No_BR"/>
    <w:basedOn w:val="Normal"/>
    <w:next w:val="Normal"/>
    <w:rsid w:val="00570165"/>
    <w:pPr>
      <w:keepNext/>
      <w:keepLines/>
      <w:spacing w:before="480" w:after="120"/>
      <w:jc w:val="center"/>
    </w:pPr>
    <w:rPr>
      <w:caps/>
    </w:rPr>
  </w:style>
  <w:style w:type="paragraph" w:customStyle="1" w:styleId="TabletitleBR">
    <w:name w:val="Table_title_BR"/>
    <w:basedOn w:val="Normal"/>
    <w:next w:val="Normal"/>
    <w:rsid w:val="00570165"/>
    <w:pPr>
      <w:keepNext/>
      <w:keepLines/>
      <w:spacing w:before="0" w:after="120"/>
      <w:jc w:val="center"/>
    </w:pPr>
    <w:rPr>
      <w:b/>
    </w:rPr>
  </w:style>
  <w:style w:type="paragraph" w:customStyle="1" w:styleId="FiguretitleBR">
    <w:name w:val="Figure_title_BR"/>
    <w:basedOn w:val="TabletitleBR"/>
    <w:next w:val="Normal"/>
    <w:rsid w:val="00570165"/>
    <w:pPr>
      <w:keepNext w:val="0"/>
      <w:spacing w:after="480"/>
    </w:pPr>
  </w:style>
  <w:style w:type="paragraph" w:customStyle="1" w:styleId="Figurewithouttitle">
    <w:name w:val="Figure_without_title"/>
    <w:basedOn w:val="Normal"/>
    <w:next w:val="Normal"/>
    <w:rsid w:val="00570165"/>
    <w:pPr>
      <w:keepLines/>
      <w:spacing w:before="240" w:after="120"/>
      <w:jc w:val="center"/>
    </w:pPr>
  </w:style>
  <w:style w:type="paragraph" w:styleId="Footer">
    <w:name w:val="footer"/>
    <w:basedOn w:val="Normal"/>
    <w:rsid w:val="0057016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570165"/>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570165"/>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570165"/>
    <w:rPr>
      <w:position w:val="6"/>
      <w:sz w:val="18"/>
    </w:rPr>
  </w:style>
  <w:style w:type="paragraph" w:customStyle="1" w:styleId="Note">
    <w:name w:val="Note"/>
    <w:basedOn w:val="Normal"/>
    <w:rsid w:val="00570165"/>
    <w:pPr>
      <w:spacing w:before="80"/>
    </w:pPr>
  </w:style>
  <w:style w:type="paragraph" w:styleId="FootnoteText">
    <w:name w:val="footnote text"/>
    <w:basedOn w:val="Note"/>
    <w:link w:val="FootnoteTextChar"/>
    <w:semiHidden/>
    <w:rsid w:val="00570165"/>
    <w:pPr>
      <w:keepLines/>
      <w:tabs>
        <w:tab w:val="left" w:pos="255"/>
      </w:tabs>
      <w:ind w:left="255" w:hanging="255"/>
    </w:pPr>
  </w:style>
  <w:style w:type="paragraph" w:customStyle="1" w:styleId="Formal">
    <w:name w:val="Formal"/>
    <w:basedOn w:val="ASN1"/>
    <w:rsid w:val="00570165"/>
    <w:rPr>
      <w:b w:val="0"/>
    </w:rPr>
  </w:style>
  <w:style w:type="paragraph" w:styleId="Header">
    <w:name w:val="header"/>
    <w:basedOn w:val="Normal"/>
    <w:link w:val="HeaderChar"/>
    <w:rsid w:val="0057016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570165"/>
    <w:pPr>
      <w:keepNext/>
      <w:spacing w:before="160"/>
    </w:pPr>
    <w:rPr>
      <w:b/>
    </w:rPr>
  </w:style>
  <w:style w:type="paragraph" w:customStyle="1" w:styleId="Headingi">
    <w:name w:val="Heading_i"/>
    <w:basedOn w:val="Normal"/>
    <w:next w:val="Normal"/>
    <w:rsid w:val="00570165"/>
    <w:pPr>
      <w:keepNext/>
      <w:spacing w:before="160"/>
    </w:pPr>
    <w:rPr>
      <w:i/>
    </w:rPr>
  </w:style>
  <w:style w:type="paragraph" w:styleId="Index1">
    <w:name w:val="index 1"/>
    <w:basedOn w:val="Normal"/>
    <w:next w:val="Normal"/>
    <w:semiHidden/>
    <w:rsid w:val="00570165"/>
  </w:style>
  <w:style w:type="paragraph" w:styleId="Index2">
    <w:name w:val="index 2"/>
    <w:basedOn w:val="Normal"/>
    <w:next w:val="Normal"/>
    <w:semiHidden/>
    <w:rsid w:val="00570165"/>
    <w:pPr>
      <w:ind w:left="283"/>
    </w:pPr>
  </w:style>
  <w:style w:type="paragraph" w:styleId="Index3">
    <w:name w:val="index 3"/>
    <w:basedOn w:val="Normal"/>
    <w:next w:val="Normal"/>
    <w:semiHidden/>
    <w:rsid w:val="00570165"/>
    <w:pPr>
      <w:ind w:left="566"/>
    </w:pPr>
  </w:style>
  <w:style w:type="paragraph" w:customStyle="1" w:styleId="Normalaftertitle">
    <w:name w:val="Normal_after_title"/>
    <w:basedOn w:val="Normal"/>
    <w:next w:val="Normal"/>
    <w:rsid w:val="00570165"/>
    <w:pPr>
      <w:spacing w:before="360"/>
    </w:pPr>
  </w:style>
  <w:style w:type="character" w:styleId="PageNumber">
    <w:name w:val="page number"/>
    <w:basedOn w:val="DefaultParagraphFont"/>
    <w:rsid w:val="00570165"/>
  </w:style>
  <w:style w:type="paragraph" w:customStyle="1" w:styleId="PartNo">
    <w:name w:val="Part_No"/>
    <w:basedOn w:val="Normal"/>
    <w:next w:val="Normal"/>
    <w:rsid w:val="00570165"/>
    <w:pPr>
      <w:keepNext/>
      <w:keepLines/>
      <w:spacing w:before="480" w:after="80"/>
      <w:jc w:val="center"/>
    </w:pPr>
    <w:rPr>
      <w:caps/>
      <w:sz w:val="28"/>
    </w:rPr>
  </w:style>
  <w:style w:type="paragraph" w:customStyle="1" w:styleId="Partref">
    <w:name w:val="Part_ref"/>
    <w:basedOn w:val="Normal"/>
    <w:next w:val="Normal"/>
    <w:rsid w:val="00570165"/>
    <w:pPr>
      <w:keepNext/>
      <w:keepLines/>
      <w:spacing w:before="280"/>
      <w:jc w:val="center"/>
    </w:pPr>
  </w:style>
  <w:style w:type="paragraph" w:customStyle="1" w:styleId="Parttitle">
    <w:name w:val="Part_title"/>
    <w:basedOn w:val="Normal"/>
    <w:next w:val="Normalaftertitle"/>
    <w:rsid w:val="00570165"/>
    <w:pPr>
      <w:keepNext/>
      <w:keepLines/>
      <w:spacing w:before="240" w:after="280"/>
      <w:jc w:val="center"/>
    </w:pPr>
    <w:rPr>
      <w:b/>
      <w:sz w:val="28"/>
    </w:rPr>
  </w:style>
  <w:style w:type="paragraph" w:customStyle="1" w:styleId="Recdate">
    <w:name w:val="Rec_date"/>
    <w:basedOn w:val="Normal"/>
    <w:next w:val="Normalaftertitle"/>
    <w:rsid w:val="00570165"/>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570165"/>
  </w:style>
  <w:style w:type="paragraph" w:customStyle="1" w:styleId="RecNo">
    <w:name w:val="Rec_No"/>
    <w:basedOn w:val="Normal"/>
    <w:next w:val="Normal"/>
    <w:rsid w:val="00570165"/>
    <w:pPr>
      <w:keepNext/>
      <w:keepLines/>
      <w:spacing w:before="0"/>
    </w:pPr>
    <w:rPr>
      <w:b/>
      <w:sz w:val="28"/>
    </w:rPr>
  </w:style>
  <w:style w:type="paragraph" w:customStyle="1" w:styleId="QuestionNo">
    <w:name w:val="Question_No"/>
    <w:basedOn w:val="RecNo"/>
    <w:next w:val="Normal"/>
    <w:rsid w:val="00570165"/>
  </w:style>
  <w:style w:type="paragraph" w:customStyle="1" w:styleId="RecNoBR">
    <w:name w:val="Rec_No_BR"/>
    <w:basedOn w:val="Normal"/>
    <w:next w:val="Normal"/>
    <w:rsid w:val="00570165"/>
    <w:pPr>
      <w:keepNext/>
      <w:keepLines/>
      <w:spacing w:before="480"/>
      <w:jc w:val="center"/>
    </w:pPr>
    <w:rPr>
      <w:caps/>
      <w:sz w:val="28"/>
    </w:rPr>
  </w:style>
  <w:style w:type="paragraph" w:customStyle="1" w:styleId="QuestionNoBR">
    <w:name w:val="Question_No_BR"/>
    <w:basedOn w:val="RecNoBR"/>
    <w:next w:val="Normal"/>
    <w:rsid w:val="00570165"/>
  </w:style>
  <w:style w:type="paragraph" w:customStyle="1" w:styleId="Recref">
    <w:name w:val="Rec_ref"/>
    <w:basedOn w:val="Normal"/>
    <w:next w:val="Recdate"/>
    <w:rsid w:val="00570165"/>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570165"/>
  </w:style>
  <w:style w:type="paragraph" w:customStyle="1" w:styleId="Rectitle">
    <w:name w:val="Rec_title"/>
    <w:basedOn w:val="Normal"/>
    <w:next w:val="Normalaftertitle"/>
    <w:rsid w:val="00570165"/>
    <w:pPr>
      <w:keepNext/>
      <w:keepLines/>
      <w:spacing w:before="360"/>
      <w:jc w:val="center"/>
    </w:pPr>
    <w:rPr>
      <w:b/>
      <w:sz w:val="28"/>
    </w:rPr>
  </w:style>
  <w:style w:type="paragraph" w:customStyle="1" w:styleId="Questiontitle">
    <w:name w:val="Question_title"/>
    <w:basedOn w:val="Rectitle"/>
    <w:next w:val="Questionref"/>
    <w:rsid w:val="00570165"/>
  </w:style>
  <w:style w:type="character" w:customStyle="1" w:styleId="Recdef">
    <w:name w:val="Rec_def"/>
    <w:rsid w:val="00570165"/>
    <w:rPr>
      <w:b/>
    </w:rPr>
  </w:style>
  <w:style w:type="paragraph" w:customStyle="1" w:styleId="Reftext">
    <w:name w:val="Ref_text"/>
    <w:basedOn w:val="Normal"/>
    <w:rsid w:val="00570165"/>
    <w:pPr>
      <w:ind w:left="794" w:hanging="794"/>
    </w:pPr>
  </w:style>
  <w:style w:type="paragraph" w:customStyle="1" w:styleId="Reftitle">
    <w:name w:val="Ref_title"/>
    <w:basedOn w:val="Normal"/>
    <w:next w:val="Reftext"/>
    <w:rsid w:val="00570165"/>
    <w:pPr>
      <w:spacing w:before="480"/>
      <w:jc w:val="center"/>
    </w:pPr>
    <w:rPr>
      <w:b/>
    </w:rPr>
  </w:style>
  <w:style w:type="paragraph" w:customStyle="1" w:styleId="Repdate">
    <w:name w:val="Rep_date"/>
    <w:basedOn w:val="Recdate"/>
    <w:next w:val="Normalaftertitle"/>
    <w:rsid w:val="00570165"/>
  </w:style>
  <w:style w:type="paragraph" w:customStyle="1" w:styleId="RepNo">
    <w:name w:val="Rep_No"/>
    <w:basedOn w:val="RecNo"/>
    <w:next w:val="Normal"/>
    <w:rsid w:val="00570165"/>
  </w:style>
  <w:style w:type="paragraph" w:customStyle="1" w:styleId="RepNoBR">
    <w:name w:val="Rep_No_BR"/>
    <w:basedOn w:val="RecNoBR"/>
    <w:next w:val="Normal"/>
    <w:rsid w:val="00570165"/>
  </w:style>
  <w:style w:type="paragraph" w:customStyle="1" w:styleId="Repref">
    <w:name w:val="Rep_ref"/>
    <w:basedOn w:val="Recref"/>
    <w:next w:val="Repdate"/>
    <w:rsid w:val="00570165"/>
  </w:style>
  <w:style w:type="paragraph" w:customStyle="1" w:styleId="Reptitle">
    <w:name w:val="Rep_title"/>
    <w:basedOn w:val="Rectitle"/>
    <w:next w:val="Repref"/>
    <w:rsid w:val="00570165"/>
  </w:style>
  <w:style w:type="paragraph" w:customStyle="1" w:styleId="Resdate">
    <w:name w:val="Res_date"/>
    <w:basedOn w:val="Recdate"/>
    <w:next w:val="Normalaftertitle"/>
    <w:rsid w:val="00570165"/>
  </w:style>
  <w:style w:type="character" w:customStyle="1" w:styleId="Resdef">
    <w:name w:val="Res_def"/>
    <w:rsid w:val="00570165"/>
    <w:rPr>
      <w:rFonts w:ascii="Times New Roman" w:hAnsi="Times New Roman"/>
      <w:b/>
    </w:rPr>
  </w:style>
  <w:style w:type="paragraph" w:customStyle="1" w:styleId="ResNo">
    <w:name w:val="Res_No"/>
    <w:basedOn w:val="RecNo"/>
    <w:next w:val="Normal"/>
    <w:rsid w:val="00570165"/>
  </w:style>
  <w:style w:type="paragraph" w:customStyle="1" w:styleId="ResNoBR">
    <w:name w:val="Res_No_BR"/>
    <w:basedOn w:val="RecNoBR"/>
    <w:next w:val="Normal"/>
    <w:rsid w:val="00570165"/>
  </w:style>
  <w:style w:type="paragraph" w:customStyle="1" w:styleId="Resref">
    <w:name w:val="Res_ref"/>
    <w:basedOn w:val="Recref"/>
    <w:next w:val="Resdate"/>
    <w:rsid w:val="00570165"/>
  </w:style>
  <w:style w:type="paragraph" w:customStyle="1" w:styleId="Restitle">
    <w:name w:val="Res_title"/>
    <w:basedOn w:val="Rectitle"/>
    <w:next w:val="Resref"/>
    <w:rsid w:val="00570165"/>
  </w:style>
  <w:style w:type="paragraph" w:customStyle="1" w:styleId="Section1">
    <w:name w:val="Section_1"/>
    <w:basedOn w:val="Normal"/>
    <w:next w:val="Normal"/>
    <w:rsid w:val="0057016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570165"/>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570165"/>
    <w:pPr>
      <w:keepNext/>
      <w:keepLines/>
      <w:spacing w:before="480" w:after="80"/>
      <w:jc w:val="center"/>
    </w:pPr>
    <w:rPr>
      <w:caps/>
      <w:sz w:val="28"/>
    </w:rPr>
  </w:style>
  <w:style w:type="paragraph" w:customStyle="1" w:styleId="Sectiontitle">
    <w:name w:val="Section_title"/>
    <w:basedOn w:val="Normal"/>
    <w:next w:val="Normalaftertitle"/>
    <w:rsid w:val="00570165"/>
    <w:pPr>
      <w:keepNext/>
      <w:keepLines/>
      <w:spacing w:before="480" w:after="280"/>
      <w:jc w:val="center"/>
    </w:pPr>
    <w:rPr>
      <w:b/>
      <w:sz w:val="28"/>
    </w:rPr>
  </w:style>
  <w:style w:type="paragraph" w:customStyle="1" w:styleId="Source">
    <w:name w:val="Source"/>
    <w:basedOn w:val="Normal"/>
    <w:next w:val="Normalaftertitle"/>
    <w:rsid w:val="00570165"/>
    <w:pPr>
      <w:spacing w:before="840" w:after="200"/>
      <w:jc w:val="center"/>
    </w:pPr>
    <w:rPr>
      <w:b/>
      <w:sz w:val="28"/>
    </w:rPr>
  </w:style>
  <w:style w:type="paragraph" w:customStyle="1" w:styleId="SpecialFooter">
    <w:name w:val="Special Footer"/>
    <w:basedOn w:val="Footer"/>
    <w:rsid w:val="00570165"/>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570165"/>
    <w:rPr>
      <w:b/>
      <w:color w:val="auto"/>
    </w:rPr>
  </w:style>
  <w:style w:type="paragraph" w:customStyle="1" w:styleId="Tablehead">
    <w:name w:val="Table_head"/>
    <w:basedOn w:val="Normal"/>
    <w:next w:val="Normal"/>
    <w:rsid w:val="0057016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57016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570165"/>
    <w:pPr>
      <w:keepNext/>
      <w:keepLines/>
      <w:spacing w:before="360" w:after="120"/>
      <w:jc w:val="center"/>
    </w:pPr>
    <w:rPr>
      <w:b/>
    </w:rPr>
  </w:style>
  <w:style w:type="paragraph" w:customStyle="1" w:styleId="TableNoBR">
    <w:name w:val="Table_No_BR"/>
    <w:basedOn w:val="Normal"/>
    <w:next w:val="TabletitleBR"/>
    <w:rsid w:val="00570165"/>
    <w:pPr>
      <w:keepNext/>
      <w:spacing w:before="560" w:after="120"/>
      <w:jc w:val="center"/>
    </w:pPr>
    <w:rPr>
      <w:caps/>
    </w:rPr>
  </w:style>
  <w:style w:type="paragraph" w:customStyle="1" w:styleId="Tableref">
    <w:name w:val="Table_ref"/>
    <w:basedOn w:val="Normal"/>
    <w:next w:val="TabletitleBR"/>
    <w:rsid w:val="00570165"/>
    <w:pPr>
      <w:keepNext/>
      <w:spacing w:before="0" w:after="120"/>
      <w:jc w:val="center"/>
    </w:pPr>
  </w:style>
  <w:style w:type="paragraph" w:customStyle="1" w:styleId="Tabletext">
    <w:name w:val="Table_text"/>
    <w:basedOn w:val="Normal"/>
    <w:rsid w:val="0057016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57016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570165"/>
  </w:style>
  <w:style w:type="paragraph" w:customStyle="1" w:styleId="Title3">
    <w:name w:val="Title 3"/>
    <w:basedOn w:val="Title2"/>
    <w:next w:val="Normal"/>
    <w:rsid w:val="00570165"/>
    <w:rPr>
      <w:caps w:val="0"/>
    </w:rPr>
  </w:style>
  <w:style w:type="paragraph" w:customStyle="1" w:styleId="Title4">
    <w:name w:val="Title 4"/>
    <w:basedOn w:val="Title3"/>
    <w:next w:val="Heading1"/>
    <w:rsid w:val="00570165"/>
    <w:rPr>
      <w:b/>
    </w:rPr>
  </w:style>
  <w:style w:type="paragraph" w:customStyle="1" w:styleId="toc0">
    <w:name w:val="toc 0"/>
    <w:basedOn w:val="Normal"/>
    <w:next w:val="TOC1"/>
    <w:rsid w:val="00570165"/>
    <w:pPr>
      <w:tabs>
        <w:tab w:val="clear" w:pos="794"/>
        <w:tab w:val="clear" w:pos="1191"/>
        <w:tab w:val="clear" w:pos="1588"/>
        <w:tab w:val="clear" w:pos="1985"/>
        <w:tab w:val="right" w:pos="9639"/>
      </w:tabs>
    </w:pPr>
    <w:rPr>
      <w:b/>
    </w:rPr>
  </w:style>
  <w:style w:type="paragraph" w:styleId="TOC1">
    <w:name w:val="toc 1"/>
    <w:basedOn w:val="Normal"/>
    <w:semiHidden/>
    <w:rsid w:val="0057016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570165"/>
    <w:pPr>
      <w:spacing w:before="80"/>
      <w:ind w:left="1531" w:hanging="851"/>
    </w:pPr>
  </w:style>
  <w:style w:type="paragraph" w:styleId="TOC3">
    <w:name w:val="toc 3"/>
    <w:basedOn w:val="TOC2"/>
    <w:semiHidden/>
    <w:rsid w:val="00570165"/>
  </w:style>
  <w:style w:type="paragraph" w:styleId="TOC4">
    <w:name w:val="toc 4"/>
    <w:basedOn w:val="TOC3"/>
    <w:semiHidden/>
    <w:rsid w:val="00570165"/>
  </w:style>
  <w:style w:type="paragraph" w:styleId="TOC5">
    <w:name w:val="toc 5"/>
    <w:basedOn w:val="TOC4"/>
    <w:semiHidden/>
    <w:rsid w:val="00570165"/>
  </w:style>
  <w:style w:type="paragraph" w:styleId="TOC6">
    <w:name w:val="toc 6"/>
    <w:basedOn w:val="TOC4"/>
    <w:semiHidden/>
    <w:rsid w:val="00570165"/>
  </w:style>
  <w:style w:type="paragraph" w:styleId="TOC7">
    <w:name w:val="toc 7"/>
    <w:basedOn w:val="TOC4"/>
    <w:semiHidden/>
    <w:rsid w:val="00570165"/>
  </w:style>
  <w:style w:type="paragraph" w:styleId="TOC8">
    <w:name w:val="toc 8"/>
    <w:basedOn w:val="TOC4"/>
    <w:semiHidden/>
    <w:rsid w:val="00570165"/>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character" w:styleId="Hyperlink">
    <w:name w:val="Hyperlink"/>
    <w:aliases w:val="超级链接"/>
    <w:rsid w:val="00EA7326"/>
    <w:rPr>
      <w:color w:val="0000FF"/>
      <w:u w:val="single"/>
    </w:rPr>
  </w:style>
  <w:style w:type="paragraph" w:customStyle="1" w:styleId="Docnumber">
    <w:name w:val="Docnumber"/>
    <w:basedOn w:val="Normal"/>
    <w:link w:val="DocnumberChar"/>
    <w:rsid w:val="00AF5B26"/>
    <w:pPr>
      <w:jc w:val="right"/>
    </w:pPr>
    <w:rPr>
      <w:b/>
      <w:bCs/>
      <w:sz w:val="40"/>
    </w:rPr>
  </w:style>
  <w:style w:type="character" w:customStyle="1" w:styleId="DocnumberChar">
    <w:name w:val="Docnumber Char"/>
    <w:basedOn w:val="DefaultParagraphFont"/>
    <w:link w:val="Docnumber"/>
    <w:rsid w:val="00AF5B26"/>
    <w:rPr>
      <w:b/>
      <w:bCs/>
      <w:sz w:val="40"/>
      <w:lang w:val="en-GB" w:eastAsia="en-US"/>
    </w:rPr>
  </w:style>
  <w:style w:type="paragraph" w:styleId="ListParagraph">
    <w:name w:val="List Paragraph"/>
    <w:basedOn w:val="Normal"/>
    <w:uiPriority w:val="34"/>
    <w:qFormat/>
    <w:rsid w:val="00051292"/>
    <w:pPr>
      <w:ind w:firstLineChars="200" w:firstLine="420"/>
    </w:pPr>
  </w:style>
  <w:style w:type="character" w:styleId="CommentReference">
    <w:name w:val="annotation reference"/>
    <w:basedOn w:val="DefaultParagraphFont"/>
    <w:rsid w:val="00387359"/>
    <w:rPr>
      <w:sz w:val="16"/>
      <w:szCs w:val="16"/>
    </w:rPr>
  </w:style>
  <w:style w:type="paragraph" w:styleId="CommentText">
    <w:name w:val="annotation text"/>
    <w:basedOn w:val="Normal"/>
    <w:link w:val="CommentTextChar"/>
    <w:rsid w:val="00387359"/>
    <w:rPr>
      <w:sz w:val="20"/>
    </w:rPr>
  </w:style>
  <w:style w:type="character" w:customStyle="1" w:styleId="CommentTextChar">
    <w:name w:val="Comment Text Char"/>
    <w:basedOn w:val="DefaultParagraphFont"/>
    <w:link w:val="CommentText"/>
    <w:rsid w:val="00387359"/>
    <w:rPr>
      <w:lang w:val="en-GB" w:eastAsia="en-US"/>
    </w:rPr>
  </w:style>
  <w:style w:type="paragraph" w:styleId="CommentSubject">
    <w:name w:val="annotation subject"/>
    <w:basedOn w:val="CommentText"/>
    <w:next w:val="CommentText"/>
    <w:link w:val="CommentSubjectChar"/>
    <w:rsid w:val="00387359"/>
    <w:rPr>
      <w:b/>
      <w:bCs/>
    </w:rPr>
  </w:style>
  <w:style w:type="character" w:customStyle="1" w:styleId="CommentSubjectChar">
    <w:name w:val="Comment Subject Char"/>
    <w:basedOn w:val="CommentTextChar"/>
    <w:link w:val="CommentSubject"/>
    <w:rsid w:val="00387359"/>
    <w:rPr>
      <w:b/>
      <w:bCs/>
      <w:lang w:val="en-GB" w:eastAsia="en-US"/>
    </w:rPr>
  </w:style>
  <w:style w:type="paragraph" w:styleId="BalloonText">
    <w:name w:val="Balloon Text"/>
    <w:basedOn w:val="Normal"/>
    <w:link w:val="BalloonTextChar"/>
    <w:rsid w:val="00387359"/>
    <w:pPr>
      <w:spacing w:before="0"/>
    </w:pPr>
    <w:rPr>
      <w:rFonts w:ascii="Tahoma" w:hAnsi="Tahoma" w:cs="Tahoma"/>
      <w:sz w:val="16"/>
      <w:szCs w:val="16"/>
    </w:rPr>
  </w:style>
  <w:style w:type="character" w:customStyle="1" w:styleId="BalloonTextChar">
    <w:name w:val="Balloon Text Char"/>
    <w:basedOn w:val="DefaultParagraphFont"/>
    <w:link w:val="BalloonText"/>
    <w:rsid w:val="00387359"/>
    <w:rPr>
      <w:rFonts w:ascii="Tahoma" w:hAnsi="Tahoma" w:cs="Tahoma"/>
      <w:sz w:val="16"/>
      <w:szCs w:val="16"/>
      <w:lang w:val="en-GB" w:eastAsia="en-US"/>
    </w:rPr>
  </w:style>
  <w:style w:type="character" w:customStyle="1" w:styleId="FootnoteTextChar">
    <w:name w:val="Footnote Text Char"/>
    <w:basedOn w:val="DefaultParagraphFont"/>
    <w:link w:val="FootnoteText"/>
    <w:semiHidden/>
    <w:rsid w:val="008A648B"/>
    <w:rPr>
      <w:sz w:val="24"/>
      <w:lang w:val="en-GB" w:eastAsia="en-US"/>
    </w:rPr>
  </w:style>
  <w:style w:type="character" w:customStyle="1" w:styleId="HeaderChar">
    <w:name w:val="Header Char"/>
    <w:basedOn w:val="DefaultParagraphFont"/>
    <w:link w:val="Header"/>
    <w:rsid w:val="008A648B"/>
    <w:rPr>
      <w:sz w:val="18"/>
      <w:lang w:val="en-GB" w:eastAsia="en-US"/>
    </w:rPr>
  </w:style>
  <w:style w:type="character" w:styleId="FollowedHyperlink">
    <w:name w:val="FollowedHyperlink"/>
    <w:basedOn w:val="DefaultParagraphFont"/>
    <w:semiHidden/>
    <w:unhideWhenUsed/>
    <w:rsid w:val="008A64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46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recommendations/rec.aspx?rec=11638" TargetMode="External"/><Relationship Id="rId18" Type="http://schemas.openxmlformats.org/officeDocument/2006/relationships/hyperlink" Target="http://www.itu.int/itu-t/workprog/wp_item.aspx?isn=8620" TargetMode="External"/><Relationship Id="rId26" Type="http://schemas.openxmlformats.org/officeDocument/2006/relationships/hyperlink" Target="http://www.itu.int/ITU-T/workprog/wp_item.aspx?isn=10018" TargetMode="External"/><Relationship Id="rId3" Type="http://schemas.openxmlformats.org/officeDocument/2006/relationships/settings" Target="settings.xml"/><Relationship Id="rId21" Type="http://schemas.openxmlformats.org/officeDocument/2006/relationships/hyperlink" Target="http://www.itu.int/ITU-T/workprog/wp_item.aspx?isn=8779" TargetMode="External"/><Relationship Id="rId34" Type="http://schemas.openxmlformats.org/officeDocument/2006/relationships/customXml" Target="../customXml/item3.xml"/><Relationship Id="rId7" Type="http://schemas.openxmlformats.org/officeDocument/2006/relationships/hyperlink" Target="http://ifa.itu.int/t/2013/ls/sg5/sp15-sg5-oLS-00109.docx" TargetMode="External"/><Relationship Id="rId12" Type="http://schemas.openxmlformats.org/officeDocument/2006/relationships/footer" Target="footer1.xml"/><Relationship Id="rId17" Type="http://schemas.openxmlformats.org/officeDocument/2006/relationships/hyperlink" Target="http://www.itu.int/ITU-T/recommendations/rec.aspx?id=11430" TargetMode="External"/><Relationship Id="rId25" Type="http://schemas.openxmlformats.org/officeDocument/2006/relationships/hyperlink" Target="http://www.itu.int/ITU-T/recommendations/rec.aspx?rec=12136"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app:ds:flow" TargetMode="External"/><Relationship Id="rId20" Type="http://schemas.openxmlformats.org/officeDocument/2006/relationships/hyperlink" Target="http://www.itu.int/ITU-T/recommendations/rec.aspx?rec=12135"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itu.int/ITU-T/workprog/wp_item.aspx?isn=9653" TargetMode="Externa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app:ds:operation" TargetMode="External"/><Relationship Id="rId23" Type="http://schemas.openxmlformats.org/officeDocument/2006/relationships/hyperlink" Target="http://www.itu.int/ITU-T/recommendations/rec.aspx?rec=11904" TargetMode="Externa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www.itu.int/ITU-T/workprog/wp_item.aspx?isn=862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xtranet.itu.int/sites/itu-t/Roadmaps/SitePages/JCA-Cloud-Standard.aspx" TargetMode="External"/><Relationship Id="rId14" Type="http://schemas.openxmlformats.org/officeDocument/2006/relationships/hyperlink" Target="http://www.itu.int/ITU-T/recommendations/rec.aspx?rec=11429" TargetMode="External"/><Relationship Id="rId22" Type="http://schemas.openxmlformats.org/officeDocument/2006/relationships/hyperlink" Target="http://www.itu.int/ITU-T/recommendations/rec.aspx?rec=11431" TargetMode="External"/><Relationship Id="rId27" Type="http://schemas.openxmlformats.org/officeDocument/2006/relationships/hyperlink" Target="http://www.itu.int/ITU-T/workprog/wp_item.aspx?isn=8785" TargetMode="External"/><Relationship Id="rId30" Type="http://schemas.openxmlformats.org/officeDocument/2006/relationships/fontTable" Target="fontTable.xml"/><Relationship Id="rId8" Type="http://schemas.openxmlformats.org/officeDocument/2006/relationships/hyperlink" Target="mailto:paolo.gemma@huawe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TSB-Reference\Templates\TSBAuthorsTemplate\ItutLiais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2C98282D72754889C9B1F1491BD025" ma:contentTypeVersion="3" ma:contentTypeDescription="Create a new document." ma:contentTypeScope="" ma:versionID="9ce1d2e44eebb3ecae6b429d2f702645">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F898B1-AF74-4949-B919-BEDD28D672DF}"/>
</file>

<file path=customXml/itemProps2.xml><?xml version="1.0" encoding="utf-8"?>
<ds:datastoreItem xmlns:ds="http://schemas.openxmlformats.org/officeDocument/2006/customXml" ds:itemID="{05ADED99-26F6-40BC-8B9D-6DE3F9833C50}"/>
</file>

<file path=customXml/itemProps3.xml><?xml version="1.0" encoding="utf-8"?>
<ds:datastoreItem xmlns:ds="http://schemas.openxmlformats.org/officeDocument/2006/customXml" ds:itemID="{9EB7AACB-36DB-4864-89C0-BB95BCE42D64}"/>
</file>

<file path=docProps/app.xml><?xml version="1.0" encoding="utf-8"?>
<Properties xmlns="http://schemas.openxmlformats.org/officeDocument/2006/extended-properties" xmlns:vt="http://schemas.openxmlformats.org/officeDocument/2006/docPropsVTypes">
  <Template>ItutLiaison-Template.dot</Template>
  <TotalTime>0</TotalTime>
  <Pages>6</Pages>
  <Words>1633</Words>
  <Characters>10473</Characters>
  <Application>Microsoft Office Word</Application>
  <DocSecurity>0</DocSecurity>
  <Lines>452</Lines>
  <Paragraphs>192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LS/i/r on Invitation to update the information in the cloud computing roadmap (reply to JCA-Cloud-LS23 and LS26)</vt:lpstr>
      <vt:lpstr>LS inviting GESI members to make contributions to Q14/5 on low cost sustainable telecom infrastructure and Q15/5 on ICT and Adaptation</vt:lpstr>
    </vt:vector>
  </TitlesOfParts>
  <Manager>ITU-T</Manager>
  <Company>International Telecommunication Union (ITU)</Company>
  <LinksUpToDate>false</LinksUpToDate>
  <CharactersWithSpaces>11940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LS/i/r on Invitation to update the information in the cloud computing roadmap (reply to JCA-Cloud-LS23 and LS26) [from ITU-T Study Group 5]</dc:title>
  <dc:creator>ITU-T Study Group 5</dc:creator>
  <cp:keywords/>
  <dc:description>jca-cloud-174 clean.docx  For: _x000d_Document date: _x000d_Saved by ITU51008698 at 15:45:44 on 26.02.2015</dc:description>
  <cp:lastModifiedBy>Kagermazova, Svetlana</cp:lastModifiedBy>
  <cp:revision>3</cp:revision>
  <cp:lastPrinted>2014-12-10T16:28:00Z</cp:lastPrinted>
  <dcterms:created xsi:type="dcterms:W3CDTF">2015-02-26T14:45:00Z</dcterms:created>
  <dcterms:modified xsi:type="dcterms:W3CDTF">2015-02-26T14:45:00Z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jca-cloud-174 clean.docx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ITU-T Study Group 5</vt:lpwstr>
  </property>
  <property fmtid="{D5CDD505-2E9C-101B-9397-08002B2CF9AE}" pid="8" name="_NewReviewCycle">
    <vt:lpwstr/>
  </property>
  <property fmtid="{D5CDD505-2E9C-101B-9397-08002B2CF9AE}" pid="9" name="_new_ms_pID_72543">
    <vt:lpwstr>(3)M9IuMyaNluvuQ+FmHDlJFnXOE/JxhW+n8gW1Vd182gtyewl64aGNh7gm6Ph6eKKpo53sk4Wq_x000d_
ytHYVD5cRN9ff6m76q+uSBmUk64vupkkPw2nur6GxU+Ry4StUCty9mKmbpG74Kh1cdqYVkR9_x000d_
I+/r8qBsPf6c7qtoBABrAlSa0LSia5cHRUD8evbpkZhBxo7iE1u5q+ei9IOuPK2PAobOCmCG_x000d_
qpRWwE0yqrlJ2p8bbR</vt:lpwstr>
  </property>
  <property fmtid="{D5CDD505-2E9C-101B-9397-08002B2CF9AE}" pid="10" name="_new_ms_pID_725431">
    <vt:lpwstr>y59c89pvZBJ1J4n9lIg4M26GampwT7o5b6bQgpf9+npFluSqBqtWvE_x000d_
xtkDhK9Otq2tN++JkID5qLFXMZF8GgDz7JZ9JLyGZC31YquWlAWHdRfH4a30KICdpc2zKf7R_x000d_
pz5jYxgtwwygbqyH+938nicCBZ6sqTYrdNg95kJO1MefwHBlh2vhEWZYOWRsmgzMaufjvo/D_x000d_
viOdyA9UyWDANiLygHdt4lBUJBbZ0ui2vbc9</vt:lpwstr>
  </property>
  <property fmtid="{D5CDD505-2E9C-101B-9397-08002B2CF9AE}" pid="11" name="_new_ms_pID_725432">
    <vt:lpwstr>CO+iabYGn++v9yKAwiDBJA31r94JDvtOZ+qW_x000d_
e+/tNj8eBKtc6lxw3VnIG33fFkZ/3LS00W4/zdPZXxvtgMlTaQAS/05ddxNL6QSLGKhcDtiO_x000d_
Z2zkwd8iLlC5uPam90yKG6GztpipJlbR7N5O2F0zzOTI3zxUFYPJO3PlzYoG7jp3Ub8+Vemh_x000d_
6dvhaMm6xUB1Mjk15bcyEfOmM+PlbOyI99U=</vt:lpwstr>
  </property>
  <property fmtid="{D5CDD505-2E9C-101B-9397-08002B2CF9AE}" pid="12" name="sflag">
    <vt:lpwstr>1418924023</vt:lpwstr>
  </property>
  <property fmtid="{D5CDD505-2E9C-101B-9397-08002B2CF9AE}" pid="13" name="ContentTypeId">
    <vt:lpwstr>0x010100052C98282D72754889C9B1F1491BD025</vt:lpwstr>
  </property>
</Properties>
</file>