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CB439" w14:textId="42C2988D" w:rsidR="009654AB" w:rsidRPr="009654AB" w:rsidRDefault="009654AB" w:rsidP="009654AB">
      <w:pPr>
        <w:pStyle w:val="Heading1"/>
        <w:tabs>
          <w:tab w:val="clear" w:pos="794"/>
          <w:tab w:val="clear" w:pos="1191"/>
          <w:tab w:val="clear" w:pos="1588"/>
          <w:tab w:val="clear" w:pos="1985"/>
          <w:tab w:val="left" w:pos="567"/>
          <w:tab w:val="left" w:pos="1134"/>
          <w:tab w:val="left" w:pos="1701"/>
          <w:tab w:val="left" w:pos="2268"/>
        </w:tabs>
        <w:spacing w:before="120" w:after="360"/>
        <w:jc w:val="center"/>
        <w:rPr>
          <w:rFonts w:asciiTheme="minorHAnsi" w:eastAsia="DengXian Light" w:hAnsiTheme="minorHAnsi" w:cstheme="minorHAnsi"/>
          <w:sz w:val="28"/>
          <w:szCs w:val="28"/>
        </w:rPr>
      </w:pPr>
      <w:r w:rsidRPr="009654AB">
        <w:rPr>
          <w:rFonts w:asciiTheme="minorHAnsi" w:hAnsiTheme="minorHAnsi" w:cstheme="minorHAnsi"/>
          <w:sz w:val="28"/>
          <w:szCs w:val="28"/>
        </w:rPr>
        <w:t>Guidance to applicants seeking assignment of E.164 and E.212 global resources</w:t>
      </w:r>
    </w:p>
    <w:p w14:paraId="592BD001" w14:textId="28FF9751" w:rsidR="00835D34" w:rsidRPr="0091426D" w:rsidRDefault="00835D34" w:rsidP="00D70BEE">
      <w:pPr>
        <w:pStyle w:val="Heading1"/>
        <w:tabs>
          <w:tab w:val="clear" w:pos="794"/>
          <w:tab w:val="clear" w:pos="1191"/>
          <w:tab w:val="clear" w:pos="1588"/>
          <w:tab w:val="clear" w:pos="1985"/>
          <w:tab w:val="left" w:pos="567"/>
          <w:tab w:val="left" w:pos="1134"/>
          <w:tab w:val="left" w:pos="1701"/>
          <w:tab w:val="left" w:pos="2268"/>
        </w:tabs>
        <w:rPr>
          <w:rFonts w:asciiTheme="minorHAnsi" w:eastAsia="DengXian Light" w:hAnsiTheme="minorHAnsi" w:cstheme="minorHAnsi"/>
          <w:szCs w:val="24"/>
        </w:rPr>
      </w:pPr>
      <w:r w:rsidRPr="0091426D">
        <w:rPr>
          <w:rFonts w:asciiTheme="minorHAnsi" w:eastAsia="DengXian Light" w:hAnsiTheme="minorHAnsi" w:cstheme="minorHAnsi"/>
          <w:szCs w:val="24"/>
        </w:rPr>
        <w:t>Introduction</w:t>
      </w:r>
    </w:p>
    <w:p w14:paraId="00D7A3D6" w14:textId="76C48339" w:rsidR="00835D34" w:rsidRPr="0091426D" w:rsidRDefault="00056170" w:rsidP="00150A86">
      <w:pPr>
        <w:tabs>
          <w:tab w:val="left" w:pos="567"/>
          <w:tab w:val="left" w:pos="1134"/>
          <w:tab w:val="left" w:pos="1701"/>
          <w:tab w:val="left" w:pos="2268"/>
        </w:tabs>
        <w:rPr>
          <w:rFonts w:asciiTheme="minorHAnsi" w:hAnsiTheme="minorHAnsi" w:cstheme="minorHAnsi"/>
          <w:lang w:eastAsia="en-US"/>
        </w:rPr>
      </w:pPr>
      <w:r w:rsidRPr="0091426D">
        <w:rPr>
          <w:rFonts w:asciiTheme="minorHAnsi" w:hAnsiTheme="minorHAnsi" w:cstheme="minorHAnsi"/>
          <w:lang w:eastAsia="en-US"/>
        </w:rPr>
        <w:t xml:space="preserve">As agreed by </w:t>
      </w:r>
      <w:r w:rsidRPr="00EA3397">
        <w:rPr>
          <w:rFonts w:asciiTheme="minorHAnsi" w:hAnsiTheme="minorHAnsi" w:cstheme="minorHAnsi"/>
          <w:lang w:eastAsia="en-US"/>
        </w:rPr>
        <w:t>ITU-T Study Group 2 at its meeting on 19-28 June 2024</w:t>
      </w:r>
      <w:r w:rsidR="00A7495E" w:rsidRPr="00EA3397">
        <w:rPr>
          <w:rFonts w:asciiTheme="minorHAnsi" w:hAnsiTheme="minorHAnsi" w:cstheme="minorHAnsi"/>
          <w:lang w:eastAsia="en-US"/>
        </w:rPr>
        <w:t xml:space="preserve"> (please refer to </w:t>
      </w:r>
      <w:r w:rsidR="0034110C" w:rsidRPr="00EA3397">
        <w:rPr>
          <w:rFonts w:asciiTheme="minorHAnsi" w:hAnsiTheme="minorHAnsi" w:cstheme="minorHAnsi"/>
          <w:lang w:eastAsia="en-US"/>
        </w:rPr>
        <w:t xml:space="preserve">document </w:t>
      </w:r>
      <w:hyperlink r:id="rId10" w:history="1">
        <w:r w:rsidR="0034110C" w:rsidRPr="00EA3397">
          <w:rPr>
            <w:rStyle w:val="Hyperlink"/>
            <w:rFonts w:asciiTheme="minorHAnsi" w:hAnsiTheme="minorHAnsi" w:cstheme="minorHAnsi"/>
            <w:lang w:eastAsia="en-US"/>
          </w:rPr>
          <w:t>SG2-TD535/PLEN</w:t>
        </w:r>
      </w:hyperlink>
      <w:r w:rsidR="0034110C" w:rsidRPr="00EA3397">
        <w:rPr>
          <w:rFonts w:asciiTheme="minorHAnsi" w:hAnsiTheme="minorHAnsi" w:cstheme="minorHAnsi"/>
          <w:lang w:eastAsia="en-US"/>
        </w:rPr>
        <w:t>)</w:t>
      </w:r>
      <w:r w:rsidRPr="00EA3397">
        <w:rPr>
          <w:rFonts w:asciiTheme="minorHAnsi" w:hAnsiTheme="minorHAnsi" w:cstheme="minorHAnsi"/>
          <w:lang w:eastAsia="en-US"/>
        </w:rPr>
        <w:t>, t</w:t>
      </w:r>
      <w:r w:rsidR="0079021B" w:rsidRPr="00EA3397">
        <w:rPr>
          <w:rFonts w:asciiTheme="minorHAnsi" w:hAnsiTheme="minorHAnsi" w:cstheme="minorHAnsi"/>
          <w:lang w:eastAsia="en-US"/>
        </w:rPr>
        <w:t>his document provides guidance to applicants seeking assignment of global resources directly from the ITU. The Numbering Coordination Team (NCT) reviews applications for global resources and</w:t>
      </w:r>
      <w:r w:rsidR="0079021B" w:rsidRPr="0091426D">
        <w:rPr>
          <w:rFonts w:asciiTheme="minorHAnsi" w:hAnsiTheme="minorHAnsi" w:cstheme="minorHAnsi"/>
          <w:lang w:eastAsia="en-US"/>
        </w:rPr>
        <w:t xml:space="preserve"> provides advice to the Director of the TSB. The applications submitted to the NCT vary in quality and amount of detail provided. This </w:t>
      </w:r>
      <w:r w:rsidR="007971F7" w:rsidRPr="0091426D">
        <w:rPr>
          <w:rFonts w:asciiTheme="minorHAnsi" w:hAnsiTheme="minorHAnsi" w:cstheme="minorHAnsi"/>
          <w:lang w:eastAsia="en-US"/>
        </w:rPr>
        <w:t>document</w:t>
      </w:r>
      <w:r w:rsidR="0079021B" w:rsidRPr="0091426D">
        <w:rPr>
          <w:rFonts w:asciiTheme="minorHAnsi" w:hAnsiTheme="minorHAnsi" w:cstheme="minorHAnsi"/>
          <w:lang w:eastAsia="en-US"/>
        </w:rPr>
        <w:t xml:space="preserve"> provides guidance on the preparation of applications that would facilitate the review of the applications by the NCT.</w:t>
      </w:r>
    </w:p>
    <w:p w14:paraId="4BC8C5D9" w14:textId="0BCDCE6C" w:rsidR="00864F38" w:rsidRPr="0091426D" w:rsidRDefault="00864F38" w:rsidP="00150A86">
      <w:pPr>
        <w:tabs>
          <w:tab w:val="left" w:pos="567"/>
          <w:tab w:val="left" w:pos="1134"/>
          <w:tab w:val="left" w:pos="1701"/>
          <w:tab w:val="left" w:pos="2268"/>
        </w:tabs>
        <w:rPr>
          <w:rFonts w:asciiTheme="minorHAnsi" w:hAnsiTheme="minorHAnsi" w:cstheme="minorHAnsi"/>
          <w:lang w:eastAsia="en-US"/>
        </w:rPr>
      </w:pPr>
      <w:r w:rsidRPr="0091426D">
        <w:rPr>
          <w:rFonts w:asciiTheme="minorHAnsi" w:hAnsiTheme="minorHAnsi" w:cstheme="minorHAnsi"/>
          <w:lang w:eastAsia="en-US"/>
        </w:rPr>
        <w:t>The latest templates for applications can be downloaded here:</w:t>
      </w:r>
      <w:r w:rsidRPr="0091426D">
        <w:rPr>
          <w:rFonts w:asciiTheme="minorHAnsi" w:hAnsiTheme="minorHAnsi" w:cstheme="minorHAnsi"/>
          <w:lang w:eastAsia="en-US"/>
        </w:rPr>
        <w:br/>
      </w:r>
      <w:hyperlink r:id="rId11" w:history="1">
        <w:r w:rsidRPr="0091426D">
          <w:rPr>
            <w:rStyle w:val="Hyperlink"/>
            <w:rFonts w:asciiTheme="minorHAnsi" w:hAnsiTheme="minorHAnsi" w:cstheme="minorHAnsi"/>
            <w:lang w:eastAsia="en-US"/>
          </w:rPr>
          <w:t>https://www.itu.int/oth/T0207000003/en</w:t>
        </w:r>
      </w:hyperlink>
      <w:r w:rsidRPr="0091426D">
        <w:rPr>
          <w:rFonts w:asciiTheme="minorHAnsi" w:hAnsiTheme="minorHAnsi" w:cstheme="minorHAnsi"/>
          <w:lang w:eastAsia="en-US"/>
        </w:rPr>
        <w:t xml:space="preserve"> </w:t>
      </w:r>
    </w:p>
    <w:p w14:paraId="6BB50AAD" w14:textId="77777777" w:rsidR="00835D34" w:rsidRPr="0091426D" w:rsidRDefault="00835D34" w:rsidP="00D70BEE">
      <w:pPr>
        <w:pStyle w:val="Heading1"/>
        <w:tabs>
          <w:tab w:val="clear" w:pos="794"/>
          <w:tab w:val="clear" w:pos="1191"/>
          <w:tab w:val="clear" w:pos="1588"/>
          <w:tab w:val="clear" w:pos="1985"/>
          <w:tab w:val="left" w:pos="567"/>
          <w:tab w:val="left" w:pos="1134"/>
          <w:tab w:val="left" w:pos="1701"/>
          <w:tab w:val="left" w:pos="2268"/>
        </w:tabs>
        <w:rPr>
          <w:rFonts w:asciiTheme="minorHAnsi" w:eastAsia="DengXian Light" w:hAnsiTheme="minorHAnsi" w:cstheme="minorHAnsi"/>
          <w:szCs w:val="24"/>
        </w:rPr>
      </w:pPr>
      <w:r w:rsidRPr="0091426D">
        <w:rPr>
          <w:rFonts w:asciiTheme="minorHAnsi" w:eastAsia="DengXian Light" w:hAnsiTheme="minorHAnsi" w:cstheme="minorHAnsi"/>
          <w:szCs w:val="24"/>
        </w:rPr>
        <w:t>Guidance</w:t>
      </w:r>
    </w:p>
    <w:p w14:paraId="1B67890F" w14:textId="4395F8F1" w:rsidR="00835D34" w:rsidRPr="0091426D" w:rsidRDefault="00835D34" w:rsidP="00150A86">
      <w:pPr>
        <w:pStyle w:val="enumlev1"/>
        <w:tabs>
          <w:tab w:val="clear" w:pos="794"/>
          <w:tab w:val="clear" w:pos="1191"/>
          <w:tab w:val="clear" w:pos="1588"/>
          <w:tab w:val="clear" w:pos="1985"/>
          <w:tab w:val="left" w:pos="567"/>
          <w:tab w:val="left" w:pos="1134"/>
          <w:tab w:val="left" w:pos="1701"/>
          <w:tab w:val="left" w:pos="2268"/>
        </w:tabs>
        <w:spacing w:before="120"/>
        <w:ind w:left="567"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t>All applications should stand alone</w:t>
      </w:r>
      <w:r w:rsidR="0079021B" w:rsidRPr="0091426D">
        <w:rPr>
          <w:rFonts w:asciiTheme="minorHAnsi" w:eastAsia="Calibri" w:hAnsiTheme="minorHAnsi" w:cstheme="minorHAnsi"/>
          <w:szCs w:val="24"/>
        </w:rPr>
        <w:t xml:space="preserve">, </w:t>
      </w:r>
      <w:r w:rsidR="00A0008A">
        <w:rPr>
          <w:rFonts w:asciiTheme="minorHAnsi" w:eastAsia="Calibri" w:hAnsiTheme="minorHAnsi" w:cstheme="minorHAnsi"/>
          <w:szCs w:val="24"/>
        </w:rPr>
        <w:t>e.g</w:t>
      </w:r>
      <w:r w:rsidR="0079021B" w:rsidRPr="0091426D">
        <w:rPr>
          <w:rFonts w:asciiTheme="minorHAnsi" w:eastAsia="Calibri" w:hAnsiTheme="minorHAnsi" w:cstheme="minorHAnsi"/>
          <w:szCs w:val="24"/>
        </w:rPr>
        <w:t>.,</w:t>
      </w:r>
      <w:r w:rsidRPr="0091426D">
        <w:rPr>
          <w:rFonts w:asciiTheme="minorHAnsi" w:eastAsia="Calibri" w:hAnsiTheme="minorHAnsi" w:cstheme="minorHAnsi"/>
          <w:szCs w:val="24"/>
        </w:rPr>
        <w:t xml:space="preserve"> E.212 and E.164 applications should be </w:t>
      </w:r>
      <w:r w:rsidR="0079021B" w:rsidRPr="0091426D">
        <w:rPr>
          <w:rFonts w:asciiTheme="minorHAnsi" w:eastAsia="Calibri" w:hAnsiTheme="minorHAnsi" w:cstheme="minorHAnsi"/>
          <w:szCs w:val="24"/>
        </w:rPr>
        <w:t>submitted separately</w:t>
      </w:r>
      <w:r w:rsidRPr="0091426D">
        <w:rPr>
          <w:rFonts w:asciiTheme="minorHAnsi" w:eastAsia="Calibri" w:hAnsiTheme="minorHAnsi" w:cstheme="minorHAnsi"/>
          <w:szCs w:val="24"/>
        </w:rPr>
        <w:t>.</w:t>
      </w:r>
    </w:p>
    <w:p w14:paraId="6E01CD5A" w14:textId="095D9DC6" w:rsidR="00835D34" w:rsidRPr="0091426D" w:rsidRDefault="00835D34" w:rsidP="00150A86">
      <w:pPr>
        <w:pStyle w:val="enumlev1"/>
        <w:tabs>
          <w:tab w:val="clear" w:pos="794"/>
          <w:tab w:val="clear" w:pos="1191"/>
          <w:tab w:val="clear" w:pos="1588"/>
          <w:tab w:val="clear" w:pos="1985"/>
          <w:tab w:val="left" w:pos="567"/>
          <w:tab w:val="left" w:pos="1134"/>
          <w:tab w:val="left" w:pos="1701"/>
          <w:tab w:val="left" w:pos="2268"/>
        </w:tabs>
        <w:spacing w:before="120"/>
        <w:ind w:left="567"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t>The justification for the application should reflect the purpose for which it is required. At the time of writing, M2M/IoT is not defined as a service. Therefore, when the criteria require a list of planned services, stating that the use of global resource is for M2M/IoT by itself is not sufficient. The applicant should indicate what types of M2M/IoT services will be using the number resources.</w:t>
      </w:r>
    </w:p>
    <w:p w14:paraId="562FEBC8" w14:textId="42F0CC78" w:rsidR="00835D34" w:rsidRPr="0091426D" w:rsidRDefault="00835D34" w:rsidP="00150A86">
      <w:pPr>
        <w:pStyle w:val="enumlev1"/>
        <w:tabs>
          <w:tab w:val="clear" w:pos="794"/>
          <w:tab w:val="clear" w:pos="1191"/>
          <w:tab w:val="clear" w:pos="1588"/>
          <w:tab w:val="clear" w:pos="1985"/>
          <w:tab w:val="left" w:pos="567"/>
          <w:tab w:val="left" w:pos="1134"/>
          <w:tab w:val="left" w:pos="1701"/>
          <w:tab w:val="left" w:pos="2268"/>
        </w:tabs>
        <w:spacing w:before="120"/>
        <w:ind w:left="567"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t>The description of the use of the global resource should include for each resource being applied for</w:t>
      </w:r>
      <w:r w:rsidR="0079021B" w:rsidRPr="0091426D">
        <w:rPr>
          <w:rFonts w:asciiTheme="minorHAnsi" w:eastAsia="Calibri" w:hAnsiTheme="minorHAnsi" w:cstheme="minorHAnsi"/>
          <w:szCs w:val="24"/>
        </w:rPr>
        <w:t>:</w:t>
      </w:r>
    </w:p>
    <w:p w14:paraId="07753BB0" w14:textId="66B246FC" w:rsidR="00835D34" w:rsidRPr="0091426D" w:rsidRDefault="00835D34" w:rsidP="00150A86">
      <w:pPr>
        <w:pStyle w:val="enumlev2"/>
        <w:tabs>
          <w:tab w:val="clear" w:pos="794"/>
          <w:tab w:val="clear" w:pos="1191"/>
          <w:tab w:val="clear" w:pos="1588"/>
          <w:tab w:val="clear" w:pos="1985"/>
          <w:tab w:val="left" w:pos="567"/>
          <w:tab w:val="left" w:pos="1134"/>
          <w:tab w:val="left" w:pos="1701"/>
          <w:tab w:val="left" w:pos="2268"/>
        </w:tabs>
        <w:spacing w:before="60"/>
        <w:ind w:left="1134"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r>
      <w:r w:rsidR="0079021B" w:rsidRPr="0091426D">
        <w:rPr>
          <w:rFonts w:asciiTheme="minorHAnsi" w:eastAsia="Calibri" w:hAnsiTheme="minorHAnsi" w:cstheme="minorHAnsi"/>
          <w:szCs w:val="24"/>
        </w:rPr>
        <w:t xml:space="preserve">the </w:t>
      </w:r>
      <w:r w:rsidR="0032314A" w:rsidRPr="0091426D">
        <w:rPr>
          <w:rFonts w:asciiTheme="minorHAnsi" w:eastAsia="Calibri" w:hAnsiTheme="minorHAnsi" w:cstheme="minorHAnsi"/>
          <w:szCs w:val="24"/>
        </w:rPr>
        <w:t xml:space="preserve">network entities (such as MSC, GW, SMSC) </w:t>
      </w:r>
      <w:r w:rsidRPr="0091426D">
        <w:rPr>
          <w:rFonts w:asciiTheme="minorHAnsi" w:eastAsia="Calibri" w:hAnsiTheme="minorHAnsi" w:cstheme="minorHAnsi"/>
          <w:szCs w:val="24"/>
        </w:rPr>
        <w:t>to be used</w:t>
      </w:r>
      <w:r w:rsidR="00A0008A">
        <w:rPr>
          <w:rFonts w:asciiTheme="minorHAnsi" w:eastAsia="Calibri" w:hAnsiTheme="minorHAnsi" w:cstheme="minorHAnsi"/>
          <w:szCs w:val="24"/>
        </w:rPr>
        <w:t xml:space="preserve">, with the abbreviations spelt </w:t>
      </w:r>
      <w:proofErr w:type="gramStart"/>
      <w:r w:rsidR="00A0008A">
        <w:rPr>
          <w:rFonts w:asciiTheme="minorHAnsi" w:eastAsia="Calibri" w:hAnsiTheme="minorHAnsi" w:cstheme="minorHAnsi"/>
          <w:szCs w:val="24"/>
        </w:rPr>
        <w:t>out</w:t>
      </w:r>
      <w:r w:rsidR="0079021B" w:rsidRPr="0091426D">
        <w:rPr>
          <w:rFonts w:asciiTheme="minorHAnsi" w:eastAsia="Calibri" w:hAnsiTheme="minorHAnsi" w:cstheme="minorHAnsi"/>
          <w:szCs w:val="24"/>
        </w:rPr>
        <w:t>;</w:t>
      </w:r>
      <w:proofErr w:type="gramEnd"/>
    </w:p>
    <w:p w14:paraId="377F9539" w14:textId="06E7D976" w:rsidR="00835D34" w:rsidRPr="0091426D" w:rsidRDefault="00835D34" w:rsidP="00150A86">
      <w:pPr>
        <w:pStyle w:val="enumlev2"/>
        <w:tabs>
          <w:tab w:val="clear" w:pos="794"/>
          <w:tab w:val="clear" w:pos="1191"/>
          <w:tab w:val="clear" w:pos="1588"/>
          <w:tab w:val="clear" w:pos="1985"/>
          <w:tab w:val="left" w:pos="567"/>
          <w:tab w:val="left" w:pos="1134"/>
          <w:tab w:val="left" w:pos="1701"/>
          <w:tab w:val="left" w:pos="2268"/>
        </w:tabs>
        <w:spacing w:before="60"/>
        <w:ind w:left="1134"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t xml:space="preserve">the </w:t>
      </w:r>
      <w:r w:rsidR="0079021B" w:rsidRPr="0091426D">
        <w:rPr>
          <w:rFonts w:asciiTheme="minorHAnsi" w:eastAsia="Calibri" w:hAnsiTheme="minorHAnsi" w:cstheme="minorHAnsi"/>
          <w:szCs w:val="24"/>
        </w:rPr>
        <w:t xml:space="preserve">geographical </w:t>
      </w:r>
      <w:r w:rsidRPr="0091426D">
        <w:rPr>
          <w:rFonts w:asciiTheme="minorHAnsi" w:eastAsia="Calibri" w:hAnsiTheme="minorHAnsi" w:cstheme="minorHAnsi"/>
          <w:szCs w:val="24"/>
        </w:rPr>
        <w:t xml:space="preserve">locations of the </w:t>
      </w:r>
      <w:r w:rsidR="0032314A" w:rsidRPr="0091426D">
        <w:rPr>
          <w:rFonts w:asciiTheme="minorHAnsi" w:eastAsia="Calibri" w:hAnsiTheme="minorHAnsi" w:cstheme="minorHAnsi"/>
          <w:szCs w:val="24"/>
        </w:rPr>
        <w:t>network entities</w:t>
      </w:r>
      <w:r w:rsidR="0079021B" w:rsidRPr="0091426D">
        <w:rPr>
          <w:rFonts w:asciiTheme="minorHAnsi" w:eastAsia="Calibri" w:hAnsiTheme="minorHAnsi" w:cstheme="minorHAnsi"/>
          <w:szCs w:val="24"/>
        </w:rPr>
        <w:t xml:space="preserve"> (i.e., in at least two countries</w:t>
      </w:r>
      <w:proofErr w:type="gramStart"/>
      <w:r w:rsidR="0079021B" w:rsidRPr="0091426D">
        <w:rPr>
          <w:rFonts w:asciiTheme="minorHAnsi" w:eastAsia="Calibri" w:hAnsiTheme="minorHAnsi" w:cstheme="minorHAnsi"/>
          <w:szCs w:val="24"/>
        </w:rPr>
        <w:t>);</w:t>
      </w:r>
      <w:proofErr w:type="gramEnd"/>
    </w:p>
    <w:p w14:paraId="348C6DB8" w14:textId="078E3001" w:rsidR="00835D34" w:rsidRPr="0091426D" w:rsidRDefault="00835D34" w:rsidP="00150A86">
      <w:pPr>
        <w:pStyle w:val="enumlev2"/>
        <w:tabs>
          <w:tab w:val="clear" w:pos="794"/>
          <w:tab w:val="clear" w:pos="1191"/>
          <w:tab w:val="clear" w:pos="1588"/>
          <w:tab w:val="clear" w:pos="1985"/>
          <w:tab w:val="left" w:pos="567"/>
          <w:tab w:val="left" w:pos="1134"/>
          <w:tab w:val="left" w:pos="1701"/>
          <w:tab w:val="left" w:pos="2268"/>
        </w:tabs>
        <w:spacing w:before="60"/>
        <w:ind w:left="1134"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t xml:space="preserve">the messaging that would exist in support of the service that would be </w:t>
      </w:r>
      <w:proofErr w:type="gramStart"/>
      <w:r w:rsidRPr="0091426D">
        <w:rPr>
          <w:rFonts w:asciiTheme="minorHAnsi" w:eastAsia="Calibri" w:hAnsiTheme="minorHAnsi" w:cstheme="minorHAnsi"/>
          <w:szCs w:val="24"/>
        </w:rPr>
        <w:t>implemented</w:t>
      </w:r>
      <w:r w:rsidR="0079021B" w:rsidRPr="0091426D">
        <w:rPr>
          <w:rFonts w:asciiTheme="minorHAnsi" w:eastAsia="Calibri" w:hAnsiTheme="minorHAnsi" w:cstheme="minorHAnsi"/>
          <w:szCs w:val="24"/>
        </w:rPr>
        <w:t>;</w:t>
      </w:r>
      <w:proofErr w:type="gramEnd"/>
    </w:p>
    <w:p w14:paraId="0A5A06A9" w14:textId="74D44950" w:rsidR="00835D34" w:rsidRPr="0091426D" w:rsidRDefault="00835D34" w:rsidP="00150A86">
      <w:pPr>
        <w:pStyle w:val="enumlev2"/>
        <w:tabs>
          <w:tab w:val="clear" w:pos="794"/>
          <w:tab w:val="clear" w:pos="1191"/>
          <w:tab w:val="clear" w:pos="1588"/>
          <w:tab w:val="clear" w:pos="1985"/>
          <w:tab w:val="left" w:pos="567"/>
          <w:tab w:val="left" w:pos="1134"/>
          <w:tab w:val="left" w:pos="1701"/>
          <w:tab w:val="left" w:pos="2268"/>
        </w:tabs>
        <w:spacing w:before="60"/>
        <w:ind w:left="1134"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t>the services of other entities in the provision of the service</w:t>
      </w:r>
      <w:r w:rsidR="0079021B" w:rsidRPr="0091426D">
        <w:rPr>
          <w:rFonts w:asciiTheme="minorHAnsi" w:eastAsia="Calibri" w:hAnsiTheme="minorHAnsi" w:cstheme="minorHAnsi"/>
          <w:szCs w:val="24"/>
        </w:rPr>
        <w:t>.</w:t>
      </w:r>
    </w:p>
    <w:p w14:paraId="3ABE3A91" w14:textId="799A9E88" w:rsidR="00835D34" w:rsidRPr="0091426D" w:rsidRDefault="00835D34" w:rsidP="00150A86">
      <w:pPr>
        <w:pStyle w:val="enumlev1"/>
        <w:tabs>
          <w:tab w:val="clear" w:pos="794"/>
          <w:tab w:val="clear" w:pos="1191"/>
          <w:tab w:val="clear" w:pos="1588"/>
          <w:tab w:val="clear" w:pos="1985"/>
          <w:tab w:val="left" w:pos="567"/>
          <w:tab w:val="left" w:pos="1134"/>
          <w:tab w:val="left" w:pos="1701"/>
          <w:tab w:val="left" w:pos="2268"/>
        </w:tabs>
        <w:spacing w:before="120"/>
        <w:ind w:left="567"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t xml:space="preserve">The structure </w:t>
      </w:r>
      <w:r w:rsidR="0032314A" w:rsidRPr="0091426D">
        <w:rPr>
          <w:rFonts w:asciiTheme="minorHAnsi" w:eastAsia="Calibri" w:hAnsiTheme="minorHAnsi" w:cstheme="minorHAnsi"/>
          <w:szCs w:val="24"/>
        </w:rPr>
        <w:t xml:space="preserve">of the numbering plan </w:t>
      </w:r>
      <w:r w:rsidRPr="0091426D">
        <w:rPr>
          <w:rFonts w:asciiTheme="minorHAnsi" w:eastAsia="Calibri" w:hAnsiTheme="minorHAnsi" w:cstheme="minorHAnsi"/>
          <w:szCs w:val="24"/>
        </w:rPr>
        <w:t>being applied to the resources once assigned</w:t>
      </w:r>
      <w:r w:rsidR="0032314A" w:rsidRPr="0091426D">
        <w:rPr>
          <w:rFonts w:asciiTheme="minorHAnsi" w:eastAsia="Calibri" w:hAnsiTheme="minorHAnsi" w:cstheme="minorHAnsi"/>
          <w:szCs w:val="24"/>
        </w:rPr>
        <w:t>, such as how the assigned resources will be grouped for different use cases and/or different customers</w:t>
      </w:r>
      <w:r w:rsidR="0079021B" w:rsidRPr="0091426D">
        <w:rPr>
          <w:rFonts w:asciiTheme="minorHAnsi" w:eastAsia="Calibri" w:hAnsiTheme="minorHAnsi" w:cstheme="minorHAnsi"/>
          <w:szCs w:val="24"/>
        </w:rPr>
        <w:t>.</w:t>
      </w:r>
    </w:p>
    <w:p w14:paraId="2ED996DB" w14:textId="60BA19B7" w:rsidR="00835D34" w:rsidRPr="0091426D" w:rsidRDefault="00835D34" w:rsidP="00150A86">
      <w:pPr>
        <w:pStyle w:val="enumlev1"/>
        <w:tabs>
          <w:tab w:val="clear" w:pos="794"/>
          <w:tab w:val="clear" w:pos="1191"/>
          <w:tab w:val="clear" w:pos="1588"/>
          <w:tab w:val="clear" w:pos="1985"/>
          <w:tab w:val="left" w:pos="567"/>
          <w:tab w:val="left" w:pos="1134"/>
          <w:tab w:val="left" w:pos="1701"/>
          <w:tab w:val="left" w:pos="2268"/>
        </w:tabs>
        <w:spacing w:before="120"/>
        <w:ind w:left="567"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t xml:space="preserve">The use to be made of the resources by the </w:t>
      </w:r>
      <w:r w:rsidR="004E3A35" w:rsidRPr="0091426D">
        <w:rPr>
          <w:rFonts w:asciiTheme="minorHAnsi" w:eastAsia="Calibri" w:hAnsiTheme="minorHAnsi" w:cstheme="minorHAnsi"/>
          <w:szCs w:val="24"/>
        </w:rPr>
        <w:t>network entities</w:t>
      </w:r>
      <w:r w:rsidRPr="0091426D">
        <w:rPr>
          <w:rFonts w:asciiTheme="minorHAnsi" w:eastAsia="Calibri" w:hAnsiTheme="minorHAnsi" w:cstheme="minorHAnsi"/>
          <w:szCs w:val="24"/>
        </w:rPr>
        <w:t>/technology in support of the planned usage (the routeing plan)</w:t>
      </w:r>
      <w:r w:rsidR="0079021B" w:rsidRPr="0091426D">
        <w:rPr>
          <w:rFonts w:asciiTheme="minorHAnsi" w:eastAsia="Calibri" w:hAnsiTheme="minorHAnsi" w:cstheme="minorHAnsi"/>
          <w:szCs w:val="24"/>
        </w:rPr>
        <w:t>.</w:t>
      </w:r>
      <w:r w:rsidR="003D3D14" w:rsidRPr="0091426D">
        <w:rPr>
          <w:rFonts w:asciiTheme="minorHAnsi" w:eastAsia="Calibri" w:hAnsiTheme="minorHAnsi" w:cstheme="minorHAnsi"/>
          <w:szCs w:val="24"/>
        </w:rPr>
        <w:t xml:space="preserve"> In case of voice</w:t>
      </w:r>
      <w:r w:rsidR="00B45FEE" w:rsidRPr="0091426D">
        <w:rPr>
          <w:rFonts w:asciiTheme="minorHAnsi" w:eastAsia="Calibri" w:hAnsiTheme="minorHAnsi" w:cstheme="minorHAnsi"/>
          <w:szCs w:val="24"/>
        </w:rPr>
        <w:t>, clarification should be given as to the nature of the voice service that is to be offered, noting that voice being available in relation to M2M/IoT use is limited in effect to being in effect a closed user group.</w:t>
      </w:r>
    </w:p>
    <w:p w14:paraId="2569E5FA" w14:textId="77777777" w:rsidR="0079021B" w:rsidRPr="0091426D" w:rsidRDefault="00835D34" w:rsidP="00150A86">
      <w:pPr>
        <w:pStyle w:val="enumlev1"/>
        <w:tabs>
          <w:tab w:val="clear" w:pos="794"/>
          <w:tab w:val="clear" w:pos="1191"/>
          <w:tab w:val="clear" w:pos="1588"/>
          <w:tab w:val="clear" w:pos="1985"/>
          <w:tab w:val="left" w:pos="567"/>
          <w:tab w:val="left" w:pos="1134"/>
          <w:tab w:val="left" w:pos="1701"/>
          <w:tab w:val="left" w:pos="2268"/>
        </w:tabs>
        <w:spacing w:before="120"/>
        <w:ind w:left="567"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t>For application</w:t>
      </w:r>
      <w:r w:rsidR="0079021B" w:rsidRPr="0091426D">
        <w:rPr>
          <w:rFonts w:asciiTheme="minorHAnsi" w:eastAsia="Calibri" w:hAnsiTheme="minorHAnsi" w:cstheme="minorHAnsi"/>
          <w:szCs w:val="24"/>
        </w:rPr>
        <w:t>s</w:t>
      </w:r>
      <w:r w:rsidRPr="0091426D">
        <w:rPr>
          <w:rFonts w:asciiTheme="minorHAnsi" w:eastAsia="Calibri" w:hAnsiTheme="minorHAnsi" w:cstheme="minorHAnsi"/>
          <w:szCs w:val="24"/>
        </w:rPr>
        <w:t xml:space="preserve"> </w:t>
      </w:r>
      <w:r w:rsidR="0079021B" w:rsidRPr="0091426D">
        <w:rPr>
          <w:rFonts w:asciiTheme="minorHAnsi" w:eastAsia="Calibri" w:hAnsiTheme="minorHAnsi" w:cstheme="minorHAnsi"/>
          <w:szCs w:val="24"/>
        </w:rPr>
        <w:t>for</w:t>
      </w:r>
      <w:r w:rsidRPr="0091426D">
        <w:rPr>
          <w:rFonts w:asciiTheme="minorHAnsi" w:eastAsia="Calibri" w:hAnsiTheme="minorHAnsi" w:cstheme="minorHAnsi"/>
          <w:szCs w:val="24"/>
        </w:rPr>
        <w:t xml:space="preserve"> E.164 resources, the applicant should indicate under which section of E</w:t>
      </w:r>
      <w:r w:rsidR="0079021B" w:rsidRPr="0091426D">
        <w:rPr>
          <w:rFonts w:asciiTheme="minorHAnsi" w:eastAsia="Calibri" w:hAnsiTheme="minorHAnsi" w:cstheme="minorHAnsi"/>
          <w:szCs w:val="24"/>
        </w:rPr>
        <w:t>.</w:t>
      </w:r>
      <w:r w:rsidRPr="0091426D">
        <w:rPr>
          <w:rFonts w:asciiTheme="minorHAnsi" w:eastAsia="Calibri" w:hAnsiTheme="minorHAnsi" w:cstheme="minorHAnsi"/>
          <w:szCs w:val="24"/>
        </w:rPr>
        <w:t>164.1 they are applying</w:t>
      </w:r>
      <w:r w:rsidR="0079021B" w:rsidRPr="0091426D">
        <w:rPr>
          <w:rFonts w:asciiTheme="minorHAnsi" w:eastAsia="Calibri" w:hAnsiTheme="minorHAnsi" w:cstheme="minorHAnsi"/>
          <w:szCs w:val="24"/>
        </w:rPr>
        <w:t>, i.e.:</w:t>
      </w:r>
    </w:p>
    <w:p w14:paraId="6C7D22A7" w14:textId="4678E555" w:rsidR="00835D34" w:rsidRPr="0091426D" w:rsidRDefault="0079021B" w:rsidP="00150A86">
      <w:pPr>
        <w:pStyle w:val="enumlev2"/>
        <w:tabs>
          <w:tab w:val="clear" w:pos="794"/>
          <w:tab w:val="clear" w:pos="1191"/>
          <w:tab w:val="clear" w:pos="1588"/>
          <w:tab w:val="clear" w:pos="1985"/>
          <w:tab w:val="left" w:pos="567"/>
          <w:tab w:val="left" w:pos="1134"/>
          <w:tab w:val="left" w:pos="1701"/>
          <w:tab w:val="left" w:pos="2268"/>
        </w:tabs>
        <w:spacing w:before="60"/>
        <w:ind w:left="1134"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t>Section 6: Country code for global services</w:t>
      </w:r>
      <w:r w:rsidR="004C2408" w:rsidRPr="0091426D">
        <w:rPr>
          <w:rFonts w:asciiTheme="minorHAnsi" w:eastAsia="Calibri" w:hAnsiTheme="minorHAnsi" w:cstheme="minorHAnsi"/>
          <w:szCs w:val="24"/>
        </w:rPr>
        <w:t>.</w:t>
      </w:r>
    </w:p>
    <w:p w14:paraId="28D661BF" w14:textId="3E82B58A" w:rsidR="0079021B" w:rsidRPr="0091426D" w:rsidRDefault="0079021B" w:rsidP="00150A86">
      <w:pPr>
        <w:pStyle w:val="enumlev2"/>
        <w:tabs>
          <w:tab w:val="clear" w:pos="794"/>
          <w:tab w:val="clear" w:pos="1191"/>
          <w:tab w:val="clear" w:pos="1588"/>
          <w:tab w:val="clear" w:pos="1985"/>
          <w:tab w:val="left" w:pos="567"/>
          <w:tab w:val="left" w:pos="1134"/>
          <w:tab w:val="left" w:pos="1701"/>
          <w:tab w:val="left" w:pos="2268"/>
        </w:tabs>
        <w:spacing w:before="60"/>
        <w:ind w:left="1134"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t>Section 7: Country code for other global services</w:t>
      </w:r>
      <w:r w:rsidR="004C2408" w:rsidRPr="0091426D">
        <w:rPr>
          <w:rFonts w:asciiTheme="minorHAnsi" w:eastAsia="Calibri" w:hAnsiTheme="minorHAnsi" w:cstheme="minorHAnsi"/>
          <w:szCs w:val="24"/>
        </w:rPr>
        <w:t>.</w:t>
      </w:r>
    </w:p>
    <w:p w14:paraId="483946C1" w14:textId="2D23A65B" w:rsidR="0079021B" w:rsidRPr="0091426D" w:rsidRDefault="0079021B" w:rsidP="00150A86">
      <w:pPr>
        <w:pStyle w:val="enumlev2"/>
        <w:tabs>
          <w:tab w:val="clear" w:pos="794"/>
          <w:tab w:val="clear" w:pos="1191"/>
          <w:tab w:val="clear" w:pos="1588"/>
          <w:tab w:val="clear" w:pos="1985"/>
          <w:tab w:val="left" w:pos="567"/>
          <w:tab w:val="left" w:pos="1134"/>
          <w:tab w:val="left" w:pos="1701"/>
          <w:tab w:val="left" w:pos="2268"/>
        </w:tabs>
        <w:spacing w:before="60"/>
        <w:ind w:left="1134"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t xml:space="preserve">Section 8: </w:t>
      </w:r>
      <w:r w:rsidR="004C2408" w:rsidRPr="0091426D">
        <w:rPr>
          <w:rFonts w:asciiTheme="minorHAnsi" w:eastAsia="Calibri" w:hAnsiTheme="minorHAnsi" w:cstheme="minorHAnsi"/>
          <w:szCs w:val="24"/>
        </w:rPr>
        <w:t>Country codes and associated identification codes for Networks.</w:t>
      </w:r>
    </w:p>
    <w:p w14:paraId="4D2567D3" w14:textId="66C5B69F" w:rsidR="0079021B" w:rsidRPr="0091426D" w:rsidRDefault="0079021B" w:rsidP="00150A86">
      <w:pPr>
        <w:pStyle w:val="enumlev2"/>
        <w:tabs>
          <w:tab w:val="clear" w:pos="794"/>
          <w:tab w:val="clear" w:pos="1191"/>
          <w:tab w:val="clear" w:pos="1588"/>
          <w:tab w:val="clear" w:pos="1985"/>
          <w:tab w:val="left" w:pos="567"/>
          <w:tab w:val="left" w:pos="1134"/>
          <w:tab w:val="left" w:pos="1701"/>
          <w:tab w:val="left" w:pos="2268"/>
        </w:tabs>
        <w:spacing w:before="60"/>
        <w:ind w:left="1134"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t xml:space="preserve">Section 9: </w:t>
      </w:r>
      <w:r w:rsidR="004C2408" w:rsidRPr="0091426D">
        <w:rPr>
          <w:rFonts w:asciiTheme="minorHAnsi" w:eastAsia="Calibri" w:hAnsiTheme="minorHAnsi" w:cstheme="minorHAnsi"/>
          <w:szCs w:val="24"/>
        </w:rPr>
        <w:t>Country codes and associated identification codes for multi-use Networks.</w:t>
      </w:r>
    </w:p>
    <w:p w14:paraId="080321CE" w14:textId="3BF4AB62" w:rsidR="00835D34" w:rsidRPr="0091426D" w:rsidRDefault="00835D34" w:rsidP="00150A86">
      <w:pPr>
        <w:pStyle w:val="enumlev1"/>
        <w:tabs>
          <w:tab w:val="clear" w:pos="794"/>
          <w:tab w:val="clear" w:pos="1191"/>
          <w:tab w:val="clear" w:pos="1588"/>
          <w:tab w:val="clear" w:pos="1985"/>
          <w:tab w:val="left" w:pos="567"/>
          <w:tab w:val="left" w:pos="1134"/>
          <w:tab w:val="left" w:pos="1701"/>
          <w:tab w:val="left" w:pos="2268"/>
        </w:tabs>
        <w:spacing w:before="120"/>
        <w:ind w:left="567" w:hanging="567"/>
        <w:rPr>
          <w:rFonts w:asciiTheme="minorHAnsi" w:eastAsia="Calibri" w:hAnsiTheme="minorHAnsi" w:cstheme="minorHAnsi"/>
          <w:szCs w:val="24"/>
        </w:rPr>
      </w:pPr>
      <w:r w:rsidRPr="0091426D">
        <w:rPr>
          <w:rFonts w:asciiTheme="minorHAnsi" w:eastAsia="Calibri" w:hAnsiTheme="minorHAnsi" w:cstheme="minorHAnsi"/>
          <w:szCs w:val="24"/>
        </w:rPr>
        <w:lastRenderedPageBreak/>
        <w:t>–</w:t>
      </w:r>
      <w:r w:rsidRPr="0091426D">
        <w:rPr>
          <w:rFonts w:asciiTheme="minorHAnsi" w:eastAsia="Calibri" w:hAnsiTheme="minorHAnsi" w:cstheme="minorHAnsi"/>
          <w:szCs w:val="24"/>
        </w:rPr>
        <w:tab/>
        <w:t>If the application is for E.212 resources only, the applicant should indicate whether they already have E.164 resources allocated or state whether it is the case that E.164 resources are not needed for the service</w:t>
      </w:r>
      <w:r w:rsidR="0035397C" w:rsidRPr="0091426D">
        <w:rPr>
          <w:rFonts w:asciiTheme="minorHAnsi" w:eastAsia="Calibri" w:hAnsiTheme="minorHAnsi" w:cstheme="minorHAnsi"/>
          <w:szCs w:val="24"/>
        </w:rPr>
        <w:t xml:space="preserve">. </w:t>
      </w:r>
      <w:r w:rsidR="0029094A" w:rsidRPr="0091426D">
        <w:rPr>
          <w:rFonts w:asciiTheme="minorHAnsi" w:hAnsiTheme="minorHAnsi" w:cstheme="minorHAnsi"/>
          <w:szCs w:val="24"/>
        </w:rPr>
        <w:t xml:space="preserve"> Once assigned a global ITU-T E.164 CC+IC (two digits), the applicant is also automatically assigned an E.118 Issuer Identifier Number (IIN) Global resource. Once assigned a global E.164 CC+IC (three digits), the applicant is assigned an E.118 IIN global resource if that request is explicitly raised. </w:t>
      </w:r>
      <w:r w:rsidRPr="0091426D">
        <w:rPr>
          <w:rFonts w:asciiTheme="minorHAnsi" w:eastAsia="Calibri" w:hAnsiTheme="minorHAnsi" w:cstheme="minorHAnsi"/>
          <w:szCs w:val="24"/>
        </w:rPr>
        <w:br/>
      </w:r>
      <w:r w:rsidR="004C2408" w:rsidRPr="0091426D">
        <w:rPr>
          <w:rFonts w:asciiTheme="minorHAnsi" w:eastAsia="Calibri" w:hAnsiTheme="minorHAnsi" w:cstheme="minorHAnsi"/>
          <w:szCs w:val="24"/>
        </w:rPr>
        <w:t>NOTE -</w:t>
      </w:r>
      <w:r w:rsidRPr="0091426D">
        <w:rPr>
          <w:rFonts w:asciiTheme="minorHAnsi" w:eastAsia="Calibri" w:hAnsiTheme="minorHAnsi" w:cstheme="minorHAnsi"/>
          <w:szCs w:val="24"/>
        </w:rPr>
        <w:t xml:space="preserve"> </w:t>
      </w:r>
      <w:r w:rsidR="004C2408" w:rsidRPr="0091426D">
        <w:rPr>
          <w:rFonts w:asciiTheme="minorHAnsi" w:eastAsia="Calibri" w:hAnsiTheme="minorHAnsi" w:cstheme="minorHAnsi"/>
          <w:szCs w:val="24"/>
        </w:rPr>
        <w:t xml:space="preserve">Automatic </w:t>
      </w:r>
      <w:r w:rsidRPr="0091426D">
        <w:rPr>
          <w:rFonts w:asciiTheme="minorHAnsi" w:eastAsia="Calibri" w:hAnsiTheme="minorHAnsi" w:cstheme="minorHAnsi"/>
          <w:szCs w:val="24"/>
        </w:rPr>
        <w:t>assignment of IIN’s may change in the future after discussions at ITU</w:t>
      </w:r>
      <w:r w:rsidR="004C2408" w:rsidRPr="0091426D">
        <w:rPr>
          <w:rFonts w:asciiTheme="minorHAnsi" w:eastAsia="Calibri" w:hAnsiTheme="minorHAnsi" w:cstheme="minorHAnsi"/>
          <w:szCs w:val="24"/>
        </w:rPr>
        <w:noBreakHyphen/>
      </w:r>
      <w:r w:rsidRPr="0091426D">
        <w:rPr>
          <w:rFonts w:asciiTheme="minorHAnsi" w:eastAsia="Calibri" w:hAnsiTheme="minorHAnsi" w:cstheme="minorHAnsi"/>
          <w:szCs w:val="24"/>
        </w:rPr>
        <w:t>T SG2.</w:t>
      </w:r>
    </w:p>
    <w:p w14:paraId="42F856CB" w14:textId="70FA8DA4" w:rsidR="0035397C" w:rsidRPr="0091426D" w:rsidRDefault="00835D34" w:rsidP="00150A86">
      <w:pPr>
        <w:pStyle w:val="enumlev1"/>
        <w:tabs>
          <w:tab w:val="clear" w:pos="794"/>
          <w:tab w:val="clear" w:pos="1191"/>
          <w:tab w:val="clear" w:pos="1588"/>
          <w:tab w:val="clear" w:pos="1985"/>
          <w:tab w:val="left" w:pos="567"/>
          <w:tab w:val="left" w:pos="1134"/>
          <w:tab w:val="left" w:pos="1701"/>
          <w:tab w:val="left" w:pos="2268"/>
        </w:tabs>
        <w:spacing w:before="120"/>
        <w:ind w:left="567"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t>Statements from the applicant of the realisation of end</w:t>
      </w:r>
      <w:r w:rsidR="004C2408" w:rsidRPr="0091426D">
        <w:rPr>
          <w:rFonts w:asciiTheme="minorHAnsi" w:eastAsia="Calibri" w:hAnsiTheme="minorHAnsi" w:cstheme="minorHAnsi"/>
          <w:szCs w:val="24"/>
        </w:rPr>
        <w:t>-</w:t>
      </w:r>
      <w:r w:rsidRPr="0091426D">
        <w:rPr>
          <w:rFonts w:asciiTheme="minorHAnsi" w:eastAsia="Calibri" w:hAnsiTheme="minorHAnsi" w:cstheme="minorHAnsi"/>
          <w:szCs w:val="24"/>
        </w:rPr>
        <w:t>to</w:t>
      </w:r>
      <w:r w:rsidR="004C2408" w:rsidRPr="0091426D">
        <w:rPr>
          <w:rFonts w:asciiTheme="minorHAnsi" w:eastAsia="Calibri" w:hAnsiTheme="minorHAnsi" w:cstheme="minorHAnsi"/>
          <w:szCs w:val="24"/>
        </w:rPr>
        <w:t>-</w:t>
      </w:r>
      <w:r w:rsidRPr="0091426D">
        <w:rPr>
          <w:rFonts w:asciiTheme="minorHAnsi" w:eastAsia="Calibri" w:hAnsiTheme="minorHAnsi" w:cstheme="minorHAnsi"/>
          <w:szCs w:val="24"/>
        </w:rPr>
        <w:t xml:space="preserve">end control can be either technical (owning all elements of the network), </w:t>
      </w:r>
      <w:r w:rsidR="004C2408" w:rsidRPr="0091426D">
        <w:rPr>
          <w:rFonts w:asciiTheme="minorHAnsi" w:eastAsia="Calibri" w:hAnsiTheme="minorHAnsi" w:cstheme="minorHAnsi"/>
          <w:szCs w:val="24"/>
        </w:rPr>
        <w:t xml:space="preserve">or </w:t>
      </w:r>
      <w:r w:rsidRPr="0091426D">
        <w:rPr>
          <w:rFonts w:asciiTheme="minorHAnsi" w:eastAsia="Calibri" w:hAnsiTheme="minorHAnsi" w:cstheme="minorHAnsi"/>
          <w:szCs w:val="24"/>
        </w:rPr>
        <w:t>commercial (utilising the resources of other entities to provide the network, or a combination of both.  The detail of this arrangement needs to be submitted as part of the application.</w:t>
      </w:r>
    </w:p>
    <w:p w14:paraId="645EDDA2" w14:textId="5B8559DB" w:rsidR="00EE1B26" w:rsidRPr="0091426D" w:rsidRDefault="00EE1B26" w:rsidP="00150A86">
      <w:pPr>
        <w:pStyle w:val="enumlev1"/>
        <w:tabs>
          <w:tab w:val="clear" w:pos="794"/>
          <w:tab w:val="clear" w:pos="1191"/>
          <w:tab w:val="clear" w:pos="1588"/>
          <w:tab w:val="clear" w:pos="1985"/>
          <w:tab w:val="left" w:pos="567"/>
          <w:tab w:val="left" w:pos="1134"/>
          <w:tab w:val="left" w:pos="1701"/>
          <w:tab w:val="left" w:pos="2268"/>
        </w:tabs>
        <w:spacing w:before="120"/>
        <w:ind w:left="567"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t xml:space="preserve">Statements from the applicant of noting the criteria agreed by SG2 contained in </w:t>
      </w:r>
      <w:hyperlink r:id="rId12" w:history="1">
        <w:r w:rsidRPr="0091426D">
          <w:rPr>
            <w:rStyle w:val="Hyperlink"/>
            <w:rFonts w:asciiTheme="minorHAnsi" w:eastAsia="Calibri" w:hAnsiTheme="minorHAnsi" w:cstheme="minorHAnsi"/>
            <w:szCs w:val="24"/>
          </w:rPr>
          <w:t>SG2</w:t>
        </w:r>
        <w:r w:rsidR="000B7AE9" w:rsidRPr="0091426D">
          <w:rPr>
            <w:rStyle w:val="Hyperlink"/>
            <w:rFonts w:asciiTheme="minorHAnsi" w:eastAsia="Calibri" w:hAnsiTheme="minorHAnsi" w:cstheme="minorHAnsi"/>
            <w:szCs w:val="24"/>
          </w:rPr>
          <w:noBreakHyphen/>
          <w:t>TD</w:t>
        </w:r>
        <w:r w:rsidRPr="0091426D">
          <w:rPr>
            <w:rStyle w:val="Hyperlink"/>
            <w:rFonts w:asciiTheme="minorHAnsi" w:eastAsiaTheme="minorEastAsia" w:hAnsiTheme="minorHAnsi" w:cstheme="minorHAnsi"/>
            <w:szCs w:val="24"/>
            <w:lang w:eastAsia="ja-JP"/>
          </w:rPr>
          <w:t>107</w:t>
        </w:r>
        <w:r w:rsidR="000B7AE9" w:rsidRPr="0091426D">
          <w:rPr>
            <w:rStyle w:val="Hyperlink"/>
            <w:rFonts w:asciiTheme="minorHAnsi" w:eastAsiaTheme="minorEastAsia" w:hAnsiTheme="minorHAnsi" w:cstheme="minorHAnsi"/>
            <w:szCs w:val="24"/>
            <w:lang w:eastAsia="ja-JP"/>
          </w:rPr>
          <w:t>/GEN</w:t>
        </w:r>
        <w:r w:rsidRPr="0091426D">
          <w:rPr>
            <w:rStyle w:val="Hyperlink"/>
            <w:rFonts w:asciiTheme="minorHAnsi" w:eastAsia="Calibri" w:hAnsiTheme="minorHAnsi" w:cstheme="minorHAnsi"/>
            <w:szCs w:val="24"/>
          </w:rPr>
          <w:t>-R2</w:t>
        </w:r>
      </w:hyperlink>
      <w:r w:rsidRPr="0091426D">
        <w:rPr>
          <w:rFonts w:asciiTheme="minorHAnsi" w:eastAsia="Calibri" w:hAnsiTheme="minorHAnsi" w:cstheme="minorHAnsi"/>
          <w:szCs w:val="24"/>
        </w:rPr>
        <w:t xml:space="preserve"> (April 2017)</w:t>
      </w:r>
      <w:r w:rsidR="003D3D14" w:rsidRPr="0091426D">
        <w:rPr>
          <w:rFonts w:asciiTheme="minorHAnsi" w:eastAsia="Calibri" w:hAnsiTheme="minorHAnsi" w:cstheme="minorHAnsi"/>
          <w:szCs w:val="24"/>
        </w:rPr>
        <w:t>, copy in the annex below</w:t>
      </w:r>
      <w:r w:rsidR="000B7AE9" w:rsidRPr="0091426D">
        <w:rPr>
          <w:rFonts w:asciiTheme="minorHAnsi" w:eastAsia="Calibri" w:hAnsiTheme="minorHAnsi" w:cstheme="minorHAnsi"/>
          <w:szCs w:val="24"/>
        </w:rPr>
        <w:t>.</w:t>
      </w:r>
    </w:p>
    <w:p w14:paraId="1D75E2E5" w14:textId="447323CD" w:rsidR="003E6967" w:rsidRPr="0091426D" w:rsidRDefault="003E6967" w:rsidP="00150A86">
      <w:pPr>
        <w:pStyle w:val="enumlev1"/>
        <w:tabs>
          <w:tab w:val="clear" w:pos="794"/>
          <w:tab w:val="clear" w:pos="1191"/>
          <w:tab w:val="clear" w:pos="1588"/>
          <w:tab w:val="clear" w:pos="1985"/>
          <w:tab w:val="left" w:pos="567"/>
          <w:tab w:val="left" w:pos="1134"/>
          <w:tab w:val="left" w:pos="1701"/>
          <w:tab w:val="left" w:pos="2268"/>
        </w:tabs>
        <w:spacing w:before="120"/>
        <w:ind w:left="567"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t>Recurring types of clarifications requested by the NCT: TSB has analysed the questions for clarification sent from the Director of TSB to applicants during the period 2022/2023 as an outcome of analysis of applications by the NCT. A summary of the recurring questions has been prepared in the form of a self-check list in Annex A below. This checklist could be used by applicants before they submit their application(s).</w:t>
      </w:r>
    </w:p>
    <w:p w14:paraId="2FBD7FCB" w14:textId="5846A86C" w:rsidR="00190EEE" w:rsidRPr="0091426D" w:rsidRDefault="00190EEE" w:rsidP="00150A86">
      <w:pPr>
        <w:pStyle w:val="enumlev1"/>
        <w:tabs>
          <w:tab w:val="clear" w:pos="794"/>
          <w:tab w:val="clear" w:pos="1191"/>
          <w:tab w:val="clear" w:pos="1588"/>
          <w:tab w:val="clear" w:pos="1985"/>
          <w:tab w:val="left" w:pos="567"/>
          <w:tab w:val="left" w:pos="1134"/>
          <w:tab w:val="left" w:pos="1701"/>
          <w:tab w:val="left" w:pos="2268"/>
        </w:tabs>
        <w:spacing w:before="120"/>
        <w:ind w:left="567"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t>Guidance on the administrative steps to be taken when submitting responses to requests for clarification: After the review and discussion of application, the NCT may wish to seek clarifications before providing advice to the Director of TSB. In such cases:</w:t>
      </w:r>
    </w:p>
    <w:p w14:paraId="13DC5A5A" w14:textId="5D85B524" w:rsidR="00190EEE" w:rsidRPr="005540D7" w:rsidRDefault="00190EEE" w:rsidP="005540D7">
      <w:pPr>
        <w:pStyle w:val="enumlev2"/>
        <w:tabs>
          <w:tab w:val="clear" w:pos="794"/>
          <w:tab w:val="clear" w:pos="1191"/>
          <w:tab w:val="clear" w:pos="1588"/>
          <w:tab w:val="clear" w:pos="1985"/>
          <w:tab w:val="left" w:pos="567"/>
          <w:tab w:val="left" w:pos="1134"/>
          <w:tab w:val="left" w:pos="1701"/>
          <w:tab w:val="left" w:pos="2268"/>
        </w:tabs>
        <w:spacing w:before="60"/>
        <w:ind w:left="1134" w:hanging="567"/>
        <w:rPr>
          <w:rFonts w:asciiTheme="minorHAnsi" w:hAnsiTheme="minorHAnsi" w:cstheme="minorHAnsi"/>
          <w:szCs w:val="24"/>
        </w:rPr>
      </w:pPr>
      <w:r w:rsidRPr="0091426D">
        <w:rPr>
          <w:rFonts w:asciiTheme="minorHAnsi" w:eastAsia="Calibri" w:hAnsiTheme="minorHAnsi" w:cstheme="minorHAnsi"/>
          <w:szCs w:val="24"/>
        </w:rPr>
        <w:t>1)</w:t>
      </w:r>
      <w:r w:rsidRPr="0091426D">
        <w:rPr>
          <w:rFonts w:asciiTheme="minorHAnsi" w:eastAsia="Calibri" w:hAnsiTheme="minorHAnsi" w:cstheme="minorHAnsi"/>
          <w:szCs w:val="24"/>
        </w:rPr>
        <w:tab/>
      </w:r>
      <w:r w:rsidRPr="005540D7">
        <w:rPr>
          <w:rFonts w:asciiTheme="minorHAnsi" w:hAnsiTheme="minorHAnsi" w:cstheme="minorHAnsi"/>
          <w:szCs w:val="24"/>
        </w:rPr>
        <w:t xml:space="preserve">applicants are advised to respond fully to the specific questions that have been asked in order to reduce delays caused by the NCT seeking further </w:t>
      </w:r>
      <w:proofErr w:type="gramStart"/>
      <w:r w:rsidRPr="005540D7">
        <w:rPr>
          <w:rFonts w:asciiTheme="minorHAnsi" w:hAnsiTheme="minorHAnsi" w:cstheme="minorHAnsi"/>
          <w:szCs w:val="24"/>
        </w:rPr>
        <w:t>clarification</w:t>
      </w:r>
      <w:r w:rsidR="00C81843">
        <w:rPr>
          <w:rFonts w:asciiTheme="minorHAnsi" w:hAnsiTheme="minorHAnsi" w:cstheme="minorHAnsi"/>
          <w:szCs w:val="24"/>
        </w:rPr>
        <w:t>s</w:t>
      </w:r>
      <w:r w:rsidRPr="005540D7">
        <w:rPr>
          <w:rFonts w:asciiTheme="minorHAnsi" w:hAnsiTheme="minorHAnsi" w:cstheme="minorHAnsi"/>
          <w:szCs w:val="24"/>
        </w:rPr>
        <w:t>;</w:t>
      </w:r>
      <w:proofErr w:type="gramEnd"/>
    </w:p>
    <w:p w14:paraId="57BD6AFE" w14:textId="0782ECBD" w:rsidR="00190EEE" w:rsidRPr="0091426D" w:rsidRDefault="00190EEE" w:rsidP="005540D7">
      <w:pPr>
        <w:pStyle w:val="enumlev2"/>
        <w:tabs>
          <w:tab w:val="clear" w:pos="794"/>
          <w:tab w:val="clear" w:pos="1191"/>
          <w:tab w:val="clear" w:pos="1588"/>
          <w:tab w:val="clear" w:pos="1985"/>
          <w:tab w:val="left" w:pos="567"/>
          <w:tab w:val="left" w:pos="1134"/>
          <w:tab w:val="left" w:pos="1701"/>
          <w:tab w:val="left" w:pos="2268"/>
        </w:tabs>
        <w:spacing w:before="60"/>
        <w:ind w:left="1134" w:hanging="567"/>
        <w:rPr>
          <w:rFonts w:asciiTheme="minorHAnsi" w:eastAsia="Calibri" w:hAnsiTheme="minorHAnsi" w:cstheme="minorHAnsi"/>
          <w:szCs w:val="24"/>
        </w:rPr>
      </w:pPr>
      <w:r w:rsidRPr="005540D7">
        <w:rPr>
          <w:rFonts w:asciiTheme="minorHAnsi" w:hAnsiTheme="minorHAnsi" w:cstheme="minorHAnsi"/>
          <w:szCs w:val="24"/>
        </w:rPr>
        <w:t>2)</w:t>
      </w:r>
      <w:r w:rsidRPr="005540D7">
        <w:rPr>
          <w:rFonts w:asciiTheme="minorHAnsi" w:hAnsiTheme="minorHAnsi" w:cstheme="minorHAnsi"/>
          <w:szCs w:val="24"/>
        </w:rPr>
        <w:tab/>
        <w:t>if an updated version of the application is submitted, any changes should be clearly indicated</w:t>
      </w:r>
      <w:r w:rsidRPr="0091426D">
        <w:rPr>
          <w:rFonts w:asciiTheme="minorHAnsi" w:eastAsia="Calibri" w:hAnsiTheme="minorHAnsi" w:cstheme="minorHAnsi"/>
          <w:szCs w:val="24"/>
        </w:rPr>
        <w:t xml:space="preserve"> in revision marks (track changes).</w:t>
      </w:r>
    </w:p>
    <w:p w14:paraId="60C32FBF" w14:textId="5C8508CC" w:rsidR="00190EEE" w:rsidRPr="0091426D" w:rsidRDefault="00190EEE" w:rsidP="00150A86">
      <w:pPr>
        <w:pStyle w:val="enumlev2"/>
        <w:tabs>
          <w:tab w:val="clear" w:pos="794"/>
          <w:tab w:val="clear" w:pos="1191"/>
          <w:tab w:val="clear" w:pos="1588"/>
          <w:tab w:val="clear" w:pos="1985"/>
          <w:tab w:val="left" w:pos="567"/>
          <w:tab w:val="left" w:pos="1134"/>
          <w:tab w:val="left" w:pos="1701"/>
          <w:tab w:val="left" w:pos="2268"/>
        </w:tabs>
        <w:spacing w:before="120"/>
        <w:ind w:left="567" w:hanging="567"/>
        <w:rPr>
          <w:rFonts w:asciiTheme="minorHAnsi" w:eastAsia="Calibri" w:hAnsiTheme="minorHAnsi" w:cstheme="minorHAnsi"/>
          <w:szCs w:val="24"/>
        </w:rPr>
      </w:pPr>
      <w:r w:rsidRPr="0091426D">
        <w:rPr>
          <w:rFonts w:asciiTheme="minorHAnsi" w:eastAsia="Calibri" w:hAnsiTheme="minorHAnsi" w:cstheme="minorHAnsi"/>
          <w:szCs w:val="24"/>
        </w:rPr>
        <w:t>–</w:t>
      </w:r>
      <w:r w:rsidRPr="0091426D">
        <w:rPr>
          <w:rFonts w:asciiTheme="minorHAnsi" w:eastAsia="Calibri" w:hAnsiTheme="minorHAnsi" w:cstheme="minorHAnsi"/>
          <w:szCs w:val="24"/>
        </w:rPr>
        <w:tab/>
        <w:t xml:space="preserve">Digest of use cases/service definitions for which INRs have already been assigned: </w:t>
      </w:r>
    </w:p>
    <w:p w14:paraId="342A6F92" w14:textId="71778434" w:rsidR="00190EEE" w:rsidRPr="0091426D" w:rsidRDefault="00190EEE" w:rsidP="00150A86">
      <w:pPr>
        <w:pStyle w:val="enumlev2"/>
        <w:tabs>
          <w:tab w:val="clear" w:pos="794"/>
          <w:tab w:val="clear" w:pos="1191"/>
          <w:tab w:val="clear" w:pos="1588"/>
          <w:tab w:val="clear" w:pos="1985"/>
          <w:tab w:val="left" w:pos="567"/>
          <w:tab w:val="left" w:pos="1134"/>
          <w:tab w:val="left" w:pos="1701"/>
          <w:tab w:val="left" w:pos="2268"/>
        </w:tabs>
        <w:spacing w:before="60"/>
        <w:ind w:left="1134" w:hanging="567"/>
        <w:rPr>
          <w:rFonts w:asciiTheme="minorHAnsi" w:hAnsiTheme="minorHAnsi" w:cstheme="minorHAnsi"/>
          <w:szCs w:val="24"/>
        </w:rPr>
      </w:pPr>
      <w:r w:rsidRPr="0091426D">
        <w:rPr>
          <w:rFonts w:asciiTheme="minorHAnsi" w:hAnsiTheme="minorHAnsi" w:cstheme="minorHAnsi"/>
          <w:szCs w:val="24"/>
        </w:rPr>
        <w:t>1)</w:t>
      </w:r>
      <w:r w:rsidRPr="0091426D">
        <w:rPr>
          <w:rFonts w:asciiTheme="minorHAnsi" w:hAnsiTheme="minorHAnsi" w:cstheme="minorHAnsi"/>
          <w:szCs w:val="24"/>
        </w:rPr>
        <w:tab/>
        <w:t xml:space="preserve">applicants may refer to the </w:t>
      </w:r>
      <w:hyperlink r:id="rId13" w:history="1">
        <w:r w:rsidRPr="0091426D">
          <w:rPr>
            <w:rFonts w:asciiTheme="minorHAnsi" w:hAnsiTheme="minorHAnsi" w:cstheme="minorHAnsi"/>
            <w:color w:val="0000FF"/>
            <w:szCs w:val="24"/>
            <w:u w:val="single"/>
          </w:rPr>
          <w:t>t22sg2numapp</w:t>
        </w:r>
      </w:hyperlink>
      <w:r w:rsidRPr="0091426D">
        <w:rPr>
          <w:rFonts w:asciiTheme="minorHAnsi" w:hAnsiTheme="minorHAnsi" w:cstheme="minorHAnsi"/>
          <w:color w:val="0000FF"/>
          <w:szCs w:val="24"/>
          <w:u w:val="single"/>
        </w:rPr>
        <w:t xml:space="preserve"> </w:t>
      </w:r>
      <w:r w:rsidRPr="0091426D">
        <w:rPr>
          <w:rFonts w:asciiTheme="minorHAnsi" w:hAnsiTheme="minorHAnsi" w:cstheme="minorHAnsi"/>
          <w:szCs w:val="24"/>
        </w:rPr>
        <w:t>mailing list archive, noting that:</w:t>
      </w:r>
    </w:p>
    <w:p w14:paraId="5B06F1DB" w14:textId="35FFA93A" w:rsidR="00190EEE" w:rsidRPr="0091426D" w:rsidRDefault="00190EEE" w:rsidP="00150A86">
      <w:pPr>
        <w:pStyle w:val="enumlev3"/>
        <w:tabs>
          <w:tab w:val="clear" w:pos="794"/>
          <w:tab w:val="clear" w:pos="1191"/>
          <w:tab w:val="clear" w:pos="1588"/>
          <w:tab w:val="clear" w:pos="1985"/>
          <w:tab w:val="left" w:pos="567"/>
          <w:tab w:val="left" w:pos="1134"/>
          <w:tab w:val="left" w:pos="1701"/>
          <w:tab w:val="left" w:pos="2268"/>
        </w:tabs>
        <w:spacing w:before="120"/>
        <w:ind w:left="1701" w:hanging="567"/>
        <w:rPr>
          <w:rFonts w:asciiTheme="minorHAnsi" w:hAnsiTheme="minorHAnsi" w:cstheme="minorHAnsi"/>
          <w:szCs w:val="24"/>
        </w:rPr>
      </w:pPr>
      <w:r w:rsidRPr="0091426D">
        <w:rPr>
          <w:rFonts w:asciiTheme="minorHAnsi" w:hAnsiTheme="minorHAnsi" w:cstheme="minorHAnsi"/>
          <w:szCs w:val="24"/>
        </w:rPr>
        <w:t>a)</w:t>
      </w:r>
      <w:r w:rsidR="00150A86">
        <w:rPr>
          <w:rFonts w:asciiTheme="minorHAnsi" w:hAnsiTheme="minorHAnsi" w:cstheme="minorHAnsi"/>
          <w:szCs w:val="24"/>
        </w:rPr>
        <w:tab/>
      </w:r>
      <w:r w:rsidRPr="0091426D">
        <w:rPr>
          <w:rFonts w:asciiTheme="minorHAnsi" w:hAnsiTheme="minorHAnsi" w:cstheme="minorHAnsi"/>
          <w:szCs w:val="24"/>
        </w:rPr>
        <w:t xml:space="preserve">each application is assessed by the NCT on its own merits, and applicants are responsible for the accuracy and completeness of any documents that they submit; and </w:t>
      </w:r>
    </w:p>
    <w:p w14:paraId="347932C7" w14:textId="04ACF10B" w:rsidR="00190EEE" w:rsidRPr="0091426D" w:rsidRDefault="00190EEE" w:rsidP="00150A86">
      <w:pPr>
        <w:pStyle w:val="enumlev3"/>
        <w:tabs>
          <w:tab w:val="clear" w:pos="794"/>
          <w:tab w:val="clear" w:pos="1191"/>
          <w:tab w:val="clear" w:pos="1588"/>
          <w:tab w:val="clear" w:pos="1985"/>
          <w:tab w:val="left" w:pos="567"/>
          <w:tab w:val="left" w:pos="1134"/>
          <w:tab w:val="left" w:pos="1701"/>
          <w:tab w:val="left" w:pos="2268"/>
        </w:tabs>
        <w:spacing w:before="120"/>
        <w:ind w:left="1701" w:hanging="567"/>
        <w:rPr>
          <w:rFonts w:asciiTheme="minorHAnsi" w:hAnsiTheme="minorHAnsi" w:cstheme="minorHAnsi"/>
          <w:szCs w:val="24"/>
        </w:rPr>
      </w:pPr>
      <w:r w:rsidRPr="0091426D">
        <w:rPr>
          <w:rFonts w:asciiTheme="minorHAnsi" w:hAnsiTheme="minorHAnsi" w:cstheme="minorHAnsi"/>
          <w:szCs w:val="24"/>
        </w:rPr>
        <w:t>b)</w:t>
      </w:r>
      <w:r w:rsidR="00150A86">
        <w:rPr>
          <w:rFonts w:asciiTheme="minorHAnsi" w:hAnsiTheme="minorHAnsi" w:cstheme="minorHAnsi"/>
          <w:szCs w:val="24"/>
        </w:rPr>
        <w:tab/>
      </w:r>
      <w:r w:rsidRPr="0091426D">
        <w:rPr>
          <w:rFonts w:asciiTheme="minorHAnsi" w:hAnsiTheme="minorHAnsi" w:cstheme="minorHAnsi"/>
          <w:szCs w:val="24"/>
        </w:rPr>
        <w:t xml:space="preserve">the NCT frequently seeks clarifications from the submitters during consideration of applications, and therefore the original application distributed on the mailing list should not be considered to be the final form of the application, nor </w:t>
      </w:r>
      <w:proofErr w:type="gramStart"/>
      <w:r w:rsidRPr="0091426D">
        <w:rPr>
          <w:rFonts w:asciiTheme="minorHAnsi" w:hAnsiTheme="minorHAnsi" w:cstheme="minorHAnsi"/>
          <w:szCs w:val="24"/>
        </w:rPr>
        <w:t>relied</w:t>
      </w:r>
      <w:proofErr w:type="gramEnd"/>
      <w:r w:rsidRPr="0091426D">
        <w:rPr>
          <w:rFonts w:asciiTheme="minorHAnsi" w:hAnsiTheme="minorHAnsi" w:cstheme="minorHAnsi"/>
          <w:szCs w:val="24"/>
        </w:rPr>
        <w:t xml:space="preserve"> up as the basis for drafting applications.</w:t>
      </w:r>
    </w:p>
    <w:p w14:paraId="3F81FF75" w14:textId="2232EA6E" w:rsidR="00190EEE" w:rsidRPr="0091426D" w:rsidRDefault="00190EEE" w:rsidP="00150A86">
      <w:pPr>
        <w:pStyle w:val="enumlev2"/>
        <w:tabs>
          <w:tab w:val="clear" w:pos="794"/>
          <w:tab w:val="clear" w:pos="1191"/>
          <w:tab w:val="clear" w:pos="1588"/>
          <w:tab w:val="clear" w:pos="1985"/>
          <w:tab w:val="left" w:pos="567"/>
          <w:tab w:val="left" w:pos="1134"/>
          <w:tab w:val="left" w:pos="1701"/>
          <w:tab w:val="left" w:pos="2268"/>
        </w:tabs>
        <w:spacing w:before="60"/>
        <w:ind w:left="1134" w:hanging="567"/>
        <w:rPr>
          <w:rFonts w:asciiTheme="minorHAnsi" w:eastAsia="Calibri" w:hAnsiTheme="minorHAnsi" w:cstheme="minorHAnsi"/>
          <w:szCs w:val="24"/>
        </w:rPr>
      </w:pPr>
      <w:r w:rsidRPr="0091426D">
        <w:rPr>
          <w:rFonts w:asciiTheme="minorHAnsi" w:hAnsiTheme="minorHAnsi" w:cstheme="minorHAnsi"/>
          <w:szCs w:val="24"/>
        </w:rPr>
        <w:t>2)</w:t>
      </w:r>
      <w:r w:rsidRPr="0091426D">
        <w:rPr>
          <w:rFonts w:asciiTheme="minorHAnsi" w:hAnsiTheme="minorHAnsi" w:cstheme="minorHAnsi"/>
          <w:szCs w:val="24"/>
        </w:rPr>
        <w:tab/>
        <w:t xml:space="preserve">applicants may refer to </w:t>
      </w:r>
      <w:hyperlink r:id="rId14" w:history="1">
        <w:r w:rsidRPr="0091426D">
          <w:rPr>
            <w:rFonts w:asciiTheme="minorHAnsi" w:hAnsiTheme="minorHAnsi" w:cstheme="minorHAnsi"/>
            <w:color w:val="0000FF"/>
            <w:szCs w:val="24"/>
            <w:u w:val="single"/>
          </w:rPr>
          <w:t>Q1/2 RGM TD9R1</w:t>
        </w:r>
      </w:hyperlink>
      <w:r w:rsidRPr="0091426D">
        <w:rPr>
          <w:rFonts w:asciiTheme="minorHAnsi" w:hAnsiTheme="minorHAnsi" w:cstheme="minorHAnsi"/>
          <w:szCs w:val="24"/>
        </w:rPr>
        <w:t xml:space="preserve"> (February 2024), which contains a list of IoT/M2M use cases for which assignments have already been made, recognizing that this list is not exhaustive and does not anticipate future use cases.</w:t>
      </w:r>
    </w:p>
    <w:p w14:paraId="7B348857" w14:textId="7E52A106" w:rsidR="00835D34" w:rsidRPr="0091426D" w:rsidRDefault="00835D34" w:rsidP="00D70BEE">
      <w:pPr>
        <w:pStyle w:val="Heading1"/>
        <w:tabs>
          <w:tab w:val="clear" w:pos="794"/>
          <w:tab w:val="clear" w:pos="1191"/>
          <w:tab w:val="clear" w:pos="1588"/>
          <w:tab w:val="clear" w:pos="1985"/>
          <w:tab w:val="left" w:pos="567"/>
          <w:tab w:val="left" w:pos="1134"/>
          <w:tab w:val="left" w:pos="1701"/>
          <w:tab w:val="left" w:pos="2268"/>
        </w:tabs>
        <w:rPr>
          <w:rFonts w:asciiTheme="minorHAnsi" w:eastAsia="DengXian Light" w:hAnsiTheme="minorHAnsi" w:cstheme="minorHAnsi"/>
          <w:szCs w:val="24"/>
        </w:rPr>
      </w:pPr>
      <w:r w:rsidRPr="0091426D">
        <w:rPr>
          <w:rFonts w:asciiTheme="minorHAnsi" w:eastAsia="DengXian Light" w:hAnsiTheme="minorHAnsi" w:cstheme="minorHAnsi"/>
          <w:szCs w:val="24"/>
        </w:rPr>
        <w:t>Additional Guidance</w:t>
      </w:r>
    </w:p>
    <w:p w14:paraId="295F6DC3" w14:textId="77777777" w:rsidR="00835D34" w:rsidRPr="0091426D" w:rsidRDefault="00835D34" w:rsidP="00150A86">
      <w:pPr>
        <w:tabs>
          <w:tab w:val="left" w:pos="567"/>
          <w:tab w:val="left" w:pos="1134"/>
          <w:tab w:val="left" w:pos="1701"/>
          <w:tab w:val="left" w:pos="2268"/>
        </w:tabs>
        <w:rPr>
          <w:rFonts w:asciiTheme="minorHAnsi" w:hAnsiTheme="minorHAnsi" w:cstheme="minorHAnsi"/>
          <w:lang w:eastAsia="en-US"/>
        </w:rPr>
      </w:pPr>
      <w:r w:rsidRPr="0091426D">
        <w:rPr>
          <w:rFonts w:asciiTheme="minorHAnsi" w:hAnsiTheme="minorHAnsi" w:cstheme="minorHAnsi"/>
          <w:lang w:eastAsia="en-US"/>
        </w:rPr>
        <w:t>All communication by the applicant should be with the Director of the TSB or their representative.  There should be no direct communication by the applicant with the members of the NCT.</w:t>
      </w:r>
    </w:p>
    <w:p w14:paraId="0074103B" w14:textId="1A6C0E29" w:rsidR="0024643E" w:rsidRDefault="0024643E" w:rsidP="00D70BEE">
      <w:pPr>
        <w:keepNext/>
        <w:keepLines/>
        <w:overflowPunct w:val="0"/>
        <w:autoSpaceDE w:val="0"/>
        <w:autoSpaceDN w:val="0"/>
        <w:adjustRightInd w:val="0"/>
        <w:spacing w:before="360"/>
        <w:ind w:left="794" w:hanging="794"/>
        <w:textAlignment w:val="baseline"/>
        <w:outlineLvl w:val="0"/>
        <w:rPr>
          <w:rFonts w:asciiTheme="minorHAnsi" w:hAnsiTheme="minorHAnsi" w:cstheme="minorHAnsi"/>
          <w:b/>
          <w:bCs/>
        </w:rPr>
      </w:pPr>
      <w:r w:rsidRPr="00EA3397">
        <w:rPr>
          <w:rFonts w:asciiTheme="minorHAnsi" w:hAnsiTheme="minorHAnsi" w:cstheme="minorHAnsi"/>
          <w:b/>
          <w:bCs/>
        </w:rPr>
        <w:lastRenderedPageBreak/>
        <w:t>Applications for use in IoT</w:t>
      </w:r>
      <w:r>
        <w:rPr>
          <w:rFonts w:asciiTheme="minorHAnsi" w:hAnsiTheme="minorHAnsi" w:cstheme="minorHAnsi"/>
          <w:b/>
          <w:bCs/>
        </w:rPr>
        <w:t xml:space="preserve"> deployment</w:t>
      </w:r>
      <w:r w:rsidRPr="00EA3397">
        <w:rPr>
          <w:rFonts w:asciiTheme="minorHAnsi" w:hAnsiTheme="minorHAnsi" w:cstheme="minorHAnsi"/>
          <w:b/>
          <w:bCs/>
        </w:rPr>
        <w:t xml:space="preserve"> </w:t>
      </w:r>
    </w:p>
    <w:p w14:paraId="3C324978" w14:textId="12616AAB" w:rsidR="003D3D14" w:rsidRPr="006F6490" w:rsidRDefault="0024643E" w:rsidP="002E0F46">
      <w:pPr>
        <w:rPr>
          <w:rFonts w:asciiTheme="minorHAnsi" w:hAnsiTheme="minorHAnsi" w:cstheme="minorHAnsi"/>
        </w:rPr>
      </w:pPr>
      <w:r w:rsidRPr="00EA3397">
        <w:rPr>
          <w:rFonts w:asciiTheme="minorHAnsi" w:hAnsiTheme="minorHAnsi" w:cstheme="minorHAnsi"/>
          <w:bCs/>
        </w:rPr>
        <w:t>As agreed by ITU-T Study Group 2 at its 29 March-7 April 2017 meeting</w:t>
      </w:r>
      <w:r w:rsidR="003A5511">
        <w:rPr>
          <w:rFonts w:asciiTheme="minorHAnsi" w:hAnsiTheme="minorHAnsi" w:cstheme="minorHAnsi"/>
          <w:bCs/>
        </w:rPr>
        <w:t xml:space="preserve"> </w:t>
      </w:r>
      <w:r w:rsidR="0036416C">
        <w:rPr>
          <w:rFonts w:asciiTheme="minorHAnsi" w:hAnsiTheme="minorHAnsi" w:cstheme="minorHAnsi"/>
          <w:bCs/>
        </w:rPr>
        <w:t xml:space="preserve">(please refer to document </w:t>
      </w:r>
      <w:hyperlink r:id="rId15" w:history="1">
        <w:r w:rsidR="0036416C" w:rsidRPr="001639A5">
          <w:rPr>
            <w:rStyle w:val="Hyperlink"/>
            <w:rFonts w:asciiTheme="minorHAnsi" w:hAnsiTheme="minorHAnsi" w:cstheme="minorHAnsi"/>
            <w:bCs/>
          </w:rPr>
          <w:t>SG2</w:t>
        </w:r>
        <w:r w:rsidR="001639A5" w:rsidRPr="001639A5">
          <w:rPr>
            <w:rStyle w:val="Hyperlink"/>
            <w:rFonts w:asciiTheme="minorHAnsi" w:hAnsiTheme="minorHAnsi" w:cstheme="minorHAnsi"/>
            <w:bCs/>
          </w:rPr>
          <w:t>-</w:t>
        </w:r>
        <w:r w:rsidR="0036416C" w:rsidRPr="001639A5">
          <w:rPr>
            <w:rStyle w:val="Hyperlink"/>
            <w:rFonts w:asciiTheme="minorHAnsi" w:hAnsiTheme="minorHAnsi" w:cstheme="minorHAnsi"/>
            <w:bCs/>
          </w:rPr>
          <w:t>TD</w:t>
        </w:r>
        <w:r w:rsidR="001639A5" w:rsidRPr="001639A5">
          <w:rPr>
            <w:rStyle w:val="Hyperlink"/>
            <w:rFonts w:asciiTheme="minorHAnsi" w:hAnsiTheme="minorHAnsi" w:cstheme="minorHAnsi"/>
            <w:bCs/>
          </w:rPr>
          <w:t>(Rev.2)/GEN</w:t>
        </w:r>
      </w:hyperlink>
      <w:r w:rsidR="001639A5">
        <w:rPr>
          <w:rFonts w:asciiTheme="minorHAnsi" w:hAnsiTheme="minorHAnsi" w:cstheme="minorHAnsi"/>
          <w:bCs/>
        </w:rPr>
        <w:t>)</w:t>
      </w:r>
      <w:r>
        <w:rPr>
          <w:rFonts w:asciiTheme="minorHAnsi" w:hAnsiTheme="minorHAnsi" w:cstheme="minorHAnsi"/>
          <w:bCs/>
        </w:rPr>
        <w:t xml:space="preserve">, </w:t>
      </w:r>
      <w:r w:rsidR="002E0F46">
        <w:rPr>
          <w:rFonts w:asciiTheme="minorHAnsi" w:hAnsiTheme="minorHAnsi" w:cstheme="minorHAnsi"/>
          <w:bCs/>
        </w:rPr>
        <w:t>below may be found</w:t>
      </w:r>
      <w:r w:rsidR="003D3D14" w:rsidRPr="006F6490">
        <w:rPr>
          <w:rFonts w:asciiTheme="minorHAnsi" w:hAnsiTheme="minorHAnsi" w:cstheme="minorHAnsi"/>
        </w:rPr>
        <w:t xml:space="preserve"> guidance for the assignments of resource under E.164.1 and E.212 Annex A. It is therefore relevant for the evaluation of applications for MNCs according to Recommendation E.212 annex A and ICs according to Recommendation E.164.1. It is intended as a living document to be used both as elements to consider for the Number Coordination Team in the evaluation of an assignments/request as per the relevant sections of these recommendations. or for assignees to assess the need of requesting an extension to their assignment. This does not replace or supersede the criteria as defined in the recommendations. Nor do the provisions of this document bind the NCT when it develops advice to be given to the Director.  As the time of writing, it would be applicable to MCC 901 and CCs 882 and 883.  </w:t>
      </w:r>
    </w:p>
    <w:p w14:paraId="2FFA1884" w14:textId="51F6DA13" w:rsidR="003D3D14" w:rsidRPr="006F6490" w:rsidRDefault="003D3D14" w:rsidP="00D70BEE">
      <w:pPr>
        <w:pStyle w:val="Heading1"/>
        <w:rPr>
          <w:rFonts w:asciiTheme="minorHAnsi" w:hAnsiTheme="minorHAnsi" w:cstheme="minorHAnsi"/>
          <w:szCs w:val="24"/>
        </w:rPr>
      </w:pPr>
      <w:r w:rsidRPr="006F6490">
        <w:rPr>
          <w:rFonts w:asciiTheme="minorHAnsi" w:hAnsiTheme="minorHAnsi" w:cstheme="minorHAnsi"/>
          <w:szCs w:val="24"/>
        </w:rPr>
        <w:t xml:space="preserve">Guidance for IoT services </w:t>
      </w:r>
    </w:p>
    <w:p w14:paraId="288B4184" w14:textId="633DDD6C" w:rsidR="003D3D14" w:rsidRPr="006F6490" w:rsidRDefault="003D3D14" w:rsidP="004A4006">
      <w:pPr>
        <w:keepNext/>
        <w:rPr>
          <w:rFonts w:asciiTheme="minorHAnsi" w:hAnsiTheme="minorHAnsi" w:cstheme="minorHAnsi"/>
          <w:bCs/>
        </w:rPr>
      </w:pPr>
      <w:r w:rsidRPr="006F6490">
        <w:rPr>
          <w:rFonts w:asciiTheme="minorHAnsi" w:hAnsiTheme="minorHAnsi" w:cstheme="minorHAnsi"/>
          <w:bCs/>
        </w:rPr>
        <w:t xml:space="preserve">Global resources can be used on a specific device both for IoT and voice service under the condition </w:t>
      </w:r>
    </w:p>
    <w:p w14:paraId="015D3C53" w14:textId="467B9421" w:rsidR="003D3D14" w:rsidRPr="006F6490" w:rsidRDefault="003D3D14" w:rsidP="004A4006">
      <w:pPr>
        <w:pStyle w:val="ListParagraph"/>
        <w:keepLines/>
        <w:numPr>
          <w:ilvl w:val="0"/>
          <w:numId w:val="17"/>
        </w:numPr>
        <w:ind w:left="567" w:hanging="567"/>
        <w:contextualSpacing w:val="0"/>
        <w:rPr>
          <w:rFonts w:asciiTheme="minorHAnsi" w:hAnsiTheme="minorHAnsi" w:cstheme="minorHAnsi"/>
          <w:bCs/>
        </w:rPr>
      </w:pPr>
      <w:r w:rsidRPr="006F6490">
        <w:rPr>
          <w:rFonts w:asciiTheme="minorHAnsi" w:hAnsiTheme="minorHAnsi" w:cstheme="minorHAnsi"/>
        </w:rPr>
        <w:t>it does not duplicate any existing public service in particular the public telephony service which is primarily intended for the exchange of information in the form of speech, whereby users can communicate directly and temporarily between themselves in conversational mode (</w:t>
      </w:r>
      <w:r w:rsidRPr="006F6490">
        <w:rPr>
          <w:rFonts w:asciiTheme="minorHAnsi" w:hAnsiTheme="minorHAnsi" w:cstheme="minorHAnsi"/>
          <w:i/>
        </w:rPr>
        <w:t>taken from E.105</w:t>
      </w:r>
      <w:r w:rsidRPr="006F6490">
        <w:rPr>
          <w:rFonts w:asciiTheme="minorHAnsi" w:hAnsiTheme="minorHAnsi" w:cstheme="minorHAnsi"/>
        </w:rPr>
        <w:t>). For example</w:t>
      </w:r>
      <w:r w:rsidR="00BB3DA9">
        <w:rPr>
          <w:rFonts w:asciiTheme="minorHAnsi" w:hAnsiTheme="minorHAnsi" w:cstheme="minorHAnsi"/>
        </w:rPr>
        <w:t>,</w:t>
      </w:r>
      <w:r w:rsidRPr="006F6490">
        <w:rPr>
          <w:rFonts w:asciiTheme="minorHAnsi" w:hAnsiTheme="minorHAnsi" w:cstheme="minorHAnsi"/>
        </w:rPr>
        <w:t xml:space="preserve"> communications in a closed user group do not duplicate the public telephony service. </w:t>
      </w:r>
    </w:p>
    <w:p w14:paraId="58C812DE" w14:textId="316AFDAF" w:rsidR="003D3D14" w:rsidRPr="006F6490" w:rsidRDefault="003D3D14" w:rsidP="004A4006">
      <w:pPr>
        <w:pStyle w:val="ListParagraph"/>
        <w:keepLines/>
        <w:numPr>
          <w:ilvl w:val="0"/>
          <w:numId w:val="17"/>
        </w:numPr>
        <w:ind w:left="567" w:hanging="567"/>
        <w:contextualSpacing w:val="0"/>
        <w:rPr>
          <w:rFonts w:asciiTheme="minorHAnsi" w:hAnsiTheme="minorHAnsi" w:cstheme="minorHAnsi"/>
          <w:bCs/>
        </w:rPr>
      </w:pPr>
      <w:r w:rsidRPr="006F6490">
        <w:rPr>
          <w:rFonts w:asciiTheme="minorHAnsi" w:hAnsiTheme="minorHAnsi" w:cstheme="minorHAnsi"/>
          <w:bCs/>
        </w:rPr>
        <w:t>no sub-assignment of the IC is made by the assignee to a VoIP service provider to use on connected device access. For example, the calls are initiated, routed and terminated entirely on the public telecommunications networks, which includes IP-based networks and dedicated networks such as those on ships and aircrafts, and satellite networks.</w:t>
      </w:r>
    </w:p>
    <w:p w14:paraId="0E88C26A" w14:textId="77777777" w:rsidR="003D3D14" w:rsidRDefault="003D3D14" w:rsidP="0091426D">
      <w:pPr>
        <w:rPr>
          <w:rFonts w:asciiTheme="minorHAnsi" w:hAnsiTheme="minorHAnsi" w:cstheme="minorHAnsi"/>
        </w:rPr>
      </w:pPr>
      <w:r w:rsidRPr="006F6490">
        <w:rPr>
          <w:rFonts w:asciiTheme="minorHAnsi" w:hAnsiTheme="minorHAnsi" w:cstheme="minorHAnsi"/>
        </w:rPr>
        <w:t>Beyond this, if the assignee changes the remit of the services described in the application, this does not require an extension request but needs to be notified in the annual report.</w:t>
      </w:r>
      <w:r w:rsidRPr="0091426D">
        <w:rPr>
          <w:rFonts w:asciiTheme="minorHAnsi" w:hAnsiTheme="minorHAnsi" w:cstheme="minorHAnsi"/>
        </w:rPr>
        <w:t xml:space="preserve">  </w:t>
      </w:r>
    </w:p>
    <w:p w14:paraId="39076E03" w14:textId="6D144AB8" w:rsidR="006F6490" w:rsidRDefault="006F6490">
      <w:pPr>
        <w:spacing w:before="0" w:after="160" w:line="259" w:lineRule="auto"/>
        <w:rPr>
          <w:rFonts w:asciiTheme="minorHAnsi" w:hAnsiTheme="minorHAnsi" w:cstheme="minorHAnsi"/>
        </w:rPr>
      </w:pPr>
      <w:r>
        <w:rPr>
          <w:rFonts w:asciiTheme="minorHAnsi" w:hAnsiTheme="minorHAnsi" w:cstheme="minorHAnsi"/>
        </w:rPr>
        <w:br w:type="page"/>
      </w:r>
    </w:p>
    <w:p w14:paraId="40C03A5A" w14:textId="0771072A" w:rsidR="003E6967" w:rsidRPr="0091426D" w:rsidRDefault="003E6967" w:rsidP="0091426D">
      <w:pPr>
        <w:pStyle w:val="AnnexNo"/>
        <w:spacing w:before="120" w:after="0"/>
        <w:rPr>
          <w:rFonts w:asciiTheme="minorHAnsi" w:hAnsiTheme="minorHAnsi" w:cstheme="minorHAnsi"/>
          <w:b/>
          <w:bCs w:val="0"/>
          <w:sz w:val="24"/>
          <w:szCs w:val="24"/>
        </w:rPr>
      </w:pPr>
      <w:r w:rsidRPr="0091426D">
        <w:rPr>
          <w:rFonts w:asciiTheme="minorHAnsi" w:hAnsiTheme="minorHAnsi" w:cstheme="minorHAnsi"/>
          <w:b/>
          <w:bCs w:val="0"/>
          <w:sz w:val="24"/>
          <w:szCs w:val="24"/>
        </w:rPr>
        <w:lastRenderedPageBreak/>
        <w:t>Annex A:</w:t>
      </w:r>
      <w:r w:rsidRPr="0091426D">
        <w:rPr>
          <w:rFonts w:asciiTheme="minorHAnsi" w:hAnsiTheme="minorHAnsi" w:cstheme="minorHAnsi"/>
          <w:b/>
          <w:bCs w:val="0"/>
          <w:sz w:val="24"/>
          <w:szCs w:val="24"/>
        </w:rPr>
        <w:br/>
        <w:t>Application self-check list</w:t>
      </w:r>
    </w:p>
    <w:p w14:paraId="298B59DA" w14:textId="77777777" w:rsidR="003E6967" w:rsidRPr="0091426D" w:rsidRDefault="003E6967" w:rsidP="00DC2EFB">
      <w:pPr>
        <w:tabs>
          <w:tab w:val="left" w:pos="1134"/>
          <w:tab w:val="left" w:pos="1871"/>
          <w:tab w:val="left" w:pos="2268"/>
        </w:tabs>
        <w:overflowPunct w:val="0"/>
        <w:autoSpaceDE w:val="0"/>
        <w:autoSpaceDN w:val="0"/>
        <w:adjustRightInd w:val="0"/>
        <w:spacing w:before="480"/>
        <w:textAlignment w:val="baseline"/>
        <w:rPr>
          <w:rFonts w:asciiTheme="minorHAnsi" w:eastAsia="Times New Roman" w:hAnsiTheme="minorHAnsi" w:cstheme="minorHAnsi"/>
          <w:lang w:eastAsia="en-US"/>
        </w:rPr>
      </w:pPr>
      <w:r w:rsidRPr="0091426D">
        <w:rPr>
          <w:rFonts w:asciiTheme="minorHAnsi" w:eastAsia="Times New Roman" w:hAnsiTheme="minorHAnsi" w:cstheme="minorHAnsi"/>
          <w:lang w:eastAsia="en-US"/>
        </w:rPr>
        <w:t>This annex provides some self-check questions to ensure that commonly missing or insufficient elements of an application are included. This is intended to reduce the number of clarifications needed during the evaluation of an application and therefore expedite their processing.</w:t>
      </w:r>
    </w:p>
    <w:p w14:paraId="6202BACA" w14:textId="77777777" w:rsidR="003E6967" w:rsidRPr="0091426D" w:rsidRDefault="003E6967" w:rsidP="0091426D">
      <w:pPr>
        <w:overflowPunct w:val="0"/>
        <w:autoSpaceDE w:val="0"/>
        <w:autoSpaceDN w:val="0"/>
        <w:adjustRightInd w:val="0"/>
        <w:ind w:left="567" w:hanging="567"/>
        <w:textAlignment w:val="baseline"/>
        <w:rPr>
          <w:rFonts w:asciiTheme="minorHAnsi" w:eastAsia="Times New Roman" w:hAnsiTheme="minorHAnsi" w:cstheme="minorHAnsi"/>
          <w:lang w:eastAsia="en-US"/>
        </w:rPr>
      </w:pPr>
      <w:r w:rsidRPr="0091426D">
        <w:rPr>
          <w:rFonts w:asciiTheme="minorHAnsi" w:eastAsia="Times New Roman" w:hAnsiTheme="minorHAnsi" w:cstheme="minorHAnsi"/>
          <w:lang w:eastAsia="en-US"/>
        </w:rPr>
        <w:t>1.</w:t>
      </w:r>
      <w:r w:rsidRPr="0091426D">
        <w:rPr>
          <w:rFonts w:asciiTheme="minorHAnsi" w:eastAsia="Times New Roman" w:hAnsiTheme="minorHAnsi" w:cstheme="minorHAnsi"/>
          <w:lang w:eastAsia="en-US"/>
        </w:rPr>
        <w:tab/>
        <w:t>Is it clearly stated whether the request is for reservation or assignment?</w:t>
      </w:r>
    </w:p>
    <w:p w14:paraId="1DC4B2DF" w14:textId="77777777" w:rsidR="003E6967" w:rsidRPr="0091426D" w:rsidRDefault="003E6967" w:rsidP="0091426D">
      <w:pPr>
        <w:overflowPunct w:val="0"/>
        <w:autoSpaceDE w:val="0"/>
        <w:autoSpaceDN w:val="0"/>
        <w:adjustRightInd w:val="0"/>
        <w:ind w:left="567" w:hanging="567"/>
        <w:textAlignment w:val="baseline"/>
        <w:rPr>
          <w:rFonts w:asciiTheme="minorHAnsi" w:eastAsia="Times New Roman" w:hAnsiTheme="minorHAnsi" w:cstheme="minorHAnsi"/>
          <w:lang w:eastAsia="en-US"/>
        </w:rPr>
      </w:pPr>
      <w:r w:rsidRPr="0091426D">
        <w:rPr>
          <w:rFonts w:asciiTheme="minorHAnsi" w:eastAsia="Times New Roman" w:hAnsiTheme="minorHAnsi" w:cstheme="minorHAnsi"/>
          <w:lang w:eastAsia="en-US"/>
        </w:rPr>
        <w:t>2.</w:t>
      </w:r>
      <w:r w:rsidRPr="0091426D">
        <w:rPr>
          <w:rFonts w:asciiTheme="minorHAnsi" w:eastAsia="Times New Roman" w:hAnsiTheme="minorHAnsi" w:cstheme="minorHAnsi"/>
          <w:lang w:eastAsia="en-US"/>
        </w:rPr>
        <w:tab/>
        <w:t>Has the correct template been used, and all criteria addressed?</w:t>
      </w:r>
    </w:p>
    <w:p w14:paraId="1E0EE689" w14:textId="77777777" w:rsidR="003E6967" w:rsidRPr="0091426D" w:rsidRDefault="003E6967" w:rsidP="0091426D">
      <w:pPr>
        <w:overflowPunct w:val="0"/>
        <w:autoSpaceDE w:val="0"/>
        <w:autoSpaceDN w:val="0"/>
        <w:adjustRightInd w:val="0"/>
        <w:ind w:left="567" w:hanging="567"/>
        <w:textAlignment w:val="baseline"/>
        <w:rPr>
          <w:rFonts w:asciiTheme="minorHAnsi" w:eastAsia="Times New Roman" w:hAnsiTheme="minorHAnsi" w:cstheme="minorHAnsi"/>
          <w:lang w:eastAsia="en-US"/>
        </w:rPr>
      </w:pPr>
      <w:r w:rsidRPr="0091426D">
        <w:rPr>
          <w:rFonts w:asciiTheme="minorHAnsi" w:eastAsia="Times New Roman" w:hAnsiTheme="minorHAnsi" w:cstheme="minorHAnsi"/>
          <w:lang w:eastAsia="en-US"/>
        </w:rPr>
        <w:t>3.</w:t>
      </w:r>
      <w:r w:rsidRPr="0091426D">
        <w:rPr>
          <w:rFonts w:asciiTheme="minorHAnsi" w:eastAsia="Times New Roman" w:hAnsiTheme="minorHAnsi" w:cstheme="minorHAnsi"/>
          <w:lang w:eastAsia="en-US"/>
        </w:rPr>
        <w:tab/>
        <w:t>Is the numbering plan clearly defined, indicating the planned use of subranges, structure of the digits, etc.</w:t>
      </w:r>
    </w:p>
    <w:p w14:paraId="3CAEE139" w14:textId="77777777" w:rsidR="003E6967" w:rsidRPr="0091426D" w:rsidRDefault="003E6967" w:rsidP="0091426D">
      <w:pPr>
        <w:overflowPunct w:val="0"/>
        <w:autoSpaceDE w:val="0"/>
        <w:autoSpaceDN w:val="0"/>
        <w:adjustRightInd w:val="0"/>
        <w:ind w:left="567" w:hanging="567"/>
        <w:textAlignment w:val="baseline"/>
        <w:rPr>
          <w:rFonts w:asciiTheme="minorHAnsi" w:eastAsia="Times New Roman" w:hAnsiTheme="minorHAnsi" w:cstheme="minorHAnsi"/>
          <w:lang w:eastAsia="en-US"/>
        </w:rPr>
      </w:pPr>
      <w:r w:rsidRPr="0091426D">
        <w:rPr>
          <w:rFonts w:asciiTheme="minorHAnsi" w:eastAsia="Times New Roman" w:hAnsiTheme="minorHAnsi" w:cstheme="minorHAnsi"/>
          <w:lang w:eastAsia="en-US"/>
        </w:rPr>
        <w:t>4.</w:t>
      </w:r>
      <w:r w:rsidRPr="0091426D">
        <w:rPr>
          <w:rFonts w:asciiTheme="minorHAnsi" w:eastAsia="Times New Roman" w:hAnsiTheme="minorHAnsi" w:cstheme="minorHAnsi"/>
          <w:lang w:eastAsia="en-US"/>
        </w:rPr>
        <w:tab/>
        <w:t>Has it been stated whether any of the requested resources would be sub-assigned, and in such cases how the resources would be managed?</w:t>
      </w:r>
    </w:p>
    <w:p w14:paraId="1C031E2D" w14:textId="77777777" w:rsidR="003E6967" w:rsidRPr="0091426D" w:rsidRDefault="003E6967" w:rsidP="0091426D">
      <w:pPr>
        <w:overflowPunct w:val="0"/>
        <w:autoSpaceDE w:val="0"/>
        <w:autoSpaceDN w:val="0"/>
        <w:adjustRightInd w:val="0"/>
        <w:ind w:left="567" w:hanging="567"/>
        <w:textAlignment w:val="baseline"/>
        <w:rPr>
          <w:rFonts w:asciiTheme="minorHAnsi" w:eastAsia="Times New Roman" w:hAnsiTheme="minorHAnsi" w:cstheme="minorHAnsi"/>
          <w:lang w:eastAsia="en-US"/>
        </w:rPr>
      </w:pPr>
      <w:r w:rsidRPr="0091426D">
        <w:rPr>
          <w:rFonts w:asciiTheme="minorHAnsi" w:eastAsia="Times New Roman" w:hAnsiTheme="minorHAnsi" w:cstheme="minorHAnsi"/>
          <w:lang w:eastAsia="en-US"/>
        </w:rPr>
        <w:t>5.</w:t>
      </w:r>
      <w:r w:rsidRPr="0091426D">
        <w:rPr>
          <w:rFonts w:asciiTheme="minorHAnsi" w:eastAsia="Times New Roman" w:hAnsiTheme="minorHAnsi" w:cstheme="minorHAnsi"/>
          <w:lang w:eastAsia="en-US"/>
        </w:rPr>
        <w:tab/>
        <w:t>Has a copy of any referenced documents been provided? A reference or URL to an external document is not sufficient.</w:t>
      </w:r>
    </w:p>
    <w:p w14:paraId="3EA96F5A" w14:textId="77777777" w:rsidR="003E6967" w:rsidRPr="0091426D" w:rsidRDefault="003E6967" w:rsidP="0091426D">
      <w:pPr>
        <w:overflowPunct w:val="0"/>
        <w:autoSpaceDE w:val="0"/>
        <w:autoSpaceDN w:val="0"/>
        <w:adjustRightInd w:val="0"/>
        <w:ind w:left="567" w:hanging="567"/>
        <w:textAlignment w:val="baseline"/>
        <w:rPr>
          <w:rFonts w:asciiTheme="minorHAnsi" w:eastAsia="Times New Roman" w:hAnsiTheme="minorHAnsi" w:cstheme="minorHAnsi"/>
          <w:lang w:eastAsia="en-US"/>
        </w:rPr>
      </w:pPr>
      <w:r w:rsidRPr="0091426D">
        <w:rPr>
          <w:rFonts w:asciiTheme="minorHAnsi" w:eastAsia="Times New Roman" w:hAnsiTheme="minorHAnsi" w:cstheme="minorHAnsi"/>
          <w:lang w:eastAsia="en-US"/>
        </w:rPr>
        <w:t>6.</w:t>
      </w:r>
      <w:r w:rsidRPr="0091426D">
        <w:rPr>
          <w:rFonts w:asciiTheme="minorHAnsi" w:eastAsia="Times New Roman" w:hAnsiTheme="minorHAnsi" w:cstheme="minorHAnsi"/>
          <w:lang w:eastAsia="en-US"/>
        </w:rPr>
        <w:tab/>
        <w:t>Have all abbreviations been expressed in full, and any special terminology clearly defined? It is recommended to add a glossary of terms and abbreviations to the application.</w:t>
      </w:r>
    </w:p>
    <w:p w14:paraId="0521A2B8" w14:textId="77777777" w:rsidR="003E6967" w:rsidRPr="0091426D" w:rsidRDefault="003E6967" w:rsidP="0091426D">
      <w:pPr>
        <w:overflowPunct w:val="0"/>
        <w:autoSpaceDE w:val="0"/>
        <w:autoSpaceDN w:val="0"/>
        <w:adjustRightInd w:val="0"/>
        <w:ind w:left="567" w:hanging="567"/>
        <w:textAlignment w:val="baseline"/>
        <w:rPr>
          <w:rFonts w:asciiTheme="minorHAnsi" w:eastAsia="Times New Roman" w:hAnsiTheme="minorHAnsi" w:cstheme="minorHAnsi"/>
          <w:lang w:eastAsia="en-US"/>
        </w:rPr>
      </w:pPr>
      <w:r w:rsidRPr="0091426D">
        <w:rPr>
          <w:rFonts w:asciiTheme="minorHAnsi" w:eastAsia="Times New Roman" w:hAnsiTheme="minorHAnsi" w:cstheme="minorHAnsi"/>
          <w:lang w:eastAsia="en-US"/>
        </w:rPr>
        <w:t>7.</w:t>
      </w:r>
      <w:r w:rsidRPr="0091426D">
        <w:rPr>
          <w:rFonts w:asciiTheme="minorHAnsi" w:eastAsia="Times New Roman" w:hAnsiTheme="minorHAnsi" w:cstheme="minorHAnsi"/>
          <w:lang w:eastAsia="en-US"/>
        </w:rPr>
        <w:tab/>
        <w:t>Is a detailed description of the services to be provided, e.g., voice, data, SMS.</w:t>
      </w:r>
    </w:p>
    <w:p w14:paraId="766C2A35" w14:textId="77777777" w:rsidR="003E6967" w:rsidRPr="0091426D" w:rsidRDefault="003E6967" w:rsidP="0091426D">
      <w:pPr>
        <w:overflowPunct w:val="0"/>
        <w:autoSpaceDE w:val="0"/>
        <w:autoSpaceDN w:val="0"/>
        <w:adjustRightInd w:val="0"/>
        <w:ind w:left="567" w:hanging="567"/>
        <w:textAlignment w:val="baseline"/>
        <w:rPr>
          <w:rFonts w:asciiTheme="minorHAnsi" w:eastAsia="Times New Roman" w:hAnsiTheme="minorHAnsi" w:cstheme="minorHAnsi"/>
          <w:lang w:eastAsia="en-US"/>
        </w:rPr>
      </w:pPr>
      <w:r w:rsidRPr="0091426D">
        <w:rPr>
          <w:rFonts w:asciiTheme="minorHAnsi" w:eastAsia="Times New Roman" w:hAnsiTheme="minorHAnsi" w:cstheme="minorHAnsi"/>
          <w:lang w:eastAsia="en-US"/>
        </w:rPr>
        <w:t>8.</w:t>
      </w:r>
      <w:r w:rsidRPr="0091426D">
        <w:rPr>
          <w:rFonts w:asciiTheme="minorHAnsi" w:eastAsia="Times New Roman" w:hAnsiTheme="minorHAnsi" w:cstheme="minorHAnsi"/>
          <w:lang w:eastAsia="en-US"/>
        </w:rPr>
        <w:tab/>
        <w:t>Are the terminology and descriptions consistent between the text and the figures, such as network diagrams/descriptions. Any diagrams should be clearly legible.</w:t>
      </w:r>
    </w:p>
    <w:p w14:paraId="2E9C2A64" w14:textId="77777777" w:rsidR="003E6967" w:rsidRPr="0091426D" w:rsidRDefault="003E6967" w:rsidP="0091426D">
      <w:pPr>
        <w:overflowPunct w:val="0"/>
        <w:autoSpaceDE w:val="0"/>
        <w:autoSpaceDN w:val="0"/>
        <w:adjustRightInd w:val="0"/>
        <w:ind w:left="567" w:hanging="567"/>
        <w:textAlignment w:val="baseline"/>
        <w:rPr>
          <w:rFonts w:asciiTheme="minorHAnsi" w:eastAsia="Times New Roman" w:hAnsiTheme="minorHAnsi" w:cstheme="minorHAnsi"/>
          <w:lang w:eastAsia="en-US"/>
        </w:rPr>
      </w:pPr>
      <w:r w:rsidRPr="0091426D">
        <w:rPr>
          <w:rFonts w:asciiTheme="minorHAnsi" w:eastAsia="Times New Roman" w:hAnsiTheme="minorHAnsi" w:cstheme="minorHAnsi"/>
          <w:lang w:eastAsia="en-US"/>
        </w:rPr>
        <w:t>9.</w:t>
      </w:r>
      <w:r w:rsidRPr="0091426D">
        <w:rPr>
          <w:rFonts w:asciiTheme="minorHAnsi" w:eastAsia="Times New Roman" w:hAnsiTheme="minorHAnsi" w:cstheme="minorHAnsi"/>
          <w:lang w:eastAsia="en-US"/>
        </w:rPr>
        <w:tab/>
        <w:t>Has justification been provided as to why national resources are not appropriate, and why International Numbering Resources are required.</w:t>
      </w:r>
    </w:p>
    <w:p w14:paraId="381310FA" w14:textId="77777777" w:rsidR="003E6967" w:rsidRPr="0091426D" w:rsidRDefault="003E6967" w:rsidP="0091426D">
      <w:pPr>
        <w:overflowPunct w:val="0"/>
        <w:autoSpaceDE w:val="0"/>
        <w:autoSpaceDN w:val="0"/>
        <w:adjustRightInd w:val="0"/>
        <w:ind w:left="567" w:hanging="567"/>
        <w:textAlignment w:val="baseline"/>
        <w:rPr>
          <w:rFonts w:asciiTheme="minorHAnsi" w:eastAsia="Times New Roman" w:hAnsiTheme="minorHAnsi" w:cstheme="minorHAnsi"/>
          <w:lang w:eastAsia="en-US"/>
        </w:rPr>
      </w:pPr>
      <w:r w:rsidRPr="0091426D">
        <w:rPr>
          <w:rFonts w:asciiTheme="minorHAnsi" w:eastAsia="Times New Roman" w:hAnsiTheme="minorHAnsi" w:cstheme="minorHAnsi"/>
          <w:lang w:eastAsia="en-US"/>
        </w:rPr>
        <w:t>10.</w:t>
      </w:r>
      <w:r w:rsidRPr="0091426D">
        <w:rPr>
          <w:rFonts w:asciiTheme="minorHAnsi" w:eastAsia="Times New Roman" w:hAnsiTheme="minorHAnsi" w:cstheme="minorHAnsi"/>
          <w:lang w:eastAsia="en-US"/>
        </w:rPr>
        <w:tab/>
        <w:t>Are the details of routing and roaming included for each application?</w:t>
      </w:r>
    </w:p>
    <w:p w14:paraId="4E7F07B5" w14:textId="77777777" w:rsidR="003E6967" w:rsidRPr="0091426D" w:rsidRDefault="003E6967" w:rsidP="0091426D">
      <w:pPr>
        <w:overflowPunct w:val="0"/>
        <w:autoSpaceDE w:val="0"/>
        <w:autoSpaceDN w:val="0"/>
        <w:adjustRightInd w:val="0"/>
        <w:ind w:left="567" w:hanging="567"/>
        <w:textAlignment w:val="baseline"/>
        <w:rPr>
          <w:rFonts w:asciiTheme="minorHAnsi" w:eastAsia="Times New Roman" w:hAnsiTheme="minorHAnsi" w:cstheme="minorHAnsi"/>
          <w:lang w:eastAsia="en-US"/>
        </w:rPr>
      </w:pPr>
      <w:r w:rsidRPr="0091426D">
        <w:rPr>
          <w:rFonts w:asciiTheme="minorHAnsi" w:eastAsia="Times New Roman" w:hAnsiTheme="minorHAnsi" w:cstheme="minorHAnsi"/>
          <w:lang w:eastAsia="en-US"/>
        </w:rPr>
        <w:t>11.</w:t>
      </w:r>
      <w:r w:rsidRPr="0091426D">
        <w:rPr>
          <w:rFonts w:asciiTheme="minorHAnsi" w:eastAsia="Times New Roman" w:hAnsiTheme="minorHAnsi" w:cstheme="minorHAnsi"/>
          <w:lang w:eastAsia="en-US"/>
        </w:rPr>
        <w:tab/>
        <w:t>In the case of applications for both E.164 and E.212 resources, is each criterion addressed explicitly as a stand-alone document?</w:t>
      </w:r>
    </w:p>
    <w:p w14:paraId="7A579021" w14:textId="77777777" w:rsidR="003E6967" w:rsidRPr="0091426D" w:rsidRDefault="003E6967" w:rsidP="0091426D">
      <w:pPr>
        <w:overflowPunct w:val="0"/>
        <w:autoSpaceDE w:val="0"/>
        <w:autoSpaceDN w:val="0"/>
        <w:adjustRightInd w:val="0"/>
        <w:ind w:left="567" w:hanging="567"/>
        <w:textAlignment w:val="baseline"/>
        <w:rPr>
          <w:rFonts w:asciiTheme="minorHAnsi" w:eastAsia="Times New Roman" w:hAnsiTheme="minorHAnsi" w:cstheme="minorHAnsi"/>
          <w:lang w:eastAsia="en-US"/>
        </w:rPr>
      </w:pPr>
      <w:r w:rsidRPr="0091426D">
        <w:rPr>
          <w:rFonts w:asciiTheme="minorHAnsi" w:eastAsia="Times New Roman" w:hAnsiTheme="minorHAnsi" w:cstheme="minorHAnsi"/>
          <w:lang w:eastAsia="en-US"/>
        </w:rPr>
        <w:t>12.</w:t>
      </w:r>
      <w:r w:rsidRPr="0091426D">
        <w:rPr>
          <w:rFonts w:asciiTheme="minorHAnsi" w:eastAsia="Times New Roman" w:hAnsiTheme="minorHAnsi" w:cstheme="minorHAnsi"/>
          <w:lang w:eastAsia="en-US"/>
        </w:rPr>
        <w:tab/>
        <w:t>Has the applicant affirmed that it will meet the regulatory, licensing, and legal requirements of the countries in which its network will operate and of the country where the applicant is based?</w:t>
      </w:r>
    </w:p>
    <w:p w14:paraId="0C4138FA" w14:textId="77777777" w:rsidR="003E6967" w:rsidRPr="0091426D" w:rsidRDefault="003E6967" w:rsidP="0091426D">
      <w:pPr>
        <w:overflowPunct w:val="0"/>
        <w:autoSpaceDE w:val="0"/>
        <w:autoSpaceDN w:val="0"/>
        <w:adjustRightInd w:val="0"/>
        <w:ind w:left="567" w:hanging="567"/>
        <w:textAlignment w:val="baseline"/>
        <w:rPr>
          <w:rFonts w:asciiTheme="minorHAnsi" w:eastAsia="Times New Roman" w:hAnsiTheme="minorHAnsi" w:cstheme="minorHAnsi"/>
          <w:lang w:eastAsia="en-US"/>
        </w:rPr>
      </w:pPr>
      <w:r w:rsidRPr="0091426D">
        <w:rPr>
          <w:rFonts w:asciiTheme="minorHAnsi" w:eastAsia="Times New Roman" w:hAnsiTheme="minorHAnsi" w:cstheme="minorHAnsi"/>
          <w:lang w:eastAsia="en-US"/>
        </w:rPr>
        <w:t>13.</w:t>
      </w:r>
      <w:r w:rsidRPr="0091426D">
        <w:rPr>
          <w:rFonts w:asciiTheme="minorHAnsi" w:eastAsia="Times New Roman" w:hAnsiTheme="minorHAnsi" w:cstheme="minorHAnsi"/>
          <w:lang w:eastAsia="en-US"/>
        </w:rPr>
        <w:tab/>
        <w:t xml:space="preserve">Is it clearly stated whether the E.164 resource being applied for is +882 or +883, noting that +883 is the preferred CC for M2M/IoT applications? </w:t>
      </w:r>
    </w:p>
    <w:p w14:paraId="288CDD17" w14:textId="77777777" w:rsidR="00DC2EFB" w:rsidRDefault="00DC2EFB" w:rsidP="0091426D">
      <w:pPr>
        <w:tabs>
          <w:tab w:val="left" w:pos="1134"/>
          <w:tab w:val="left" w:pos="1871"/>
          <w:tab w:val="left" w:pos="2268"/>
        </w:tabs>
        <w:overflowPunct w:val="0"/>
        <w:autoSpaceDE w:val="0"/>
        <w:autoSpaceDN w:val="0"/>
        <w:adjustRightInd w:val="0"/>
        <w:jc w:val="center"/>
        <w:textAlignment w:val="baseline"/>
        <w:rPr>
          <w:rFonts w:asciiTheme="minorHAnsi" w:eastAsia="Times New Roman" w:hAnsiTheme="minorHAnsi" w:cstheme="minorHAnsi"/>
          <w:lang w:eastAsia="en-US"/>
        </w:rPr>
      </w:pPr>
    </w:p>
    <w:p w14:paraId="0DE5FB35" w14:textId="6C197AE7" w:rsidR="00835D34" w:rsidRPr="0091426D" w:rsidRDefault="003E6967" w:rsidP="0091426D">
      <w:pPr>
        <w:tabs>
          <w:tab w:val="left" w:pos="1134"/>
          <w:tab w:val="left" w:pos="1871"/>
          <w:tab w:val="left" w:pos="2268"/>
        </w:tabs>
        <w:overflowPunct w:val="0"/>
        <w:autoSpaceDE w:val="0"/>
        <w:autoSpaceDN w:val="0"/>
        <w:adjustRightInd w:val="0"/>
        <w:jc w:val="center"/>
        <w:textAlignment w:val="baseline"/>
        <w:rPr>
          <w:rFonts w:asciiTheme="minorHAnsi" w:hAnsiTheme="minorHAnsi" w:cstheme="minorHAnsi"/>
        </w:rPr>
      </w:pPr>
      <w:r w:rsidRPr="0091426D">
        <w:rPr>
          <w:rFonts w:asciiTheme="minorHAnsi" w:eastAsia="Times New Roman" w:hAnsiTheme="minorHAnsi" w:cstheme="minorHAnsi"/>
          <w:lang w:eastAsia="en-US"/>
        </w:rPr>
        <w:t>________________</w:t>
      </w:r>
    </w:p>
    <w:sectPr w:rsidR="00835D34" w:rsidRPr="0091426D" w:rsidSect="0079021B">
      <w:headerReference w:type="default" r:id="rId16"/>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E47E6" w14:textId="77777777" w:rsidR="001739C0" w:rsidRDefault="001739C0" w:rsidP="00C42125">
      <w:pPr>
        <w:spacing w:before="0"/>
      </w:pPr>
      <w:r>
        <w:separator/>
      </w:r>
    </w:p>
  </w:endnote>
  <w:endnote w:type="continuationSeparator" w:id="0">
    <w:p w14:paraId="5E999265" w14:textId="77777777" w:rsidR="001739C0" w:rsidRDefault="001739C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0992F" w14:textId="77777777" w:rsidR="001739C0" w:rsidRDefault="001739C0" w:rsidP="00C42125">
      <w:pPr>
        <w:spacing w:before="0"/>
      </w:pPr>
      <w:r>
        <w:separator/>
      </w:r>
    </w:p>
  </w:footnote>
  <w:footnote w:type="continuationSeparator" w:id="0">
    <w:p w14:paraId="6B77C3E8" w14:textId="77777777" w:rsidR="001739C0" w:rsidRDefault="001739C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A8966" w14:textId="434AAB82" w:rsidR="0079021B" w:rsidRPr="0079021B" w:rsidRDefault="00716366" w:rsidP="00056170">
    <w:pPr>
      <w:pStyle w:val="Header"/>
      <w:rPr>
        <w:sz w:val="18"/>
      </w:rPr>
    </w:pPr>
    <w:r w:rsidRPr="00716366">
      <w:rPr>
        <w:sz w:val="18"/>
      </w:rPr>
      <w:t xml:space="preserve">- </w:t>
    </w:r>
    <w:r w:rsidRPr="00716366">
      <w:rPr>
        <w:sz w:val="18"/>
      </w:rPr>
      <w:fldChar w:fldCharType="begin"/>
    </w:r>
    <w:r w:rsidRPr="00716366">
      <w:rPr>
        <w:sz w:val="18"/>
      </w:rPr>
      <w:instrText xml:space="preserve"> PAGE  \* MERGEFORMAT </w:instrText>
    </w:r>
    <w:r w:rsidRPr="00716366">
      <w:rPr>
        <w:sz w:val="18"/>
      </w:rPr>
      <w:fldChar w:fldCharType="separate"/>
    </w:r>
    <w:r w:rsidRPr="00716366">
      <w:rPr>
        <w:sz w:val="18"/>
      </w:rPr>
      <w:t>2</w:t>
    </w:r>
    <w:r w:rsidRPr="00716366">
      <w:rPr>
        <w:sz w:val="18"/>
      </w:rPr>
      <w:fldChar w:fldCharType="end"/>
    </w:r>
    <w:r w:rsidRPr="00716366">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7E45CB"/>
    <w:multiLevelType w:val="hybridMultilevel"/>
    <w:tmpl w:val="A1E43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C7382"/>
    <w:multiLevelType w:val="hybridMultilevel"/>
    <w:tmpl w:val="B914E58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DBF15BC"/>
    <w:multiLevelType w:val="hybridMultilevel"/>
    <w:tmpl w:val="A11C407E"/>
    <w:lvl w:ilvl="0" w:tplc="2F38E4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16A6C"/>
    <w:multiLevelType w:val="hybridMultilevel"/>
    <w:tmpl w:val="E33C2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CC45CFC"/>
    <w:multiLevelType w:val="hybridMultilevel"/>
    <w:tmpl w:val="F3EC5F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B818BB"/>
    <w:multiLevelType w:val="hybridMultilevel"/>
    <w:tmpl w:val="0B983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126155"/>
    <w:multiLevelType w:val="hybridMultilevel"/>
    <w:tmpl w:val="D9A887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0E351C"/>
    <w:multiLevelType w:val="hybridMultilevel"/>
    <w:tmpl w:val="8E7A81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602442">
    <w:abstractNumId w:val="9"/>
  </w:num>
  <w:num w:numId="2" w16cid:durableId="763451736">
    <w:abstractNumId w:val="7"/>
  </w:num>
  <w:num w:numId="3" w16cid:durableId="153299024">
    <w:abstractNumId w:val="6"/>
  </w:num>
  <w:num w:numId="4" w16cid:durableId="671880458">
    <w:abstractNumId w:val="5"/>
  </w:num>
  <w:num w:numId="5" w16cid:durableId="805201299">
    <w:abstractNumId w:val="4"/>
  </w:num>
  <w:num w:numId="6" w16cid:durableId="644313760">
    <w:abstractNumId w:val="8"/>
  </w:num>
  <w:num w:numId="7" w16cid:durableId="974599006">
    <w:abstractNumId w:val="3"/>
  </w:num>
  <w:num w:numId="8" w16cid:durableId="1569917974">
    <w:abstractNumId w:val="2"/>
  </w:num>
  <w:num w:numId="9" w16cid:durableId="43873994">
    <w:abstractNumId w:val="1"/>
  </w:num>
  <w:num w:numId="10" w16cid:durableId="1220281732">
    <w:abstractNumId w:val="0"/>
  </w:num>
  <w:num w:numId="11" w16cid:durableId="1792935700">
    <w:abstractNumId w:val="17"/>
  </w:num>
  <w:num w:numId="12" w16cid:durableId="1995794474">
    <w:abstractNumId w:val="16"/>
  </w:num>
  <w:num w:numId="13" w16cid:durableId="1510831605">
    <w:abstractNumId w:val="14"/>
  </w:num>
  <w:num w:numId="14" w16cid:durableId="1016464610">
    <w:abstractNumId w:val="13"/>
  </w:num>
  <w:num w:numId="15" w16cid:durableId="1159538970">
    <w:abstractNumId w:val="10"/>
  </w:num>
  <w:num w:numId="16" w16cid:durableId="159735471">
    <w:abstractNumId w:val="12"/>
  </w:num>
  <w:num w:numId="17" w16cid:durableId="1975794706">
    <w:abstractNumId w:val="11"/>
  </w:num>
  <w:num w:numId="18" w16cid:durableId="16943768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6899"/>
    <w:rsid w:val="00014F69"/>
    <w:rsid w:val="000171DB"/>
    <w:rsid w:val="00023D9A"/>
    <w:rsid w:val="0003582E"/>
    <w:rsid w:val="0003584D"/>
    <w:rsid w:val="00043D75"/>
    <w:rsid w:val="00056170"/>
    <w:rsid w:val="00057000"/>
    <w:rsid w:val="000640E0"/>
    <w:rsid w:val="0007584B"/>
    <w:rsid w:val="00086D80"/>
    <w:rsid w:val="000966A8"/>
    <w:rsid w:val="000A0A5C"/>
    <w:rsid w:val="000A5CA2"/>
    <w:rsid w:val="000B7AE9"/>
    <w:rsid w:val="000C1AA4"/>
    <w:rsid w:val="000D3F0D"/>
    <w:rsid w:val="000E3C61"/>
    <w:rsid w:val="000E3E55"/>
    <w:rsid w:val="000E6083"/>
    <w:rsid w:val="000E6125"/>
    <w:rsid w:val="000E7A39"/>
    <w:rsid w:val="00100BAF"/>
    <w:rsid w:val="00113DBE"/>
    <w:rsid w:val="001200A6"/>
    <w:rsid w:val="001251DA"/>
    <w:rsid w:val="00125432"/>
    <w:rsid w:val="00136DDD"/>
    <w:rsid w:val="00137F40"/>
    <w:rsid w:val="00144BDF"/>
    <w:rsid w:val="00150A86"/>
    <w:rsid w:val="00155DDC"/>
    <w:rsid w:val="001639A5"/>
    <w:rsid w:val="0017082E"/>
    <w:rsid w:val="001709FA"/>
    <w:rsid w:val="001739C0"/>
    <w:rsid w:val="00174FB7"/>
    <w:rsid w:val="00181156"/>
    <w:rsid w:val="001871EC"/>
    <w:rsid w:val="00190EEE"/>
    <w:rsid w:val="001A20C3"/>
    <w:rsid w:val="001A670F"/>
    <w:rsid w:val="001B6A45"/>
    <w:rsid w:val="001B6B20"/>
    <w:rsid w:val="001C1003"/>
    <w:rsid w:val="001C62B8"/>
    <w:rsid w:val="001D22D8"/>
    <w:rsid w:val="001D4296"/>
    <w:rsid w:val="001E7B0E"/>
    <w:rsid w:val="001F141D"/>
    <w:rsid w:val="001F332A"/>
    <w:rsid w:val="00200A06"/>
    <w:rsid w:val="00200A98"/>
    <w:rsid w:val="00201AFA"/>
    <w:rsid w:val="00213DF1"/>
    <w:rsid w:val="002229F1"/>
    <w:rsid w:val="00233F75"/>
    <w:rsid w:val="0024643E"/>
    <w:rsid w:val="00253DBE"/>
    <w:rsid w:val="00253DC6"/>
    <w:rsid w:val="0025489C"/>
    <w:rsid w:val="002622FA"/>
    <w:rsid w:val="00263518"/>
    <w:rsid w:val="002759E7"/>
    <w:rsid w:val="00277326"/>
    <w:rsid w:val="0029094A"/>
    <w:rsid w:val="002A11C4"/>
    <w:rsid w:val="002A399B"/>
    <w:rsid w:val="002C26C0"/>
    <w:rsid w:val="002C2BC5"/>
    <w:rsid w:val="002C2E49"/>
    <w:rsid w:val="002E0407"/>
    <w:rsid w:val="002E0F46"/>
    <w:rsid w:val="002E79CB"/>
    <w:rsid w:val="002F0471"/>
    <w:rsid w:val="002F1714"/>
    <w:rsid w:val="002F7F55"/>
    <w:rsid w:val="002F7FA0"/>
    <w:rsid w:val="0030745F"/>
    <w:rsid w:val="00314630"/>
    <w:rsid w:val="0032090A"/>
    <w:rsid w:val="00321CDE"/>
    <w:rsid w:val="0032314A"/>
    <w:rsid w:val="00333E15"/>
    <w:rsid w:val="0034110C"/>
    <w:rsid w:val="0034131A"/>
    <w:rsid w:val="00345054"/>
    <w:rsid w:val="0035397C"/>
    <w:rsid w:val="003571BC"/>
    <w:rsid w:val="0036090C"/>
    <w:rsid w:val="0036416C"/>
    <w:rsid w:val="00364979"/>
    <w:rsid w:val="00385B9C"/>
    <w:rsid w:val="00385FB5"/>
    <w:rsid w:val="0038715D"/>
    <w:rsid w:val="00392E84"/>
    <w:rsid w:val="00394DBF"/>
    <w:rsid w:val="003957A6"/>
    <w:rsid w:val="003A43EF"/>
    <w:rsid w:val="003A5511"/>
    <w:rsid w:val="003B60A2"/>
    <w:rsid w:val="003C7445"/>
    <w:rsid w:val="003D3D14"/>
    <w:rsid w:val="003D69E4"/>
    <w:rsid w:val="003E0099"/>
    <w:rsid w:val="003E39A2"/>
    <w:rsid w:val="003E57AB"/>
    <w:rsid w:val="003E6967"/>
    <w:rsid w:val="003F2BED"/>
    <w:rsid w:val="00400B49"/>
    <w:rsid w:val="00417C7E"/>
    <w:rsid w:val="00443878"/>
    <w:rsid w:val="004539A8"/>
    <w:rsid w:val="004712CA"/>
    <w:rsid w:val="0047422E"/>
    <w:rsid w:val="004806E3"/>
    <w:rsid w:val="00487E7D"/>
    <w:rsid w:val="0049674B"/>
    <w:rsid w:val="004A4006"/>
    <w:rsid w:val="004C0673"/>
    <w:rsid w:val="004C2408"/>
    <w:rsid w:val="004C4E4E"/>
    <w:rsid w:val="004D027F"/>
    <w:rsid w:val="004E3A35"/>
    <w:rsid w:val="004F3816"/>
    <w:rsid w:val="004F500A"/>
    <w:rsid w:val="0050605A"/>
    <w:rsid w:val="00510CAE"/>
    <w:rsid w:val="005126A0"/>
    <w:rsid w:val="00532886"/>
    <w:rsid w:val="00543D41"/>
    <w:rsid w:val="00545472"/>
    <w:rsid w:val="005540D7"/>
    <w:rsid w:val="005571A4"/>
    <w:rsid w:val="00566EDA"/>
    <w:rsid w:val="0057081A"/>
    <w:rsid w:val="00571BC0"/>
    <w:rsid w:val="00572654"/>
    <w:rsid w:val="005832BE"/>
    <w:rsid w:val="005976A1"/>
    <w:rsid w:val="005A34E7"/>
    <w:rsid w:val="005A3999"/>
    <w:rsid w:val="005A6959"/>
    <w:rsid w:val="005B5629"/>
    <w:rsid w:val="005C0300"/>
    <w:rsid w:val="005C27A2"/>
    <w:rsid w:val="005C48CB"/>
    <w:rsid w:val="005D4FEB"/>
    <w:rsid w:val="005D65ED"/>
    <w:rsid w:val="005E0E6C"/>
    <w:rsid w:val="005F4B6A"/>
    <w:rsid w:val="006010F3"/>
    <w:rsid w:val="00615A0A"/>
    <w:rsid w:val="006333D4"/>
    <w:rsid w:val="006369B2"/>
    <w:rsid w:val="0063718D"/>
    <w:rsid w:val="00647525"/>
    <w:rsid w:val="00647A71"/>
    <w:rsid w:val="006530A8"/>
    <w:rsid w:val="00653D96"/>
    <w:rsid w:val="006570B0"/>
    <w:rsid w:val="0066022F"/>
    <w:rsid w:val="00661CD8"/>
    <w:rsid w:val="00673CE1"/>
    <w:rsid w:val="006810D2"/>
    <w:rsid w:val="006823F3"/>
    <w:rsid w:val="0068782C"/>
    <w:rsid w:val="0069210B"/>
    <w:rsid w:val="00695DD7"/>
    <w:rsid w:val="006A4055"/>
    <w:rsid w:val="006A7C27"/>
    <w:rsid w:val="006B2FE4"/>
    <w:rsid w:val="006B37B0"/>
    <w:rsid w:val="006C5641"/>
    <w:rsid w:val="006D1089"/>
    <w:rsid w:val="006D1B86"/>
    <w:rsid w:val="006D7355"/>
    <w:rsid w:val="006E1172"/>
    <w:rsid w:val="006E39A3"/>
    <w:rsid w:val="006E6FA0"/>
    <w:rsid w:val="006F6490"/>
    <w:rsid w:val="006F7DEE"/>
    <w:rsid w:val="00715CA6"/>
    <w:rsid w:val="00716366"/>
    <w:rsid w:val="00731135"/>
    <w:rsid w:val="0073178D"/>
    <w:rsid w:val="007324AF"/>
    <w:rsid w:val="007409B4"/>
    <w:rsid w:val="00741974"/>
    <w:rsid w:val="0075525E"/>
    <w:rsid w:val="00756D3D"/>
    <w:rsid w:val="00771205"/>
    <w:rsid w:val="007767E8"/>
    <w:rsid w:val="007806C2"/>
    <w:rsid w:val="00781FEE"/>
    <w:rsid w:val="0079021B"/>
    <w:rsid w:val="007903F8"/>
    <w:rsid w:val="00794F4F"/>
    <w:rsid w:val="007971F7"/>
    <w:rsid w:val="007974BE"/>
    <w:rsid w:val="007A0916"/>
    <w:rsid w:val="007A0DFD"/>
    <w:rsid w:val="007B6840"/>
    <w:rsid w:val="007C7122"/>
    <w:rsid w:val="007D0A31"/>
    <w:rsid w:val="007D3F11"/>
    <w:rsid w:val="007E2C69"/>
    <w:rsid w:val="007E53E4"/>
    <w:rsid w:val="007E656A"/>
    <w:rsid w:val="007E718F"/>
    <w:rsid w:val="007F3CAA"/>
    <w:rsid w:val="007F664D"/>
    <w:rsid w:val="00811D92"/>
    <w:rsid w:val="00823A8F"/>
    <w:rsid w:val="00833419"/>
    <w:rsid w:val="00835D34"/>
    <w:rsid w:val="00837203"/>
    <w:rsid w:val="00842137"/>
    <w:rsid w:val="00853F5F"/>
    <w:rsid w:val="00856C7A"/>
    <w:rsid w:val="008623ED"/>
    <w:rsid w:val="00864CFA"/>
    <w:rsid w:val="00864F38"/>
    <w:rsid w:val="00875AA6"/>
    <w:rsid w:val="00880944"/>
    <w:rsid w:val="00884A2D"/>
    <w:rsid w:val="00886B9E"/>
    <w:rsid w:val="0089088E"/>
    <w:rsid w:val="00892297"/>
    <w:rsid w:val="008964D6"/>
    <w:rsid w:val="008A1DB5"/>
    <w:rsid w:val="008A22A0"/>
    <w:rsid w:val="008B5123"/>
    <w:rsid w:val="008E0172"/>
    <w:rsid w:val="008F24C3"/>
    <w:rsid w:val="0090324A"/>
    <w:rsid w:val="0091389B"/>
    <w:rsid w:val="0091426D"/>
    <w:rsid w:val="00936852"/>
    <w:rsid w:val="0094045D"/>
    <w:rsid w:val="009406B5"/>
    <w:rsid w:val="00946166"/>
    <w:rsid w:val="009654AB"/>
    <w:rsid w:val="00982F6D"/>
    <w:rsid w:val="00983164"/>
    <w:rsid w:val="009964BE"/>
    <w:rsid w:val="0099672B"/>
    <w:rsid w:val="009972EF"/>
    <w:rsid w:val="009B5035"/>
    <w:rsid w:val="009C3160"/>
    <w:rsid w:val="009D644B"/>
    <w:rsid w:val="009E45F8"/>
    <w:rsid w:val="009E685A"/>
    <w:rsid w:val="009E766E"/>
    <w:rsid w:val="009F1960"/>
    <w:rsid w:val="009F4B1A"/>
    <w:rsid w:val="009F715E"/>
    <w:rsid w:val="00A0008A"/>
    <w:rsid w:val="00A033F2"/>
    <w:rsid w:val="00A10DBB"/>
    <w:rsid w:val="00A11720"/>
    <w:rsid w:val="00A21247"/>
    <w:rsid w:val="00A31D47"/>
    <w:rsid w:val="00A4013E"/>
    <w:rsid w:val="00A4045F"/>
    <w:rsid w:val="00A427CD"/>
    <w:rsid w:val="00A45FEE"/>
    <w:rsid w:val="00A4600B"/>
    <w:rsid w:val="00A50506"/>
    <w:rsid w:val="00A51EF0"/>
    <w:rsid w:val="00A550EE"/>
    <w:rsid w:val="00A64A5B"/>
    <w:rsid w:val="00A67A81"/>
    <w:rsid w:val="00A730A6"/>
    <w:rsid w:val="00A7495E"/>
    <w:rsid w:val="00A85028"/>
    <w:rsid w:val="00A96899"/>
    <w:rsid w:val="00A971A0"/>
    <w:rsid w:val="00AA1186"/>
    <w:rsid w:val="00AA1A6D"/>
    <w:rsid w:val="00AA1F22"/>
    <w:rsid w:val="00B05821"/>
    <w:rsid w:val="00B100D6"/>
    <w:rsid w:val="00B164C9"/>
    <w:rsid w:val="00B26C28"/>
    <w:rsid w:val="00B4174C"/>
    <w:rsid w:val="00B453F5"/>
    <w:rsid w:val="00B45FEE"/>
    <w:rsid w:val="00B56E6D"/>
    <w:rsid w:val="00B61624"/>
    <w:rsid w:val="00B66481"/>
    <w:rsid w:val="00B7189C"/>
    <w:rsid w:val="00B718A5"/>
    <w:rsid w:val="00B7769C"/>
    <w:rsid w:val="00B92294"/>
    <w:rsid w:val="00BA0C3B"/>
    <w:rsid w:val="00BA1EF9"/>
    <w:rsid w:val="00BA60BC"/>
    <w:rsid w:val="00BA788A"/>
    <w:rsid w:val="00BB3DA9"/>
    <w:rsid w:val="00BB4983"/>
    <w:rsid w:val="00BB7597"/>
    <w:rsid w:val="00BC62E2"/>
    <w:rsid w:val="00C140EC"/>
    <w:rsid w:val="00C206D5"/>
    <w:rsid w:val="00C26F33"/>
    <w:rsid w:val="00C377AE"/>
    <w:rsid w:val="00C42125"/>
    <w:rsid w:val="00C61C79"/>
    <w:rsid w:val="00C62814"/>
    <w:rsid w:val="00C67B25"/>
    <w:rsid w:val="00C71762"/>
    <w:rsid w:val="00C748F7"/>
    <w:rsid w:val="00C74937"/>
    <w:rsid w:val="00C81843"/>
    <w:rsid w:val="00CB2599"/>
    <w:rsid w:val="00CC1A6F"/>
    <w:rsid w:val="00CC386F"/>
    <w:rsid w:val="00CD2139"/>
    <w:rsid w:val="00CD390C"/>
    <w:rsid w:val="00CE5986"/>
    <w:rsid w:val="00D12978"/>
    <w:rsid w:val="00D26477"/>
    <w:rsid w:val="00D647EF"/>
    <w:rsid w:val="00D70BEE"/>
    <w:rsid w:val="00D73137"/>
    <w:rsid w:val="00D80D43"/>
    <w:rsid w:val="00D821D7"/>
    <w:rsid w:val="00D977A2"/>
    <w:rsid w:val="00DA1D47"/>
    <w:rsid w:val="00DA72DD"/>
    <w:rsid w:val="00DA7D61"/>
    <w:rsid w:val="00DB0706"/>
    <w:rsid w:val="00DC2EFB"/>
    <w:rsid w:val="00DC4EFC"/>
    <w:rsid w:val="00DC55A4"/>
    <w:rsid w:val="00DD50DE"/>
    <w:rsid w:val="00DE3062"/>
    <w:rsid w:val="00E0581D"/>
    <w:rsid w:val="00E1590B"/>
    <w:rsid w:val="00E204DD"/>
    <w:rsid w:val="00E228B7"/>
    <w:rsid w:val="00E31A47"/>
    <w:rsid w:val="00E353EC"/>
    <w:rsid w:val="00E37D45"/>
    <w:rsid w:val="00E51F61"/>
    <w:rsid w:val="00E53C24"/>
    <w:rsid w:val="00E56E77"/>
    <w:rsid w:val="00EA0BE7"/>
    <w:rsid w:val="00EA3397"/>
    <w:rsid w:val="00EB444D"/>
    <w:rsid w:val="00EC13AF"/>
    <w:rsid w:val="00EC1E34"/>
    <w:rsid w:val="00ED48E3"/>
    <w:rsid w:val="00EE1A06"/>
    <w:rsid w:val="00EE1B26"/>
    <w:rsid w:val="00EE1CEE"/>
    <w:rsid w:val="00EE5C0D"/>
    <w:rsid w:val="00EF4792"/>
    <w:rsid w:val="00F02294"/>
    <w:rsid w:val="00F30DE7"/>
    <w:rsid w:val="00F35F57"/>
    <w:rsid w:val="00F50467"/>
    <w:rsid w:val="00F562A0"/>
    <w:rsid w:val="00F57FA4"/>
    <w:rsid w:val="00F60EE3"/>
    <w:rsid w:val="00F613FD"/>
    <w:rsid w:val="00F61E4B"/>
    <w:rsid w:val="00F738A6"/>
    <w:rsid w:val="00F861B4"/>
    <w:rsid w:val="00FA02CB"/>
    <w:rsid w:val="00FA2177"/>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D2952"/>
  <w15:docId w15:val="{F9D789A4-6267-40F2-ACF3-A9048E7E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ListParagraph">
    <w:name w:val="List Paragraph"/>
    <w:basedOn w:val="Normal"/>
    <w:uiPriority w:val="34"/>
    <w:qFormat/>
    <w:rsid w:val="00F738A6"/>
    <w:pPr>
      <w:ind w:left="720"/>
      <w:contextualSpacing/>
    </w:pPr>
  </w:style>
  <w:style w:type="paragraph" w:styleId="Title">
    <w:name w:val="Title"/>
    <w:basedOn w:val="Normal"/>
    <w:next w:val="Normal"/>
    <w:link w:val="TitleChar"/>
    <w:uiPriority w:val="10"/>
    <w:qFormat/>
    <w:rsid w:val="00A550E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0EE"/>
    <w:rPr>
      <w:rFonts w:asciiTheme="majorHAnsi" w:eastAsiaTheme="majorEastAsia" w:hAnsiTheme="majorHAnsi" w:cstheme="majorBidi"/>
      <w:spacing w:val="-10"/>
      <w:kern w:val="28"/>
      <w:sz w:val="56"/>
      <w:szCs w:val="56"/>
      <w:lang w:val="en-GB" w:eastAsia="ja-JP"/>
    </w:rPr>
  </w:style>
  <w:style w:type="paragraph" w:customStyle="1" w:styleId="AnnexNoTitle0">
    <w:name w:val="Annex_NoTitle"/>
    <w:basedOn w:val="Heading1"/>
    <w:next w:val="Normal"/>
    <w:autoRedefine/>
    <w:rsid w:val="00982F6D"/>
    <w:pPr>
      <w:tabs>
        <w:tab w:val="clear" w:pos="794"/>
        <w:tab w:val="left" w:pos="567"/>
      </w:tabs>
      <w:spacing w:before="0"/>
      <w:ind w:left="0" w:firstLine="0"/>
      <w:jc w:val="center"/>
    </w:pPr>
    <w:rPr>
      <w:sz w:val="28"/>
    </w:rPr>
  </w:style>
  <w:style w:type="character" w:styleId="CommentReference">
    <w:name w:val="annotation reference"/>
    <w:basedOn w:val="DefaultParagraphFont"/>
    <w:uiPriority w:val="99"/>
    <w:semiHidden/>
    <w:unhideWhenUsed/>
    <w:rsid w:val="00345054"/>
    <w:rPr>
      <w:sz w:val="16"/>
      <w:szCs w:val="16"/>
    </w:rPr>
  </w:style>
  <w:style w:type="paragraph" w:styleId="CommentText">
    <w:name w:val="annotation text"/>
    <w:basedOn w:val="Normal"/>
    <w:link w:val="CommentTextChar"/>
    <w:uiPriority w:val="99"/>
    <w:unhideWhenUsed/>
    <w:rsid w:val="00345054"/>
    <w:rPr>
      <w:sz w:val="20"/>
      <w:szCs w:val="20"/>
    </w:rPr>
  </w:style>
  <w:style w:type="character" w:customStyle="1" w:styleId="CommentTextChar">
    <w:name w:val="Comment Text Char"/>
    <w:basedOn w:val="DefaultParagraphFont"/>
    <w:link w:val="CommentText"/>
    <w:uiPriority w:val="99"/>
    <w:rsid w:val="0034505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45054"/>
    <w:rPr>
      <w:b/>
      <w:bCs/>
    </w:rPr>
  </w:style>
  <w:style w:type="character" w:customStyle="1" w:styleId="CommentSubjectChar">
    <w:name w:val="Comment Subject Char"/>
    <w:basedOn w:val="CommentTextChar"/>
    <w:link w:val="CommentSubject"/>
    <w:uiPriority w:val="99"/>
    <w:semiHidden/>
    <w:rsid w:val="00345054"/>
    <w:rPr>
      <w:rFonts w:ascii="Times New Roman" w:hAnsi="Times New Roman" w:cs="Times New Roman"/>
      <w:b/>
      <w:bCs/>
      <w:sz w:val="20"/>
      <w:szCs w:val="20"/>
      <w:lang w:val="en-GB" w:eastAsia="ja-JP"/>
    </w:rPr>
  </w:style>
  <w:style w:type="paragraph" w:styleId="Revision">
    <w:name w:val="Revision"/>
    <w:hidden/>
    <w:uiPriority w:val="99"/>
    <w:semiHidden/>
    <w:rsid w:val="00864CFA"/>
    <w:pPr>
      <w:spacing w:after="0" w:line="240" w:lineRule="auto"/>
    </w:pPr>
    <w:rPr>
      <w:rFonts w:ascii="Times New Roman" w:hAnsi="Times New Roman" w:cs="Times New Roman"/>
      <w:sz w:val="24"/>
      <w:szCs w:val="24"/>
      <w:lang w:val="en-GB" w:eastAsia="ja-JP"/>
    </w:rPr>
  </w:style>
  <w:style w:type="character" w:styleId="FollowedHyperlink">
    <w:name w:val="FollowedHyperlink"/>
    <w:basedOn w:val="DefaultParagraphFont"/>
    <w:uiPriority w:val="99"/>
    <w:semiHidden/>
    <w:unhideWhenUsed/>
    <w:rsid w:val="004C2408"/>
    <w:rPr>
      <w:color w:val="954F72" w:themeColor="followedHyperlink"/>
      <w:u w:val="single"/>
    </w:rPr>
  </w:style>
  <w:style w:type="table" w:styleId="TableGrid">
    <w:name w:val="Table Grid"/>
    <w:basedOn w:val="TableNormal"/>
    <w:uiPriority w:val="39"/>
    <w:rsid w:val="004C2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4F38"/>
    <w:rPr>
      <w:color w:val="605E5C"/>
      <w:shd w:val="clear" w:color="auto" w:fill="E1DFDD"/>
    </w:rPr>
  </w:style>
  <w:style w:type="paragraph" w:customStyle="1" w:styleId="AnnexNo">
    <w:name w:val="Annex_No"/>
    <w:basedOn w:val="Normal"/>
    <w:next w:val="Normal"/>
    <w:qFormat/>
    <w:rsid w:val="003E6967"/>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bCs/>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l/lists/arc/t22sg2numap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T17-SG02-170329-TD-GEN-0107/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oth/T0207000003/en" TargetMode="External"/><Relationship Id="rId5" Type="http://schemas.openxmlformats.org/officeDocument/2006/relationships/styles" Target="styles.xml"/><Relationship Id="rId15" Type="http://schemas.openxmlformats.org/officeDocument/2006/relationships/hyperlink" Target="https://www.itu.int/md/T17-SG02-170329-TD-GEN-0107/en" TargetMode="External"/><Relationship Id="rId10" Type="http://schemas.openxmlformats.org/officeDocument/2006/relationships/hyperlink" Target="https://www.itu.int/md/T22-SG02-240619-TD-PLEN-0535/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meetings/ITU-T/T22-SG02RGM/Q1-240212/TDs/T22-SG02RGM-Q1-240212-TD-0009-R0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C2B2704BBB654993260AE4E90A02DF" ma:contentTypeVersion="1" ma:contentTypeDescription="Create a new document." ma:contentTypeScope="" ma:versionID="b8e8efb91e220c95b32e4bac07cce1c4">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0733163c-66b2-4e11-97bc-cb6405f87055"/>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93678841-975E-44A5-83C5-43DD0E8DACD8}"/>
</file>

<file path=docProps/app.xml><?xml version="1.0" encoding="utf-8"?>
<Properties xmlns="http://schemas.openxmlformats.org/officeDocument/2006/extended-properties" xmlns:vt="http://schemas.openxmlformats.org/officeDocument/2006/docPropsVTypes">
  <Template>StudyGroup_Document-v20170405.dotx</Template>
  <TotalTime>2</TotalTime>
  <Pages>4</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Guidance for submissions of applications for global numbers</vt:lpstr>
    </vt:vector>
  </TitlesOfParts>
  <Manager>ITU-T</Manager>
  <Company>International Telecommunication Union (ITU)</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submissions of applications for global numbers</dc:title>
  <dc:subject/>
  <dc:creator>Chairman, ITU-T SG2</dc:creator>
  <cp:keywords>NCT Report issues decisions</cp:keywords>
  <dc:description/>
  <cp:lastModifiedBy>Comas Barnes, Maite</cp:lastModifiedBy>
  <cp:revision>5</cp:revision>
  <cp:lastPrinted>2016-12-23T12:52:00Z</cp:lastPrinted>
  <dcterms:created xsi:type="dcterms:W3CDTF">2024-09-17T07:51:00Z</dcterms:created>
  <dcterms:modified xsi:type="dcterms:W3CDTF">2024-09-17T07:53:00Z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0x01010097C2B2704BBB654993260AE4E90A02DF</vt:lpwstr>
  </property>
  <property fmtid="{D5CDD505-2E9C-101B-9397-08002B2CF9AE}" pid="3" name="Docnum">
    <vt:lpwstr>SG2-TDxxx/PLEN</vt:lpwstr>
  </property>
  <property fmtid="{D5CDD505-2E9C-101B-9397-08002B2CF9AE}" pid="4" name="Docdate">
    <vt:lpwstr/>
  </property>
  <property fmtid="{D5CDD505-2E9C-101B-9397-08002B2CF9AE}" pid="5" name="Docorlang">
    <vt:lpwstr/>
  </property>
  <property fmtid="{D5CDD505-2E9C-101B-9397-08002B2CF9AE}" pid="6" name="Docbluepink">
    <vt:lpwstr>1/2</vt:lpwstr>
  </property>
  <property fmtid="{D5CDD505-2E9C-101B-9397-08002B2CF9AE}" pid="7" name="Docdest">
    <vt:lpwstr>Geneva, 11-20 May 2022</vt:lpwstr>
  </property>
  <property fmtid="{D5CDD505-2E9C-101B-9397-08002B2CF9AE}" pid="8" name="Docauthor">
    <vt:lpwstr>Chairman, ITU-T SG2</vt:lpwstr>
  </property>
  <property fmtid="{D5CDD505-2E9C-101B-9397-08002B2CF9AE}" pid="9" name="Meeting">
    <vt:lpwstr>2018-12-17T23:00:00Z</vt:lpwstr>
  </property>
  <property fmtid="{D5CDD505-2E9C-101B-9397-08002B2CF9AE}" pid="10" name="Source">
    <vt:lpwstr>NCT Chairman</vt:lpwstr>
  </property>
</Properties>
</file>