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rawings/drawing1.xml" ContentType="application/vnd.openxmlformats-officedocument.drawingml.chartshapes+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6.xml" ContentType="application/vnd.openxmlformats-officedocument.wordprocessingml.header+xml"/>
  <Override PartName="/word/theme/theme1.xml" ContentType="application/vnd.openxmlformats-officedocument.theme+xml"/>
  <Override PartName="/word/theme/themeOverride1.xml" ContentType="application/vnd.openxmlformats-officedocument.themeOverride+xml"/>
  <Override PartName="/word/charts/chart1.xml" ContentType="application/vnd.openxmlformats-officedocument.drawingml.chart+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520"/>
        <w:gridCol w:w="1122"/>
        <w:gridCol w:w="4878"/>
      </w:tblGrid>
      <w:tr w:rsidR="00AA662C" w:rsidRPr="00F06651" w14:paraId="4D507311" w14:textId="77777777" w:rsidTr="003C2262">
        <w:trPr>
          <w:trHeight w:hRule="exact" w:val="1418"/>
        </w:trPr>
        <w:tc>
          <w:tcPr>
            <w:tcW w:w="1428" w:type="dxa"/>
            <w:gridSpan w:val="2"/>
          </w:tcPr>
          <w:p w14:paraId="065C72F1" w14:textId="77777777" w:rsidR="00AA662C" w:rsidRPr="00F06651" w:rsidRDefault="00AA662C" w:rsidP="003C2262">
            <w:pPr>
              <w:pStyle w:val="Heading1"/>
            </w:pPr>
            <w:bookmarkStart w:id="0" w:name="_Toc400020851"/>
            <w:bookmarkStart w:id="1" w:name="_Toc400106119"/>
            <w:r w:rsidRPr="00F06651">
              <w:rPr>
                <w:noProof/>
                <w:lang w:val="en-US" w:eastAsia="zh-CN"/>
              </w:rPr>
              <w:drawing>
                <wp:anchor distT="0" distB="0" distL="114300" distR="114300" simplePos="0" relativeHeight="251657728" behindDoc="0" locked="0" layoutInCell="0" allowOverlap="1" wp14:anchorId="2D7C04C1" wp14:editId="09CF3BFB">
                  <wp:simplePos x="0" y="0"/>
                  <wp:positionH relativeFrom="column">
                    <wp:posOffset>-962025</wp:posOffset>
                  </wp:positionH>
                  <wp:positionV relativeFrom="paragraph">
                    <wp:posOffset>-695960</wp:posOffset>
                  </wp:positionV>
                  <wp:extent cx="1569720" cy="107715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8"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bookmarkEnd w:id="0"/>
            <w:bookmarkEnd w:id="1"/>
          </w:p>
          <w:p w14:paraId="23B24405" w14:textId="77777777" w:rsidR="00AA662C" w:rsidRPr="00F06651" w:rsidRDefault="00AA662C" w:rsidP="003C2262">
            <w:pPr>
              <w:spacing w:before="0"/>
              <w:rPr>
                <w:b/>
                <w:sz w:val="16"/>
              </w:rPr>
            </w:pPr>
          </w:p>
        </w:tc>
        <w:tc>
          <w:tcPr>
            <w:tcW w:w="8520" w:type="dxa"/>
            <w:gridSpan w:val="3"/>
          </w:tcPr>
          <w:p w14:paraId="08E83DB3" w14:textId="77777777" w:rsidR="00AA662C" w:rsidRPr="00F06651" w:rsidRDefault="00AA662C" w:rsidP="003C2262">
            <w:pPr>
              <w:spacing w:before="0"/>
              <w:rPr>
                <w:rFonts w:ascii="Arial" w:hAnsi="Arial" w:cs="Arial"/>
              </w:rPr>
            </w:pPr>
          </w:p>
          <w:p w14:paraId="5093B340" w14:textId="77777777" w:rsidR="00AA662C" w:rsidRPr="00F06651" w:rsidRDefault="00AA662C" w:rsidP="003C2262">
            <w:pPr>
              <w:spacing w:before="284"/>
              <w:rPr>
                <w:rFonts w:ascii="Arial" w:hAnsi="Arial" w:cs="Arial"/>
                <w:b/>
                <w:bCs/>
                <w:sz w:val="18"/>
              </w:rPr>
            </w:pPr>
            <w:r w:rsidRPr="00F06651">
              <w:rPr>
                <w:rFonts w:ascii="Arial" w:hAnsi="Arial" w:cs="Arial"/>
                <w:b/>
                <w:bCs/>
                <w:color w:val="808080"/>
                <w:spacing w:val="100"/>
              </w:rPr>
              <w:t>International Telecommunication Union</w:t>
            </w:r>
          </w:p>
        </w:tc>
      </w:tr>
      <w:tr w:rsidR="00AA662C" w:rsidRPr="00F06651" w14:paraId="688D8E76" w14:textId="77777777" w:rsidTr="003C2262">
        <w:trPr>
          <w:trHeight w:hRule="exact" w:val="992"/>
        </w:trPr>
        <w:tc>
          <w:tcPr>
            <w:tcW w:w="1428" w:type="dxa"/>
            <w:gridSpan w:val="2"/>
          </w:tcPr>
          <w:p w14:paraId="225B44B2" w14:textId="77777777" w:rsidR="00AA662C" w:rsidRPr="00F06651" w:rsidRDefault="00AA662C" w:rsidP="003C2262">
            <w:pPr>
              <w:spacing w:before="0"/>
            </w:pPr>
          </w:p>
        </w:tc>
        <w:tc>
          <w:tcPr>
            <w:tcW w:w="8520" w:type="dxa"/>
            <w:gridSpan w:val="3"/>
          </w:tcPr>
          <w:p w14:paraId="22671B43" w14:textId="77777777" w:rsidR="00AA662C" w:rsidRPr="00F06651" w:rsidRDefault="00AA662C" w:rsidP="003C2262"/>
        </w:tc>
      </w:tr>
      <w:tr w:rsidR="00AA662C" w:rsidRPr="00F06651" w14:paraId="1BC62825" w14:textId="77777777" w:rsidTr="003C2262">
        <w:tblPrEx>
          <w:tblCellMar>
            <w:left w:w="85" w:type="dxa"/>
            <w:right w:w="85" w:type="dxa"/>
          </w:tblCellMar>
        </w:tblPrEx>
        <w:trPr>
          <w:gridBefore w:val="2"/>
          <w:wBefore w:w="1428" w:type="dxa"/>
        </w:trPr>
        <w:tc>
          <w:tcPr>
            <w:tcW w:w="2520" w:type="dxa"/>
          </w:tcPr>
          <w:p w14:paraId="199F3CC1" w14:textId="77777777" w:rsidR="00AA662C" w:rsidRPr="00F06651" w:rsidRDefault="00AA662C" w:rsidP="003C2262">
            <w:pPr>
              <w:rPr>
                <w:b/>
                <w:sz w:val="18"/>
              </w:rPr>
            </w:pPr>
            <w:bookmarkStart w:id="2" w:name="dnume" w:colFirst="1" w:colLast="1"/>
            <w:r w:rsidRPr="00F06651">
              <w:rPr>
                <w:rFonts w:ascii="Arial" w:hAnsi="Arial"/>
                <w:b/>
                <w:spacing w:val="40"/>
                <w:sz w:val="72"/>
              </w:rPr>
              <w:t>ITU-T</w:t>
            </w:r>
          </w:p>
        </w:tc>
        <w:tc>
          <w:tcPr>
            <w:tcW w:w="6000" w:type="dxa"/>
            <w:gridSpan w:val="2"/>
          </w:tcPr>
          <w:p w14:paraId="0CEA8392" w14:textId="50317995" w:rsidR="00AA662C" w:rsidRPr="00F06651" w:rsidRDefault="00AA662C" w:rsidP="003C2262">
            <w:pPr>
              <w:spacing w:before="240"/>
              <w:jc w:val="right"/>
              <w:rPr>
                <w:rFonts w:ascii="Arial" w:hAnsi="Arial" w:cs="Arial"/>
                <w:b/>
                <w:sz w:val="60"/>
              </w:rPr>
            </w:pPr>
            <w:r w:rsidRPr="00F06651">
              <w:rPr>
                <w:rFonts w:ascii="Arial" w:hAnsi="Arial" w:cs="Arial"/>
                <w:b/>
                <w:sz w:val="60"/>
              </w:rPr>
              <w:t>FG</w:t>
            </w:r>
            <w:r w:rsidR="00602FF0">
              <w:rPr>
                <w:rFonts w:ascii="Arial" w:hAnsi="Arial" w:cs="Arial"/>
                <w:b/>
                <w:sz w:val="60"/>
              </w:rPr>
              <w:t>-</w:t>
            </w:r>
            <w:r w:rsidRPr="00F06651">
              <w:rPr>
                <w:rFonts w:ascii="Arial" w:hAnsi="Arial" w:cs="Arial"/>
                <w:b/>
                <w:sz w:val="60"/>
              </w:rPr>
              <w:t>SSC</w:t>
            </w:r>
          </w:p>
        </w:tc>
      </w:tr>
      <w:tr w:rsidR="00AA662C" w:rsidRPr="00F06651" w14:paraId="70DA15DB" w14:textId="77777777" w:rsidTr="004C37E7">
        <w:tblPrEx>
          <w:tblCellMar>
            <w:left w:w="85" w:type="dxa"/>
            <w:right w:w="85" w:type="dxa"/>
          </w:tblCellMar>
        </w:tblPrEx>
        <w:trPr>
          <w:gridBefore w:val="2"/>
          <w:wBefore w:w="1428" w:type="dxa"/>
          <w:trHeight w:val="974"/>
        </w:trPr>
        <w:tc>
          <w:tcPr>
            <w:tcW w:w="3642" w:type="dxa"/>
            <w:gridSpan w:val="2"/>
          </w:tcPr>
          <w:p w14:paraId="1BFEDE72" w14:textId="77777777" w:rsidR="00AA662C" w:rsidRPr="00F06651" w:rsidRDefault="004C37E7" w:rsidP="004C37E7">
            <w:pPr>
              <w:rPr>
                <w:b/>
              </w:rPr>
            </w:pPr>
            <w:bookmarkStart w:id="3" w:name="ddatee" w:colFirst="1" w:colLast="1"/>
            <w:bookmarkEnd w:id="2"/>
            <w:r w:rsidRPr="004C37E7">
              <w:rPr>
                <w:rFonts w:ascii="Arial" w:hAnsi="Arial"/>
              </w:rPr>
              <w:t>TELECOMMUNICATION</w:t>
            </w:r>
            <w:r w:rsidRPr="004C37E7">
              <w:rPr>
                <w:rFonts w:ascii="Arial" w:hAnsi="Arial"/>
              </w:rPr>
              <w:br/>
              <w:t>STANDARDIZATION SECTOR</w:t>
            </w:r>
            <w:r w:rsidRPr="004C37E7">
              <w:rPr>
                <w:rFonts w:ascii="Arial" w:hAnsi="Arial"/>
              </w:rPr>
              <w:br/>
              <w:t>OF ITU</w:t>
            </w:r>
          </w:p>
        </w:tc>
        <w:tc>
          <w:tcPr>
            <w:tcW w:w="4878" w:type="dxa"/>
          </w:tcPr>
          <w:p w14:paraId="1BA88E70" w14:textId="77777777" w:rsidR="00AA662C" w:rsidRPr="00F06651" w:rsidRDefault="00AA662C" w:rsidP="003C2262">
            <w:pPr>
              <w:spacing w:before="0"/>
              <w:jc w:val="right"/>
              <w:rPr>
                <w:rFonts w:ascii="Arial" w:hAnsi="Arial" w:cs="Arial"/>
                <w:sz w:val="28"/>
              </w:rPr>
            </w:pPr>
          </w:p>
          <w:p w14:paraId="2C6D1C0E" w14:textId="77777777" w:rsidR="00AA662C" w:rsidRPr="00F06651" w:rsidRDefault="00AA662C" w:rsidP="003C2262">
            <w:pPr>
              <w:spacing w:before="0"/>
              <w:jc w:val="right"/>
              <w:rPr>
                <w:rFonts w:ascii="Arial" w:hAnsi="Arial" w:cs="Arial"/>
                <w:sz w:val="28"/>
              </w:rPr>
            </w:pPr>
            <w:r w:rsidRPr="00F06651">
              <w:rPr>
                <w:rFonts w:ascii="Arial" w:hAnsi="Arial" w:cs="Arial"/>
                <w:sz w:val="28"/>
              </w:rPr>
              <w:t>(10/2014)</w:t>
            </w:r>
            <w:r w:rsidR="0049069D">
              <w:rPr>
                <w:rFonts w:ascii="Arial" w:hAnsi="Arial" w:cs="Arial"/>
                <w:sz w:val="28"/>
              </w:rPr>
              <w:t xml:space="preserve"> </w:t>
            </w:r>
          </w:p>
        </w:tc>
      </w:tr>
      <w:tr w:rsidR="00AA662C" w:rsidRPr="00F06651" w14:paraId="5D3C674C" w14:textId="77777777" w:rsidTr="003C2262">
        <w:trPr>
          <w:cantSplit/>
          <w:trHeight w:hRule="exact" w:val="3402"/>
        </w:trPr>
        <w:tc>
          <w:tcPr>
            <w:tcW w:w="1418" w:type="dxa"/>
          </w:tcPr>
          <w:p w14:paraId="79856B6A" w14:textId="77777777" w:rsidR="00AA662C" w:rsidRPr="00F06651" w:rsidRDefault="00AA662C" w:rsidP="003C2262">
            <w:pPr>
              <w:tabs>
                <w:tab w:val="right" w:pos="9639"/>
              </w:tabs>
              <w:rPr>
                <w:rFonts w:ascii="Arial" w:hAnsi="Arial"/>
                <w:sz w:val="18"/>
              </w:rPr>
            </w:pPr>
            <w:bookmarkStart w:id="4" w:name="dsece" w:colFirst="1" w:colLast="1"/>
            <w:bookmarkEnd w:id="3"/>
          </w:p>
        </w:tc>
        <w:tc>
          <w:tcPr>
            <w:tcW w:w="8530" w:type="dxa"/>
            <w:gridSpan w:val="4"/>
            <w:tcBorders>
              <w:bottom w:val="single" w:sz="12" w:space="0" w:color="auto"/>
            </w:tcBorders>
            <w:vAlign w:val="bottom"/>
          </w:tcPr>
          <w:p w14:paraId="0E76C144" w14:textId="77777777" w:rsidR="00AA662C" w:rsidRPr="00F06651" w:rsidRDefault="00AA662C" w:rsidP="003C2262">
            <w:pPr>
              <w:tabs>
                <w:tab w:val="right" w:pos="9639"/>
              </w:tabs>
              <w:rPr>
                <w:rFonts w:ascii="Arial" w:hAnsi="Arial" w:cs="Arial"/>
                <w:sz w:val="32"/>
              </w:rPr>
            </w:pPr>
            <w:r w:rsidRPr="00F06651">
              <w:rPr>
                <w:rFonts w:ascii="Arial" w:hAnsi="Arial" w:cs="Arial"/>
                <w:sz w:val="32"/>
              </w:rPr>
              <w:t>ITU-T Focus Group on Smart Sustainable Cities</w:t>
            </w:r>
          </w:p>
          <w:p w14:paraId="7CE0F5A3" w14:textId="77777777" w:rsidR="00AA662C" w:rsidRPr="00F06651" w:rsidRDefault="00AA662C" w:rsidP="003C2262">
            <w:pPr>
              <w:tabs>
                <w:tab w:val="right" w:pos="9639"/>
              </w:tabs>
              <w:rPr>
                <w:rFonts w:ascii="Arial" w:hAnsi="Arial" w:cs="Arial"/>
                <w:sz w:val="32"/>
              </w:rPr>
            </w:pPr>
          </w:p>
        </w:tc>
      </w:tr>
      <w:tr w:rsidR="00AA662C" w:rsidRPr="00F06651" w14:paraId="2B7E3894" w14:textId="77777777" w:rsidTr="003C2262">
        <w:trPr>
          <w:cantSplit/>
          <w:trHeight w:hRule="exact" w:val="4536"/>
        </w:trPr>
        <w:tc>
          <w:tcPr>
            <w:tcW w:w="1418" w:type="dxa"/>
          </w:tcPr>
          <w:p w14:paraId="7153BCD4" w14:textId="77777777" w:rsidR="00AA662C" w:rsidRPr="00F06651" w:rsidRDefault="00AA662C" w:rsidP="003C2262">
            <w:pPr>
              <w:tabs>
                <w:tab w:val="right" w:pos="9639"/>
              </w:tabs>
              <w:rPr>
                <w:rFonts w:ascii="Arial" w:hAnsi="Arial"/>
                <w:sz w:val="18"/>
              </w:rPr>
            </w:pPr>
            <w:bookmarkStart w:id="5" w:name="c1tite" w:colFirst="1" w:colLast="1"/>
            <w:bookmarkEnd w:id="4"/>
          </w:p>
        </w:tc>
        <w:tc>
          <w:tcPr>
            <w:tcW w:w="8530" w:type="dxa"/>
            <w:gridSpan w:val="4"/>
          </w:tcPr>
          <w:p w14:paraId="347FF246" w14:textId="65FA0325" w:rsidR="00AA662C" w:rsidRPr="00F06651" w:rsidRDefault="00742292" w:rsidP="00742292">
            <w:pPr>
              <w:tabs>
                <w:tab w:val="right" w:pos="9639"/>
              </w:tabs>
              <w:rPr>
                <w:rFonts w:ascii="Arial" w:hAnsi="Arial"/>
                <w:b/>
                <w:bCs/>
                <w:sz w:val="36"/>
              </w:rPr>
            </w:pPr>
            <w:r>
              <w:rPr>
                <w:rFonts w:ascii="Arial" w:hAnsi="Arial"/>
                <w:b/>
                <w:bCs/>
                <w:sz w:val="36"/>
              </w:rPr>
              <w:t>Electromagnetic fi</w:t>
            </w:r>
            <w:r w:rsidR="00871FE7">
              <w:rPr>
                <w:rFonts w:ascii="Arial" w:hAnsi="Arial"/>
                <w:b/>
                <w:bCs/>
                <w:sz w:val="36"/>
              </w:rPr>
              <w:t>eld</w:t>
            </w:r>
            <w:r>
              <w:rPr>
                <w:rFonts w:ascii="Arial" w:hAnsi="Arial"/>
                <w:b/>
                <w:bCs/>
                <w:sz w:val="36"/>
              </w:rPr>
              <w:t xml:space="preserve"> (</w:t>
            </w:r>
            <w:r w:rsidR="00AA662C" w:rsidRPr="00F06651">
              <w:rPr>
                <w:rFonts w:ascii="Arial" w:hAnsi="Arial"/>
                <w:b/>
                <w:bCs/>
                <w:sz w:val="36"/>
              </w:rPr>
              <w:t>EMF</w:t>
            </w:r>
            <w:r>
              <w:rPr>
                <w:rFonts w:ascii="Arial" w:hAnsi="Arial"/>
                <w:b/>
                <w:bCs/>
                <w:sz w:val="36"/>
              </w:rPr>
              <w:t>)</w:t>
            </w:r>
            <w:r w:rsidR="00AA662C" w:rsidRPr="00F06651">
              <w:rPr>
                <w:rFonts w:ascii="Arial" w:hAnsi="Arial"/>
                <w:b/>
                <w:bCs/>
                <w:sz w:val="36"/>
              </w:rPr>
              <w:t xml:space="preserve"> </w:t>
            </w:r>
            <w:r>
              <w:rPr>
                <w:rFonts w:ascii="Arial" w:hAnsi="Arial"/>
                <w:b/>
                <w:bCs/>
                <w:sz w:val="36"/>
              </w:rPr>
              <w:t>c</w:t>
            </w:r>
            <w:r w:rsidR="002E4045">
              <w:rPr>
                <w:rFonts w:ascii="Arial" w:hAnsi="Arial"/>
                <w:b/>
                <w:bCs/>
                <w:sz w:val="36"/>
              </w:rPr>
              <w:t>onsiderations in smart sustainable c</w:t>
            </w:r>
            <w:r w:rsidR="00AA662C" w:rsidRPr="00F06651">
              <w:rPr>
                <w:rFonts w:ascii="Arial" w:hAnsi="Arial"/>
                <w:b/>
                <w:bCs/>
                <w:sz w:val="36"/>
              </w:rPr>
              <w:t>ities</w:t>
            </w:r>
            <w:r w:rsidR="00450BA2">
              <w:rPr>
                <w:rFonts w:ascii="Arial" w:hAnsi="Arial"/>
                <w:b/>
                <w:bCs/>
                <w:sz w:val="36"/>
              </w:rPr>
              <w:t xml:space="preserve"> </w:t>
            </w:r>
          </w:p>
        </w:tc>
      </w:tr>
      <w:bookmarkEnd w:id="5"/>
      <w:tr w:rsidR="00AA662C" w:rsidRPr="00F06651" w14:paraId="30E8C43A" w14:textId="77777777" w:rsidTr="003C2262">
        <w:trPr>
          <w:cantSplit/>
          <w:trHeight w:hRule="exact" w:val="1418"/>
        </w:trPr>
        <w:tc>
          <w:tcPr>
            <w:tcW w:w="1418" w:type="dxa"/>
          </w:tcPr>
          <w:p w14:paraId="244D54BE" w14:textId="77777777" w:rsidR="00AA662C" w:rsidRPr="00F06651" w:rsidRDefault="00AA662C" w:rsidP="003C2262">
            <w:pPr>
              <w:tabs>
                <w:tab w:val="right" w:pos="9639"/>
              </w:tabs>
              <w:rPr>
                <w:rFonts w:ascii="Arial" w:hAnsi="Arial"/>
                <w:sz w:val="18"/>
              </w:rPr>
            </w:pPr>
          </w:p>
        </w:tc>
        <w:tc>
          <w:tcPr>
            <w:tcW w:w="8530" w:type="dxa"/>
            <w:gridSpan w:val="4"/>
            <w:vAlign w:val="bottom"/>
          </w:tcPr>
          <w:p w14:paraId="45B8C1BC" w14:textId="77777777" w:rsidR="00AA662C" w:rsidRPr="00F06651" w:rsidRDefault="00AA662C" w:rsidP="003C2262">
            <w:pPr>
              <w:tabs>
                <w:tab w:val="right" w:pos="9639"/>
              </w:tabs>
              <w:spacing w:before="60" w:after="240"/>
              <w:rPr>
                <w:rFonts w:ascii="Arial" w:hAnsi="Arial" w:cs="Arial"/>
                <w:sz w:val="32"/>
              </w:rPr>
            </w:pPr>
            <w:bookmarkStart w:id="6" w:name="dnum2e"/>
            <w:bookmarkEnd w:id="6"/>
            <w:r w:rsidRPr="00F06651">
              <w:rPr>
                <w:rFonts w:ascii="Arial" w:hAnsi="Arial" w:cs="Arial"/>
                <w:sz w:val="32"/>
              </w:rPr>
              <w:t>Focus Group Technical Report</w:t>
            </w:r>
          </w:p>
          <w:p w14:paraId="5BED126D" w14:textId="77777777" w:rsidR="00AA662C" w:rsidRPr="00F06651" w:rsidRDefault="00AA662C" w:rsidP="003C2262">
            <w:pPr>
              <w:tabs>
                <w:tab w:val="right" w:pos="9639"/>
              </w:tabs>
              <w:spacing w:before="60"/>
              <w:rPr>
                <w:rFonts w:ascii="Arial" w:hAnsi="Arial" w:cs="Arial"/>
                <w:sz w:val="32"/>
              </w:rPr>
            </w:pPr>
          </w:p>
        </w:tc>
      </w:tr>
    </w:tbl>
    <w:p w14:paraId="6CBCBCBC" w14:textId="77777777" w:rsidR="00AA662C" w:rsidRPr="00F06651" w:rsidRDefault="00AA662C" w:rsidP="00185363">
      <w:pPr>
        <w:tabs>
          <w:tab w:val="right" w:pos="9639"/>
        </w:tabs>
        <w:spacing w:before="240"/>
        <w:jc w:val="right"/>
        <w:rPr>
          <w:rFonts w:ascii="Arial" w:hAnsi="Arial"/>
          <w:sz w:val="18"/>
        </w:rPr>
      </w:pPr>
      <w:r w:rsidRPr="00F06651">
        <w:rPr>
          <w:rFonts w:ascii="Arial" w:hAnsi="Arial"/>
          <w:noProof/>
          <w:sz w:val="18"/>
          <w:lang w:val="en-US" w:eastAsia="zh-CN"/>
        </w:rPr>
        <w:drawing>
          <wp:inline distT="0" distB="0" distL="0" distR="0" wp14:anchorId="6E3CB3D1" wp14:editId="29CB5C80">
            <wp:extent cx="153352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
                    <pic:cNvPicPr>
                      <a:picLocks noChangeAspect="1" noChangeArrowheads="1"/>
                    </pic:cNvPicPr>
                  </pic:nvPicPr>
                  <pic:blipFill>
                    <a:blip r:embed="rId9" cstate="print"/>
                    <a:srcRect/>
                    <a:stretch>
                      <a:fillRect/>
                    </a:stretch>
                  </pic:blipFill>
                  <pic:spPr bwMode="auto">
                    <a:xfrm>
                      <a:off x="0" y="0"/>
                      <a:ext cx="1533525" cy="638175"/>
                    </a:xfrm>
                    <a:prstGeom prst="rect">
                      <a:avLst/>
                    </a:prstGeom>
                    <a:noFill/>
                    <a:ln w="9525">
                      <a:noFill/>
                      <a:miter lim="800000"/>
                      <a:headEnd/>
                      <a:tailEnd/>
                    </a:ln>
                  </pic:spPr>
                </pic:pic>
              </a:graphicData>
            </a:graphic>
          </wp:inline>
        </w:drawing>
      </w:r>
    </w:p>
    <w:p w14:paraId="1FA16612" w14:textId="77777777" w:rsidR="00AA662C" w:rsidRPr="00F06651" w:rsidRDefault="00AA662C" w:rsidP="00AA662C">
      <w:pPr>
        <w:sectPr w:rsidR="00AA662C" w:rsidRPr="00F06651" w:rsidSect="00AA662C">
          <w:headerReference w:type="even" r:id="rId10"/>
          <w:type w:val="oddPage"/>
          <w:pgSz w:w="11907" w:h="16840" w:code="9"/>
          <w:pgMar w:top="1089" w:right="1089" w:bottom="284" w:left="1089" w:header="567" w:footer="284" w:gutter="0"/>
          <w:pgNumType w:start="1"/>
          <w:cols w:space="720"/>
          <w:titlePg/>
          <w:docGrid w:linePitch="326"/>
        </w:sectPr>
      </w:pPr>
    </w:p>
    <w:p w14:paraId="0DD57810" w14:textId="77777777" w:rsidR="00AA662C" w:rsidRPr="00F06651" w:rsidRDefault="00AA662C" w:rsidP="00AA662C">
      <w:pPr>
        <w:spacing w:before="480"/>
        <w:jc w:val="center"/>
        <w:rPr>
          <w:sz w:val="22"/>
        </w:rPr>
      </w:pPr>
      <w:r w:rsidRPr="00F06651">
        <w:rPr>
          <w:sz w:val="22"/>
        </w:rPr>
        <w:lastRenderedPageBreak/>
        <w:t>FOREWORD</w:t>
      </w:r>
    </w:p>
    <w:p w14:paraId="516BC824" w14:textId="77777777" w:rsidR="00AA662C" w:rsidRPr="00F06651" w:rsidRDefault="00AA662C" w:rsidP="00AA662C">
      <w:pPr>
        <w:rPr>
          <w:sz w:val="22"/>
        </w:rPr>
      </w:pPr>
      <w:r w:rsidRPr="00F06651">
        <w:rPr>
          <w:sz w:val="22"/>
        </w:rPr>
        <w:t>The International Telecommunication Union (ITU) is the United Nations specialized agency in the field of tele</w:t>
      </w:r>
      <w:r w:rsidRPr="00F06651">
        <w:rPr>
          <w:sz w:val="22"/>
        </w:rPr>
        <w:softHyphen/>
        <w:t>com</w:t>
      </w:r>
      <w:r w:rsidRPr="00F06651">
        <w:rPr>
          <w:sz w:val="22"/>
        </w:rPr>
        <w:softHyphen/>
        <w:t>mu</w:t>
      </w:r>
      <w:r w:rsidRPr="00F06651">
        <w:rPr>
          <w:sz w:val="22"/>
        </w:rPr>
        <w:softHyphen/>
        <w:t>ni</w:t>
      </w:r>
      <w:r w:rsidRPr="00F06651">
        <w:rPr>
          <w:sz w:val="22"/>
        </w:rPr>
        <w:softHyphen/>
        <w:t>ca</w:t>
      </w:r>
      <w:r w:rsidRPr="00F06651">
        <w:rPr>
          <w:sz w:val="22"/>
        </w:rPr>
        <w:softHyphen/>
        <w:t>tions</w:t>
      </w:r>
      <w:r w:rsidRPr="00F06651">
        <w:rPr>
          <w:sz w:val="22"/>
          <w:szCs w:val="22"/>
        </w:rPr>
        <w:t>, information and communication technologies (ICTs).</w:t>
      </w:r>
      <w:r w:rsidRPr="00F06651">
        <w:rPr>
          <w:sz w:val="22"/>
        </w:rPr>
        <w:t xml:space="preserve"> The ITU Telecommunication Standardization Sector (ITU-T) is a permanent organ of ITU. ITU-T is responsible for studying technical, operating</w:t>
      </w:r>
      <w:r w:rsidR="00E561C1">
        <w:rPr>
          <w:sz w:val="22"/>
        </w:rPr>
        <w:t>,</w:t>
      </w:r>
      <w:r w:rsidRPr="00F06651">
        <w:rPr>
          <w:sz w:val="22"/>
        </w:rPr>
        <w:t xml:space="preserve"> and tariff questions and issuing Recommendations on them with a view to standardizing telecommunications on a worldwide basis.</w:t>
      </w:r>
    </w:p>
    <w:p w14:paraId="2EE9EE1D" w14:textId="63527E22" w:rsidR="00AA662C" w:rsidRPr="00F06651" w:rsidRDefault="00AA662C" w:rsidP="00E561C1">
      <w:pPr>
        <w:rPr>
          <w:sz w:val="22"/>
        </w:rPr>
      </w:pPr>
      <w:r w:rsidRPr="00F06651">
        <w:rPr>
          <w:sz w:val="22"/>
        </w:rPr>
        <w:t xml:space="preserve">The procedures for establishment of focus groups are defined in Recommendation ITU-T A.7. ITU-T Study Group 5 </w:t>
      </w:r>
      <w:r w:rsidR="00E561C1">
        <w:rPr>
          <w:sz w:val="22"/>
        </w:rPr>
        <w:t xml:space="preserve">set up the ITU-T </w:t>
      </w:r>
      <w:r w:rsidR="00E561C1" w:rsidRPr="00F06651">
        <w:rPr>
          <w:sz w:val="22"/>
        </w:rPr>
        <w:t>Focus Group on Smart Sustainable Cities (FG</w:t>
      </w:r>
      <w:r w:rsidR="00E561C1">
        <w:rPr>
          <w:sz w:val="22"/>
        </w:rPr>
        <w:t>-</w:t>
      </w:r>
      <w:r w:rsidR="00E561C1" w:rsidRPr="00F06651">
        <w:rPr>
          <w:sz w:val="22"/>
        </w:rPr>
        <w:t>SSC)</w:t>
      </w:r>
      <w:r w:rsidR="00E561C1">
        <w:rPr>
          <w:sz w:val="22"/>
        </w:rPr>
        <w:t xml:space="preserve"> </w:t>
      </w:r>
      <w:r w:rsidRPr="00F06651">
        <w:rPr>
          <w:sz w:val="22"/>
        </w:rPr>
        <w:t>at its meeting in February 2013. ITU-T Study Group 5 is the parent group of FG</w:t>
      </w:r>
      <w:r w:rsidR="008661DB">
        <w:rPr>
          <w:sz w:val="22"/>
        </w:rPr>
        <w:t>-</w:t>
      </w:r>
      <w:r w:rsidRPr="00F06651">
        <w:rPr>
          <w:sz w:val="22"/>
        </w:rPr>
        <w:t>SSC.</w:t>
      </w:r>
    </w:p>
    <w:p w14:paraId="5F608AA0" w14:textId="77777777" w:rsidR="00AA662C" w:rsidRPr="00F06651" w:rsidRDefault="00AA662C" w:rsidP="00AA662C">
      <w:pPr>
        <w:rPr>
          <w:sz w:val="22"/>
        </w:rPr>
      </w:pPr>
      <w:r w:rsidRPr="00F06651">
        <w:rPr>
          <w:sz w:val="22"/>
        </w:rPr>
        <w:t>Deliverables of focus groups can take the form of technical reports, specifications, etc.</w:t>
      </w:r>
      <w:r w:rsidR="008661DB">
        <w:rPr>
          <w:sz w:val="22"/>
        </w:rPr>
        <w:t>,</w:t>
      </w:r>
      <w:r w:rsidRPr="00F06651">
        <w:rPr>
          <w:sz w:val="22"/>
        </w:rPr>
        <w:t xml:space="preserve"> and aim to provide material for consideration by the parent group in its standardization activities. Deliverables of focus groups are not ITU-T Recommendations.</w:t>
      </w:r>
    </w:p>
    <w:p w14:paraId="15B30FE4" w14:textId="77777777" w:rsidR="00AA662C" w:rsidRPr="00F06651" w:rsidRDefault="00AA662C" w:rsidP="00AA662C">
      <w:pPr>
        <w:jc w:val="center"/>
        <w:rPr>
          <w:sz w:val="22"/>
        </w:rPr>
      </w:pPr>
    </w:p>
    <w:p w14:paraId="117569A9" w14:textId="77777777" w:rsidR="00AA662C" w:rsidRPr="00F06651" w:rsidRDefault="00AA662C" w:rsidP="00AA662C">
      <w:pPr>
        <w:jc w:val="center"/>
        <w:rPr>
          <w:sz w:val="22"/>
        </w:rPr>
      </w:pPr>
    </w:p>
    <w:p w14:paraId="606324FA" w14:textId="77777777" w:rsidR="00AA662C" w:rsidRPr="00F06651" w:rsidRDefault="00AA662C" w:rsidP="00AA662C">
      <w:pPr>
        <w:jc w:val="center"/>
        <w:rPr>
          <w:sz w:val="22"/>
        </w:rPr>
      </w:pPr>
    </w:p>
    <w:tbl>
      <w:tblPr>
        <w:tblStyle w:val="TableGrid"/>
        <w:tblW w:w="0" w:type="auto"/>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1208"/>
        <w:gridCol w:w="8385"/>
      </w:tblGrid>
      <w:tr w:rsidR="002E4045" w:rsidRPr="005A5706" w14:paraId="3BA633F8" w14:textId="77777777" w:rsidTr="00561C60">
        <w:tc>
          <w:tcPr>
            <w:tcW w:w="9945" w:type="dxa"/>
            <w:gridSpan w:val="2"/>
            <w:shd w:val="clear" w:color="auto" w:fill="auto"/>
          </w:tcPr>
          <w:p w14:paraId="38F8CB90" w14:textId="77777777" w:rsidR="002E4045" w:rsidRPr="005A5706" w:rsidRDefault="002E4045" w:rsidP="00561C60">
            <w:pPr>
              <w:jc w:val="center"/>
              <w:rPr>
                <w:b/>
                <w:sz w:val="22"/>
              </w:rPr>
            </w:pPr>
            <w:r>
              <w:rPr>
                <w:b/>
                <w:sz w:val="22"/>
              </w:rPr>
              <w:t>SERIES OF FG-SSC</w:t>
            </w:r>
            <w:r w:rsidRPr="005A5706">
              <w:rPr>
                <w:b/>
                <w:sz w:val="22"/>
              </w:rPr>
              <w:t xml:space="preserve"> TECHNICAL REPORTS</w:t>
            </w:r>
          </w:p>
        </w:tc>
      </w:tr>
      <w:tr w:rsidR="002E4045" w:rsidRPr="005A5706" w14:paraId="0AF817D1" w14:textId="77777777" w:rsidTr="00561C60">
        <w:tc>
          <w:tcPr>
            <w:tcW w:w="1241" w:type="dxa"/>
            <w:shd w:val="clear" w:color="auto" w:fill="auto"/>
          </w:tcPr>
          <w:p w14:paraId="72249712" w14:textId="77777777" w:rsidR="002E4045" w:rsidRPr="005A5706" w:rsidRDefault="002E4045" w:rsidP="00561C60">
            <w:pPr>
              <w:jc w:val="center"/>
              <w:rPr>
                <w:sz w:val="22"/>
              </w:rPr>
            </w:pPr>
          </w:p>
        </w:tc>
        <w:tc>
          <w:tcPr>
            <w:tcW w:w="8704" w:type="dxa"/>
            <w:shd w:val="clear" w:color="auto" w:fill="auto"/>
          </w:tcPr>
          <w:p w14:paraId="00C46F8D" w14:textId="77777777" w:rsidR="002E4045" w:rsidRPr="005A5706" w:rsidRDefault="002E4045" w:rsidP="00561C60">
            <w:pPr>
              <w:jc w:val="left"/>
              <w:rPr>
                <w:b/>
                <w:bCs/>
                <w:sz w:val="22"/>
              </w:rPr>
            </w:pPr>
          </w:p>
        </w:tc>
      </w:tr>
      <w:tr w:rsidR="002E4045" w:rsidRPr="005A5706" w14:paraId="4F19AB4C" w14:textId="77777777" w:rsidTr="00561C60">
        <w:tc>
          <w:tcPr>
            <w:tcW w:w="1241" w:type="dxa"/>
            <w:shd w:val="clear" w:color="auto" w:fill="auto"/>
          </w:tcPr>
          <w:p w14:paraId="6AB66B1D" w14:textId="77777777" w:rsidR="002E4045" w:rsidRPr="005A5706" w:rsidRDefault="002E4045" w:rsidP="00561C60">
            <w:pPr>
              <w:jc w:val="center"/>
              <w:rPr>
                <w:sz w:val="22"/>
              </w:rPr>
            </w:pPr>
          </w:p>
        </w:tc>
        <w:tc>
          <w:tcPr>
            <w:tcW w:w="8704" w:type="dxa"/>
            <w:shd w:val="clear" w:color="auto" w:fill="auto"/>
          </w:tcPr>
          <w:p w14:paraId="73383A18" w14:textId="77777777" w:rsidR="002E4045" w:rsidRPr="005A5706" w:rsidRDefault="002E4045" w:rsidP="00561C60">
            <w:pPr>
              <w:jc w:val="left"/>
              <w:rPr>
                <w:sz w:val="22"/>
              </w:rPr>
            </w:pPr>
          </w:p>
        </w:tc>
      </w:tr>
      <w:tr w:rsidR="002E4045" w:rsidRPr="005A5706" w14:paraId="70378339" w14:textId="77777777" w:rsidTr="00561C60">
        <w:tc>
          <w:tcPr>
            <w:tcW w:w="1241" w:type="dxa"/>
            <w:shd w:val="clear" w:color="auto" w:fill="auto"/>
          </w:tcPr>
          <w:p w14:paraId="26CD50C3" w14:textId="77777777" w:rsidR="002E4045" w:rsidRPr="005A5706" w:rsidRDefault="002E4045" w:rsidP="00561C60">
            <w:pPr>
              <w:jc w:val="center"/>
              <w:rPr>
                <w:sz w:val="22"/>
              </w:rPr>
            </w:pPr>
          </w:p>
        </w:tc>
        <w:tc>
          <w:tcPr>
            <w:tcW w:w="8704" w:type="dxa"/>
            <w:shd w:val="clear" w:color="auto" w:fill="auto"/>
          </w:tcPr>
          <w:p w14:paraId="2DA00DA0" w14:textId="77777777" w:rsidR="002E4045" w:rsidRPr="005A5706" w:rsidRDefault="002E4045" w:rsidP="00561C60">
            <w:pPr>
              <w:jc w:val="left"/>
              <w:rPr>
                <w:sz w:val="22"/>
              </w:rPr>
            </w:pPr>
          </w:p>
        </w:tc>
      </w:tr>
      <w:tr w:rsidR="002E4045" w:rsidRPr="005A5706" w14:paraId="04383A12" w14:textId="77777777" w:rsidTr="00561C60">
        <w:tc>
          <w:tcPr>
            <w:tcW w:w="1241" w:type="dxa"/>
            <w:shd w:val="clear" w:color="auto" w:fill="auto"/>
          </w:tcPr>
          <w:p w14:paraId="1CB20238" w14:textId="77777777" w:rsidR="002E4045" w:rsidRPr="005A5706" w:rsidRDefault="002E4045" w:rsidP="00561C60">
            <w:pPr>
              <w:jc w:val="center"/>
              <w:rPr>
                <w:sz w:val="22"/>
              </w:rPr>
            </w:pPr>
          </w:p>
        </w:tc>
        <w:tc>
          <w:tcPr>
            <w:tcW w:w="8704" w:type="dxa"/>
            <w:shd w:val="clear" w:color="auto" w:fill="auto"/>
          </w:tcPr>
          <w:p w14:paraId="740BD005" w14:textId="77777777" w:rsidR="002E4045" w:rsidRPr="005A5706" w:rsidRDefault="002E4045" w:rsidP="00561C60">
            <w:pPr>
              <w:jc w:val="left"/>
              <w:rPr>
                <w:sz w:val="22"/>
              </w:rPr>
            </w:pPr>
          </w:p>
        </w:tc>
      </w:tr>
      <w:tr w:rsidR="002E4045" w:rsidRPr="005A5706" w14:paraId="301EBC38" w14:textId="77777777" w:rsidTr="00561C60">
        <w:tc>
          <w:tcPr>
            <w:tcW w:w="1241" w:type="dxa"/>
            <w:shd w:val="clear" w:color="auto" w:fill="auto"/>
          </w:tcPr>
          <w:p w14:paraId="7C186787" w14:textId="77777777" w:rsidR="002E4045" w:rsidRPr="005A5706" w:rsidRDefault="002E4045" w:rsidP="00561C60">
            <w:pPr>
              <w:jc w:val="center"/>
              <w:rPr>
                <w:sz w:val="22"/>
              </w:rPr>
            </w:pPr>
          </w:p>
        </w:tc>
        <w:tc>
          <w:tcPr>
            <w:tcW w:w="8704" w:type="dxa"/>
            <w:shd w:val="clear" w:color="auto" w:fill="auto"/>
          </w:tcPr>
          <w:p w14:paraId="4F489F93" w14:textId="77777777" w:rsidR="002E4045" w:rsidRPr="005A5706" w:rsidRDefault="002E4045" w:rsidP="00561C60">
            <w:pPr>
              <w:jc w:val="left"/>
              <w:rPr>
                <w:sz w:val="22"/>
              </w:rPr>
            </w:pPr>
          </w:p>
        </w:tc>
      </w:tr>
      <w:tr w:rsidR="002E4045" w:rsidRPr="005A5706" w14:paraId="1D9521B3" w14:textId="77777777" w:rsidTr="00561C60">
        <w:tc>
          <w:tcPr>
            <w:tcW w:w="1241" w:type="dxa"/>
            <w:shd w:val="clear" w:color="auto" w:fill="auto"/>
          </w:tcPr>
          <w:p w14:paraId="262786D0" w14:textId="77777777" w:rsidR="002E4045" w:rsidRPr="005A5706" w:rsidRDefault="002E4045" w:rsidP="00561C60">
            <w:pPr>
              <w:jc w:val="center"/>
              <w:rPr>
                <w:sz w:val="22"/>
              </w:rPr>
            </w:pPr>
          </w:p>
        </w:tc>
        <w:tc>
          <w:tcPr>
            <w:tcW w:w="8704" w:type="dxa"/>
            <w:shd w:val="clear" w:color="auto" w:fill="auto"/>
          </w:tcPr>
          <w:p w14:paraId="556BA491" w14:textId="77777777" w:rsidR="002E4045" w:rsidRPr="005A5706" w:rsidRDefault="002E4045" w:rsidP="00561C60">
            <w:pPr>
              <w:jc w:val="center"/>
              <w:rPr>
                <w:sz w:val="22"/>
              </w:rPr>
            </w:pPr>
          </w:p>
        </w:tc>
      </w:tr>
    </w:tbl>
    <w:p w14:paraId="568E6795" w14:textId="77777777" w:rsidR="00AA662C" w:rsidRPr="00F06651" w:rsidRDefault="00AA662C" w:rsidP="00AA662C">
      <w:pPr>
        <w:jc w:val="center"/>
        <w:rPr>
          <w:sz w:val="22"/>
        </w:rPr>
      </w:pPr>
    </w:p>
    <w:p w14:paraId="1FC37C4E" w14:textId="77777777" w:rsidR="00AA662C" w:rsidRPr="00F06651" w:rsidRDefault="00AA662C" w:rsidP="00AA662C">
      <w:pPr>
        <w:jc w:val="center"/>
        <w:rPr>
          <w:sz w:val="22"/>
        </w:rPr>
      </w:pPr>
    </w:p>
    <w:p w14:paraId="298472CF" w14:textId="77777777" w:rsidR="00AA662C" w:rsidRPr="00F06651" w:rsidRDefault="00AA662C" w:rsidP="00AA662C">
      <w:pPr>
        <w:jc w:val="center"/>
        <w:rPr>
          <w:sz w:val="22"/>
        </w:rPr>
      </w:pPr>
    </w:p>
    <w:p w14:paraId="59354B0F" w14:textId="77777777" w:rsidR="00AA662C" w:rsidRPr="00F06651" w:rsidRDefault="00AA662C" w:rsidP="00AA662C">
      <w:pPr>
        <w:jc w:val="center"/>
        <w:rPr>
          <w:sz w:val="22"/>
        </w:rPr>
      </w:pPr>
    </w:p>
    <w:p w14:paraId="6C8D72CF" w14:textId="77777777" w:rsidR="00AA662C" w:rsidRPr="00F06651" w:rsidRDefault="00AA662C" w:rsidP="00AA662C">
      <w:pPr>
        <w:jc w:val="center"/>
        <w:rPr>
          <w:sz w:val="22"/>
        </w:rPr>
      </w:pPr>
    </w:p>
    <w:p w14:paraId="097A72C7" w14:textId="77777777" w:rsidR="00AA662C" w:rsidRPr="00F06651" w:rsidRDefault="00AA662C" w:rsidP="00AA662C">
      <w:pPr>
        <w:jc w:val="center"/>
        <w:rPr>
          <w:sz w:val="22"/>
        </w:rPr>
      </w:pPr>
    </w:p>
    <w:p w14:paraId="3991EE45" w14:textId="77777777" w:rsidR="00AA662C" w:rsidRPr="00F06651" w:rsidRDefault="00AA662C" w:rsidP="00AA662C">
      <w:pPr>
        <w:jc w:val="center"/>
        <w:rPr>
          <w:sz w:val="22"/>
        </w:rPr>
      </w:pPr>
    </w:p>
    <w:p w14:paraId="2E6EACD3" w14:textId="77777777" w:rsidR="00AA662C" w:rsidRPr="00F06651" w:rsidRDefault="00AA662C" w:rsidP="00AA662C">
      <w:pPr>
        <w:jc w:val="center"/>
        <w:rPr>
          <w:sz w:val="22"/>
        </w:rPr>
      </w:pPr>
      <w:r w:rsidRPr="00F06651">
        <w:rPr>
          <w:sz w:val="22"/>
        </w:rPr>
        <w:br/>
      </w:r>
    </w:p>
    <w:p w14:paraId="66E8F9BC" w14:textId="77777777" w:rsidR="00AA662C" w:rsidRDefault="00AA662C" w:rsidP="00AA662C">
      <w:pPr>
        <w:jc w:val="center"/>
        <w:rPr>
          <w:sz w:val="22"/>
        </w:rPr>
      </w:pPr>
    </w:p>
    <w:p w14:paraId="12C18E65" w14:textId="77777777" w:rsidR="004C37E7" w:rsidRDefault="004C37E7" w:rsidP="00AA662C">
      <w:pPr>
        <w:jc w:val="center"/>
        <w:rPr>
          <w:sz w:val="22"/>
        </w:rPr>
      </w:pPr>
    </w:p>
    <w:p w14:paraId="26807E27" w14:textId="77777777" w:rsidR="004C37E7" w:rsidRDefault="004C37E7" w:rsidP="00AA662C">
      <w:pPr>
        <w:jc w:val="center"/>
        <w:rPr>
          <w:sz w:val="22"/>
        </w:rPr>
      </w:pPr>
    </w:p>
    <w:p w14:paraId="2A746042" w14:textId="77777777" w:rsidR="004C37E7" w:rsidRDefault="004C37E7" w:rsidP="00AA662C">
      <w:pPr>
        <w:jc w:val="center"/>
        <w:rPr>
          <w:sz w:val="22"/>
        </w:rPr>
      </w:pPr>
    </w:p>
    <w:p w14:paraId="4D9D7F65" w14:textId="77777777" w:rsidR="004C37E7" w:rsidRDefault="004C37E7" w:rsidP="00AA662C">
      <w:pPr>
        <w:jc w:val="center"/>
        <w:rPr>
          <w:sz w:val="22"/>
        </w:rPr>
      </w:pPr>
    </w:p>
    <w:p w14:paraId="271D82F3" w14:textId="77777777" w:rsidR="004C37E7" w:rsidRDefault="004C37E7" w:rsidP="002E4045">
      <w:pPr>
        <w:rPr>
          <w:sz w:val="22"/>
        </w:rPr>
      </w:pPr>
    </w:p>
    <w:p w14:paraId="32355FD9" w14:textId="77777777" w:rsidR="004C37E7" w:rsidRPr="00F06651" w:rsidRDefault="004C37E7" w:rsidP="00AA662C">
      <w:pPr>
        <w:jc w:val="center"/>
        <w:rPr>
          <w:sz w:val="22"/>
        </w:rPr>
      </w:pPr>
    </w:p>
    <w:p w14:paraId="44AACAD1" w14:textId="77777777" w:rsidR="00AA662C" w:rsidRPr="00F06651" w:rsidRDefault="00AA662C" w:rsidP="00AA662C">
      <w:pPr>
        <w:jc w:val="center"/>
        <w:rPr>
          <w:sz w:val="22"/>
        </w:rPr>
      </w:pPr>
      <w:r w:rsidRPr="00F06651">
        <w:rPr>
          <w:sz w:val="22"/>
        </w:rPr>
        <w:sym w:font="Symbol" w:char="F0E3"/>
      </w:r>
      <w:r w:rsidRPr="00F06651">
        <w:rPr>
          <w:sz w:val="22"/>
        </w:rPr>
        <w:t> ITU </w:t>
      </w:r>
      <w:bookmarkStart w:id="7" w:name="iiannee"/>
      <w:bookmarkEnd w:id="7"/>
      <w:r w:rsidRPr="00F06651">
        <w:rPr>
          <w:sz w:val="22"/>
        </w:rPr>
        <w:t>2014</w:t>
      </w:r>
    </w:p>
    <w:p w14:paraId="67339C99" w14:textId="77777777" w:rsidR="00AA662C" w:rsidRDefault="00AA662C" w:rsidP="00AA662C">
      <w:pPr>
        <w:rPr>
          <w:sz w:val="22"/>
        </w:rPr>
      </w:pPr>
      <w:r w:rsidRPr="00F06651">
        <w:rPr>
          <w:sz w:val="22"/>
        </w:rPr>
        <w:t>All rights reserved. No part of this publication may be reproduced, by any means whatsoever, without the prior written permission of ITU.</w:t>
      </w:r>
    </w:p>
    <w:p w14:paraId="420B9045" w14:textId="77777777" w:rsidR="00FA3D51" w:rsidRDefault="00FA3D51" w:rsidP="00FA3D51">
      <w:pPr>
        <w:rPr>
          <w:sz w:val="22"/>
        </w:rPr>
      </w:pPr>
      <w:r>
        <w:rPr>
          <w:sz w:val="22"/>
        </w:rPr>
        <w:lastRenderedPageBreak/>
        <w:br w:type="page"/>
      </w:r>
    </w:p>
    <w:p w14:paraId="50AA761D" w14:textId="77777777" w:rsidR="00FA3D51" w:rsidRDefault="00FA3D51" w:rsidP="00FA3D51">
      <w:pPr>
        <w:pStyle w:val="Headingb"/>
      </w:pPr>
      <w:r>
        <w:lastRenderedPageBreak/>
        <w:t>Overview</w:t>
      </w:r>
    </w:p>
    <w:p w14:paraId="36822894" w14:textId="00331743" w:rsidR="00CE197F" w:rsidRPr="00CE197F" w:rsidRDefault="00CE197F" w:rsidP="00CE197F">
      <w:pPr>
        <w:rPr>
          <w:lang w:val="en-US"/>
        </w:rPr>
      </w:pPr>
      <w:r w:rsidRPr="00CE197F">
        <w:rPr>
          <w:lang w:val="en-US"/>
        </w:rPr>
        <w:t xml:space="preserve">ITU-T </w:t>
      </w:r>
      <w:r w:rsidR="00450BA2">
        <w:rPr>
          <w:lang w:val="en-US"/>
        </w:rPr>
        <w:t xml:space="preserve">Study Group 5 </w:t>
      </w:r>
      <w:r w:rsidRPr="00CE197F">
        <w:rPr>
          <w:lang w:val="en-US"/>
        </w:rPr>
        <w:t xml:space="preserve">has established a new Focus Group </w:t>
      </w:r>
      <w:r w:rsidR="004C37E7">
        <w:rPr>
          <w:lang w:val="en-US"/>
        </w:rPr>
        <w:t>on Smart Sustainable Cities (FG</w:t>
      </w:r>
      <w:r w:rsidR="008661DB">
        <w:rPr>
          <w:lang w:val="en-US"/>
        </w:rPr>
        <w:t>-</w:t>
      </w:r>
      <w:r w:rsidRPr="00CE197F">
        <w:rPr>
          <w:lang w:val="en-US"/>
        </w:rPr>
        <w:t>SSC) to assess the standardization requirements of cities aiming to boost their social, economic and environmental sustainability through the integration of information and communication technologies (ICTs) in their infrastructures and operations.</w:t>
      </w:r>
    </w:p>
    <w:p w14:paraId="3A5B7AC6" w14:textId="4327D4E0" w:rsidR="00CE197F" w:rsidRPr="00CE197F" w:rsidRDefault="00CE197F" w:rsidP="00CE197F">
      <w:pPr>
        <w:rPr>
          <w:lang w:val="en-US"/>
        </w:rPr>
      </w:pPr>
      <w:r w:rsidRPr="00CE197F">
        <w:rPr>
          <w:lang w:val="en-US"/>
        </w:rPr>
        <w:t xml:space="preserve">Wireless networks provide vital infrastructure and connection of ICTs that underpin </w:t>
      </w:r>
      <w:r w:rsidR="00A50C12">
        <w:rPr>
          <w:lang w:val="en-US"/>
        </w:rPr>
        <w:t>s</w:t>
      </w:r>
      <w:r w:rsidRPr="00CE197F">
        <w:rPr>
          <w:lang w:val="en-US"/>
        </w:rPr>
        <w:t xml:space="preserve">mart </w:t>
      </w:r>
      <w:r w:rsidR="00A50C12">
        <w:rPr>
          <w:lang w:val="en-US"/>
        </w:rPr>
        <w:t>s</w:t>
      </w:r>
      <w:r w:rsidRPr="00CE197F">
        <w:rPr>
          <w:lang w:val="en-US"/>
        </w:rPr>
        <w:t xml:space="preserve">ustainable </w:t>
      </w:r>
      <w:r w:rsidR="00A50C12">
        <w:rPr>
          <w:lang w:val="en-US"/>
        </w:rPr>
        <w:t>c</w:t>
      </w:r>
      <w:r w:rsidRPr="00CE197F">
        <w:rPr>
          <w:lang w:val="en-US"/>
        </w:rPr>
        <w:t xml:space="preserve">ities. The effective design and careful deployment of wireless networks and </w:t>
      </w:r>
      <w:r w:rsidR="00A50C12">
        <w:rPr>
          <w:lang w:val="en-US"/>
        </w:rPr>
        <w:t>s</w:t>
      </w:r>
      <w:r w:rsidRPr="00CE197F">
        <w:rPr>
          <w:lang w:val="en-US"/>
        </w:rPr>
        <w:t xml:space="preserve">hort </w:t>
      </w:r>
      <w:r w:rsidR="00A50C12">
        <w:rPr>
          <w:lang w:val="en-US"/>
        </w:rPr>
        <w:t>r</w:t>
      </w:r>
      <w:r w:rsidRPr="00CE197F">
        <w:rPr>
          <w:lang w:val="en-US"/>
        </w:rPr>
        <w:t xml:space="preserve">ange </w:t>
      </w:r>
      <w:r w:rsidR="00A50C12">
        <w:rPr>
          <w:lang w:val="en-US"/>
        </w:rPr>
        <w:t>d</w:t>
      </w:r>
      <w:r w:rsidRPr="00CE197F">
        <w:rPr>
          <w:lang w:val="en-US"/>
        </w:rPr>
        <w:t xml:space="preserve">evices (SRDs) are vital to ensuring electromagnetic field (EMF) compliance and maximum efficiency for ICTs. </w:t>
      </w:r>
    </w:p>
    <w:p w14:paraId="6281E2EE" w14:textId="77777777" w:rsidR="00CE197F" w:rsidRPr="00CE197F" w:rsidRDefault="00CE197F" w:rsidP="00450BA2">
      <w:pPr>
        <w:rPr>
          <w:lang w:val="en-US"/>
        </w:rPr>
      </w:pPr>
      <w:r w:rsidRPr="00CE197F">
        <w:rPr>
          <w:lang w:val="en-US"/>
        </w:rPr>
        <w:t>Key features of this Technical Report are:</w:t>
      </w:r>
    </w:p>
    <w:p w14:paraId="2BEBBEF8" w14:textId="296E0941" w:rsidR="00CE197F" w:rsidRPr="00CE197F" w:rsidRDefault="00CE197F" w:rsidP="00CE197F">
      <w:pPr>
        <w:pStyle w:val="enumlev1"/>
        <w:rPr>
          <w:lang w:val="en-US"/>
        </w:rPr>
      </w:pPr>
      <w:r w:rsidRPr="00CE197F">
        <w:rPr>
          <w:lang w:val="en-US"/>
        </w:rPr>
        <w:t>a)</w:t>
      </w:r>
      <w:r>
        <w:rPr>
          <w:lang w:val="en-US"/>
        </w:rPr>
        <w:tab/>
      </w:r>
      <w:r w:rsidRPr="00CE197F">
        <w:rPr>
          <w:lang w:val="en-US"/>
        </w:rPr>
        <w:t xml:space="preserve">It details the EMF considerations in </w:t>
      </w:r>
      <w:r w:rsidR="00A50C12">
        <w:rPr>
          <w:lang w:val="en-US"/>
        </w:rPr>
        <w:t>s</w:t>
      </w:r>
      <w:r w:rsidRPr="00CE197F">
        <w:rPr>
          <w:lang w:val="en-US"/>
        </w:rPr>
        <w:t xml:space="preserve">mart </w:t>
      </w:r>
      <w:r w:rsidR="00A50C12">
        <w:rPr>
          <w:lang w:val="en-US"/>
        </w:rPr>
        <w:t>s</w:t>
      </w:r>
      <w:r w:rsidRPr="00CE197F">
        <w:rPr>
          <w:lang w:val="en-US"/>
        </w:rPr>
        <w:t xml:space="preserve">ustainable </w:t>
      </w:r>
      <w:r w:rsidR="00A50C12">
        <w:rPr>
          <w:lang w:val="en-US"/>
        </w:rPr>
        <w:t>c</w:t>
      </w:r>
      <w:r w:rsidRPr="00CE197F">
        <w:rPr>
          <w:lang w:val="en-US"/>
        </w:rPr>
        <w:t>ities.</w:t>
      </w:r>
    </w:p>
    <w:p w14:paraId="0E0A0943" w14:textId="77777777" w:rsidR="00CE197F" w:rsidRPr="00CE197F" w:rsidRDefault="00CE197F" w:rsidP="00CE197F">
      <w:pPr>
        <w:pStyle w:val="enumlev1"/>
        <w:rPr>
          <w:lang w:val="en-US"/>
        </w:rPr>
      </w:pPr>
      <w:bookmarkStart w:id="8" w:name="_Toc389457698"/>
      <w:r>
        <w:rPr>
          <w:lang w:val="en-US"/>
        </w:rPr>
        <w:t>b)</w:t>
      </w:r>
      <w:r>
        <w:rPr>
          <w:lang w:val="en-US"/>
        </w:rPr>
        <w:tab/>
      </w:r>
      <w:r w:rsidRPr="00CE197F">
        <w:rPr>
          <w:lang w:val="en-US"/>
        </w:rPr>
        <w:t>It provides guidance on implementation, and promotes efficient deployment of wireless networks in smart sustainable cities.</w:t>
      </w:r>
      <w:bookmarkEnd w:id="8"/>
      <w:r w:rsidRPr="00CE197F">
        <w:rPr>
          <w:lang w:val="en-US"/>
        </w:rPr>
        <w:t xml:space="preserve">  </w:t>
      </w:r>
    </w:p>
    <w:p w14:paraId="321208A9" w14:textId="77777777" w:rsidR="00CE197F" w:rsidRPr="00CE197F" w:rsidRDefault="00CE197F" w:rsidP="00CE197F">
      <w:pPr>
        <w:pStyle w:val="enumlev1"/>
        <w:rPr>
          <w:lang w:val="en-US"/>
        </w:rPr>
      </w:pPr>
      <w:bookmarkStart w:id="9" w:name="_Toc389457699"/>
      <w:r>
        <w:rPr>
          <w:lang w:val="en-US"/>
        </w:rPr>
        <w:t>c)</w:t>
      </w:r>
      <w:r>
        <w:rPr>
          <w:lang w:val="en-US"/>
        </w:rPr>
        <w:tab/>
      </w:r>
      <w:r w:rsidRPr="00CE197F">
        <w:rPr>
          <w:lang w:val="en-US"/>
        </w:rPr>
        <w:t>It features a ‘Smart Sustainability City EMF Check</w:t>
      </w:r>
      <w:r w:rsidR="00D47DC8">
        <w:rPr>
          <w:lang w:val="en-US"/>
        </w:rPr>
        <w:t>-</w:t>
      </w:r>
      <w:r w:rsidRPr="00CE197F">
        <w:rPr>
          <w:lang w:val="en-US"/>
        </w:rPr>
        <w:t>list’ designed to provide an easy to use reference for city officials and planners to ensure smart city policies operate most efficiently and comply with EMF exposure standards</w:t>
      </w:r>
      <w:bookmarkEnd w:id="9"/>
      <w:r w:rsidRPr="00CE197F">
        <w:rPr>
          <w:lang w:val="en-US"/>
        </w:rPr>
        <w:t>.</w:t>
      </w:r>
    </w:p>
    <w:p w14:paraId="78E31382" w14:textId="77777777" w:rsidR="00CE197F" w:rsidRPr="00CE197F" w:rsidRDefault="00CE197F" w:rsidP="00CE197F">
      <w:pPr>
        <w:pStyle w:val="enumlev1"/>
        <w:rPr>
          <w:lang w:val="en-US"/>
        </w:rPr>
      </w:pPr>
      <w:bookmarkStart w:id="10" w:name="_Toc389457700"/>
      <w:r>
        <w:rPr>
          <w:lang w:val="en-US"/>
        </w:rPr>
        <w:t>d)</w:t>
      </w:r>
      <w:r>
        <w:rPr>
          <w:lang w:val="en-US"/>
        </w:rPr>
        <w:tab/>
      </w:r>
      <w:r w:rsidRPr="00CE197F">
        <w:rPr>
          <w:lang w:val="en-US"/>
        </w:rPr>
        <w:t>It references WHO materials, ICNIRP Guidelines, ITU-T Recommendations and IEC Standards. It is not intended to replicate the material in all references</w:t>
      </w:r>
      <w:bookmarkEnd w:id="10"/>
      <w:r w:rsidRPr="00CE197F">
        <w:rPr>
          <w:lang w:val="en-US"/>
        </w:rPr>
        <w:t>.</w:t>
      </w:r>
    </w:p>
    <w:p w14:paraId="3A705372" w14:textId="77777777" w:rsidR="00CE197F" w:rsidRPr="00CE197F" w:rsidRDefault="00CE197F" w:rsidP="00CE197F">
      <w:pPr>
        <w:rPr>
          <w:lang w:val="en-US"/>
        </w:rPr>
      </w:pPr>
    </w:p>
    <w:p w14:paraId="023E0194" w14:textId="77777777" w:rsidR="00FA3D51" w:rsidRPr="00CE197F" w:rsidRDefault="00FA3D51" w:rsidP="00FA3D51">
      <w:pPr>
        <w:rPr>
          <w:lang w:val="en-US"/>
        </w:rPr>
      </w:pPr>
    </w:p>
    <w:p w14:paraId="1FCF30FB" w14:textId="77777777" w:rsidR="00FA3D51" w:rsidRDefault="00FA3D51" w:rsidP="00FA3D51">
      <w:r>
        <w:br w:type="page"/>
      </w:r>
    </w:p>
    <w:p w14:paraId="6A96D916" w14:textId="77777777" w:rsidR="00FA3D51" w:rsidRDefault="00FA3D51" w:rsidP="00FA3D51"/>
    <w:p w14:paraId="381311E9" w14:textId="69CF0005" w:rsidR="00FA3D51" w:rsidRPr="00FA3D51" w:rsidRDefault="00871FE7" w:rsidP="00FA3D51">
      <w:pPr>
        <w:spacing w:before="5040"/>
        <w:jc w:val="center"/>
        <w:rPr>
          <w:b/>
          <w:bCs/>
          <w:sz w:val="52"/>
          <w:szCs w:val="52"/>
          <w:lang w:eastAsia="ko-KR"/>
        </w:rPr>
      </w:pPr>
      <w:r>
        <w:rPr>
          <w:b/>
          <w:bCs/>
          <w:sz w:val="52"/>
          <w:szCs w:val="52"/>
          <w:lang w:eastAsia="ko-KR"/>
        </w:rPr>
        <w:t>Electromagnetic field</w:t>
      </w:r>
      <w:r w:rsidR="00742292">
        <w:rPr>
          <w:b/>
          <w:bCs/>
          <w:sz w:val="52"/>
          <w:szCs w:val="52"/>
          <w:lang w:eastAsia="ko-KR"/>
        </w:rPr>
        <w:t xml:space="preserve"> (</w:t>
      </w:r>
      <w:r w:rsidR="00FA3D51" w:rsidRPr="00FA3D51">
        <w:rPr>
          <w:b/>
          <w:bCs/>
          <w:sz w:val="52"/>
          <w:szCs w:val="52"/>
          <w:lang w:eastAsia="ko-KR"/>
        </w:rPr>
        <w:t>EMF</w:t>
      </w:r>
      <w:r w:rsidR="00742292">
        <w:rPr>
          <w:b/>
          <w:bCs/>
          <w:sz w:val="52"/>
          <w:szCs w:val="52"/>
          <w:lang w:eastAsia="ko-KR"/>
        </w:rPr>
        <w:t>)</w:t>
      </w:r>
      <w:r w:rsidR="00FA3D51" w:rsidRPr="00FA3D51">
        <w:rPr>
          <w:b/>
          <w:bCs/>
          <w:sz w:val="52"/>
          <w:szCs w:val="52"/>
          <w:lang w:eastAsia="ko-KR"/>
        </w:rPr>
        <w:t xml:space="preserve"> </w:t>
      </w:r>
      <w:r w:rsidR="00742292">
        <w:rPr>
          <w:b/>
          <w:bCs/>
          <w:sz w:val="52"/>
          <w:szCs w:val="52"/>
          <w:lang w:eastAsia="ko-KR"/>
        </w:rPr>
        <w:t>c</w:t>
      </w:r>
      <w:r w:rsidR="00FA3D51" w:rsidRPr="00FA3D51">
        <w:rPr>
          <w:b/>
          <w:bCs/>
          <w:sz w:val="52"/>
          <w:szCs w:val="52"/>
          <w:lang w:eastAsia="ko-KR"/>
        </w:rPr>
        <w:t xml:space="preserve">onsiderations in </w:t>
      </w:r>
      <w:r w:rsidR="00FA3D51" w:rsidRPr="00FA3D51">
        <w:rPr>
          <w:b/>
          <w:bCs/>
          <w:sz w:val="52"/>
          <w:szCs w:val="52"/>
          <w:lang w:eastAsia="ko-KR"/>
        </w:rPr>
        <w:br/>
      </w:r>
      <w:r w:rsidR="00742292">
        <w:rPr>
          <w:b/>
          <w:bCs/>
          <w:sz w:val="52"/>
          <w:szCs w:val="52"/>
          <w:lang w:eastAsia="ko-KR"/>
        </w:rPr>
        <w:t>s</w:t>
      </w:r>
      <w:r w:rsidR="00FA3D51" w:rsidRPr="00FA3D51">
        <w:rPr>
          <w:b/>
          <w:bCs/>
          <w:sz w:val="52"/>
          <w:szCs w:val="52"/>
          <w:lang w:eastAsia="ko-KR"/>
        </w:rPr>
        <w:t xml:space="preserve">mart </w:t>
      </w:r>
      <w:r w:rsidR="00742292">
        <w:rPr>
          <w:b/>
          <w:bCs/>
          <w:sz w:val="52"/>
          <w:szCs w:val="52"/>
          <w:lang w:eastAsia="ko-KR"/>
        </w:rPr>
        <w:t>s</w:t>
      </w:r>
      <w:r w:rsidR="00FA3D51" w:rsidRPr="00FA3D51">
        <w:rPr>
          <w:b/>
          <w:bCs/>
          <w:sz w:val="52"/>
          <w:szCs w:val="52"/>
          <w:lang w:eastAsia="ko-KR"/>
        </w:rPr>
        <w:t xml:space="preserve">ustainable </w:t>
      </w:r>
      <w:r w:rsidR="00742292">
        <w:rPr>
          <w:b/>
          <w:bCs/>
          <w:sz w:val="52"/>
          <w:szCs w:val="52"/>
          <w:lang w:eastAsia="ko-KR"/>
        </w:rPr>
        <w:t>c</w:t>
      </w:r>
      <w:r w:rsidR="00FA3D51" w:rsidRPr="00FA3D51">
        <w:rPr>
          <w:b/>
          <w:bCs/>
          <w:sz w:val="52"/>
          <w:szCs w:val="52"/>
          <w:lang w:eastAsia="ko-KR"/>
        </w:rPr>
        <w:t>ities</w:t>
      </w:r>
      <w:r w:rsidR="0041660F">
        <w:rPr>
          <w:b/>
          <w:bCs/>
          <w:sz w:val="52"/>
          <w:szCs w:val="52"/>
          <w:lang w:eastAsia="ko-KR"/>
        </w:rPr>
        <w:t xml:space="preserve"> </w:t>
      </w:r>
    </w:p>
    <w:p w14:paraId="4EA2E738" w14:textId="77777777" w:rsidR="00FA3D51" w:rsidRDefault="00FA3D51" w:rsidP="00FA3D51">
      <w:r>
        <w:br w:type="page"/>
      </w:r>
    </w:p>
    <w:p w14:paraId="5A8D256F" w14:textId="77777777" w:rsidR="00FA3D51" w:rsidRDefault="00FA3D51" w:rsidP="00FA3D51">
      <w:pPr>
        <w:pStyle w:val="Headingb"/>
      </w:pPr>
      <w:r>
        <w:lastRenderedPageBreak/>
        <w:t xml:space="preserve">About this </w:t>
      </w:r>
      <w:r w:rsidR="00A50C12">
        <w:t xml:space="preserve">Technical </w:t>
      </w:r>
      <w:r>
        <w:t>Report</w:t>
      </w:r>
    </w:p>
    <w:p w14:paraId="73E20836" w14:textId="4540C138" w:rsidR="000C5E8A" w:rsidRPr="000C5E8A" w:rsidRDefault="000C5E8A" w:rsidP="000C5E8A">
      <w:pPr>
        <w:rPr>
          <w:lang w:val="en-US"/>
        </w:rPr>
      </w:pPr>
      <w:r w:rsidRPr="000C5E8A">
        <w:rPr>
          <w:lang w:val="en-US"/>
        </w:rPr>
        <w:t xml:space="preserve">This </w:t>
      </w:r>
      <w:r w:rsidR="004C37E7">
        <w:rPr>
          <w:lang w:val="en-US"/>
        </w:rPr>
        <w:t>Technical Report</w:t>
      </w:r>
      <w:r w:rsidRPr="000C5E8A">
        <w:rPr>
          <w:lang w:val="en-US"/>
        </w:rPr>
        <w:t xml:space="preserve"> has been developed as a contribution to the International Telecommunication Union's (ITU) Focus Group on Smart Sustainable </w:t>
      </w:r>
      <w:r w:rsidR="004C37E7">
        <w:rPr>
          <w:lang w:val="en-US"/>
        </w:rPr>
        <w:t>Cities (FG</w:t>
      </w:r>
      <w:r w:rsidR="00A50C12">
        <w:rPr>
          <w:lang w:val="en-US"/>
        </w:rPr>
        <w:t>-</w:t>
      </w:r>
      <w:r w:rsidRPr="000C5E8A">
        <w:rPr>
          <w:lang w:val="en-US"/>
        </w:rPr>
        <w:t>SSC) – Working Group 2 ‘SSC infrastructure’.</w:t>
      </w:r>
    </w:p>
    <w:p w14:paraId="4161E73E" w14:textId="77777777" w:rsidR="000C5E8A" w:rsidRPr="000C5E8A" w:rsidRDefault="000C5E8A" w:rsidP="000C5E8A">
      <w:pPr>
        <w:pStyle w:val="Headingb"/>
      </w:pPr>
      <w:r w:rsidRPr="000C5E8A">
        <w:t xml:space="preserve">Acknowledgements </w:t>
      </w:r>
    </w:p>
    <w:p w14:paraId="63F11774" w14:textId="21C0AFA1" w:rsidR="000C5E8A" w:rsidRPr="000C5E8A" w:rsidRDefault="000C5E8A" w:rsidP="00675310">
      <w:pPr>
        <w:rPr>
          <w:lang w:val="en-US"/>
        </w:rPr>
      </w:pPr>
      <w:r w:rsidRPr="000C5E8A">
        <w:rPr>
          <w:lang w:val="en-US"/>
        </w:rPr>
        <w:t xml:space="preserve">This </w:t>
      </w:r>
      <w:r w:rsidR="004C37E7">
        <w:rPr>
          <w:lang w:val="en-US"/>
        </w:rPr>
        <w:t>Technical Report</w:t>
      </w:r>
      <w:r w:rsidRPr="000C5E8A">
        <w:rPr>
          <w:lang w:val="en-US"/>
        </w:rPr>
        <w:t xml:space="preserve"> was researched and principally authored by Mike Wood (Telstra) and Jack Rowley (GSMA) with oversight and contributions from Gilbert Buty and Christophe Grangeat (Alcatel-Lucent); Hector Carril (Secretaría de Comunicaciones de la Nación, Argentina); Pablo Bilbao (Argentine Federation of Municipalities - FAM); Josette Gallant and Hughes Nappert (Industry Canada); Brian Copsey (Copsey Communications); Davide Colombi and Christer Törnevik (Ericsson); Haim Mazar (Ministry of Communications, Israel); ITU-R Study Group Spectrum Management; Jafar Keshvari (Microsoft); Ken Joyner and Michael Milligan (Mobile Manufacturers Forum); Mitsuo Hattori (NTT and ITU-T Study Group 5 Working Party 2/5 Chairman); Joe Wiart (Orange Group); Fryderyk Lewicki (Orange Polska); Tariq Alamri (Communications and Information Technology Commission, Saudi Arabia); Flavio Cucchietti (Telecom Italia); Brendon Woods </w:t>
      </w:r>
      <w:r w:rsidR="00D66B7A">
        <w:rPr>
          <w:lang w:val="en-US"/>
        </w:rPr>
        <w:t>Consulting (Australia)</w:t>
      </w:r>
      <w:r w:rsidRPr="000C5E8A">
        <w:rPr>
          <w:lang w:val="en-US"/>
        </w:rPr>
        <w:t xml:space="preserve">, </w:t>
      </w:r>
      <w:r w:rsidR="00F9188C">
        <w:rPr>
          <w:lang w:val="en-US"/>
        </w:rPr>
        <w:t xml:space="preserve">Dr Phil Knipe (TRS), </w:t>
      </w:r>
      <w:r w:rsidRPr="000C5E8A">
        <w:rPr>
          <w:lang w:val="en-US"/>
        </w:rPr>
        <w:t>Angelica Ospina (University of Manchester) and Ziqin Sang (Wuh</w:t>
      </w:r>
      <w:r w:rsidR="002E4045">
        <w:rPr>
          <w:lang w:val="en-US"/>
        </w:rPr>
        <w:t>an Research Institute of Posts and</w:t>
      </w:r>
      <w:r w:rsidRPr="000C5E8A">
        <w:rPr>
          <w:lang w:val="en-US"/>
        </w:rPr>
        <w:t xml:space="preserve"> Telecommunications).</w:t>
      </w:r>
    </w:p>
    <w:p w14:paraId="331DA67E" w14:textId="431B8F7C" w:rsidR="000C5E8A" w:rsidRPr="000C5E8A" w:rsidRDefault="000C5E8A" w:rsidP="002E4045">
      <w:pPr>
        <w:rPr>
          <w:lang w:val="en-US"/>
        </w:rPr>
      </w:pPr>
      <w:r w:rsidRPr="000C5E8A">
        <w:rPr>
          <w:lang w:val="en-US"/>
        </w:rPr>
        <w:t xml:space="preserve">The authors also acknowledge the guidance and support from all the members of the </w:t>
      </w:r>
      <w:r w:rsidR="004C37E7">
        <w:rPr>
          <w:lang w:val="en-US"/>
        </w:rPr>
        <w:t>FG</w:t>
      </w:r>
      <w:r w:rsidR="00A50C12">
        <w:rPr>
          <w:lang w:val="en-US"/>
        </w:rPr>
        <w:t>-</w:t>
      </w:r>
      <w:r w:rsidRPr="000C5E8A">
        <w:rPr>
          <w:lang w:val="en-US"/>
        </w:rPr>
        <w:t>SSC Management Team, and especially</w:t>
      </w:r>
      <w:r w:rsidR="001F66A0">
        <w:rPr>
          <w:lang w:val="en-US"/>
        </w:rPr>
        <w:t xml:space="preserve"> Paolo Gemma (Huawei and FG</w:t>
      </w:r>
      <w:r w:rsidR="00A50C12">
        <w:rPr>
          <w:lang w:val="en-US"/>
        </w:rPr>
        <w:t>-</w:t>
      </w:r>
      <w:r w:rsidRPr="000C5E8A">
        <w:rPr>
          <w:lang w:val="en-US"/>
        </w:rPr>
        <w:t>SSC Working Group 2 Coordinator)</w:t>
      </w:r>
      <w:r w:rsidR="002E4045">
        <w:rPr>
          <w:lang w:val="en-US"/>
        </w:rPr>
        <w:t xml:space="preserve"> and Cristina Bueti (ITU)</w:t>
      </w:r>
      <w:r w:rsidRPr="000C5E8A">
        <w:rPr>
          <w:lang w:val="en-US"/>
        </w:rPr>
        <w:t xml:space="preserve">. </w:t>
      </w:r>
    </w:p>
    <w:p w14:paraId="1388F217" w14:textId="1CA08BB0" w:rsidR="00FA3D51" w:rsidRDefault="000C5E8A" w:rsidP="000C5E8A">
      <w:r w:rsidRPr="000C5E8A">
        <w:rPr>
          <w:lang w:val="en-US"/>
        </w:rPr>
        <w:t xml:space="preserve">Additional information and materials relating to this </w:t>
      </w:r>
      <w:r w:rsidR="00A50C12">
        <w:rPr>
          <w:lang w:val="en-US"/>
        </w:rPr>
        <w:t>Technical R</w:t>
      </w:r>
      <w:r w:rsidRPr="000C5E8A">
        <w:rPr>
          <w:lang w:val="en-US"/>
        </w:rPr>
        <w:t xml:space="preserve">eport can be found at: </w:t>
      </w:r>
      <w:hyperlink r:id="rId11" w:history="1">
        <w:r w:rsidRPr="00A814B3">
          <w:rPr>
            <w:rStyle w:val="Hyperlink"/>
            <w:lang w:val="en-US"/>
          </w:rPr>
          <w:t>www.itu.int/itu-t/climatechange</w:t>
        </w:r>
      </w:hyperlink>
      <w:r w:rsidRPr="000C5E8A">
        <w:rPr>
          <w:lang w:val="en-US"/>
        </w:rPr>
        <w:t xml:space="preserve">. If you would like to provide any additional information, please contact Cristina Bueti at </w:t>
      </w:r>
      <w:hyperlink r:id="rId12" w:history="1">
        <w:r w:rsidRPr="00A814B3">
          <w:rPr>
            <w:rStyle w:val="Hyperlink"/>
            <w:lang w:val="en-US"/>
          </w:rPr>
          <w:t>tsbsg5@itu.int</w:t>
        </w:r>
      </w:hyperlink>
      <w:r w:rsidRPr="000C5E8A">
        <w:rPr>
          <w:lang w:val="en-US"/>
        </w:rPr>
        <w:t>.</w:t>
      </w:r>
    </w:p>
    <w:p w14:paraId="07BC0652" w14:textId="77777777" w:rsidR="00715790" w:rsidRPr="00FA3D51" w:rsidRDefault="00715790" w:rsidP="00FA3D51"/>
    <w:p w14:paraId="534B2079" w14:textId="77777777" w:rsidR="00FA3D51" w:rsidRPr="00F06651" w:rsidRDefault="00FA3D51" w:rsidP="00AA662C">
      <w:pPr>
        <w:rPr>
          <w:sz w:val="22"/>
        </w:rPr>
        <w:sectPr w:rsidR="00FA3D51" w:rsidRPr="00F06651" w:rsidSect="003C2262">
          <w:pgSz w:w="11907" w:h="16834" w:code="9"/>
          <w:pgMar w:top="1134" w:right="1134" w:bottom="1134" w:left="1134" w:header="482" w:footer="482" w:gutter="0"/>
          <w:paperSrc w:first="15" w:other="15"/>
          <w:pgNumType w:start="1"/>
          <w:cols w:space="720"/>
          <w:docGrid w:linePitch="326"/>
        </w:sectPr>
      </w:pPr>
    </w:p>
    <w:p w14:paraId="0429B400" w14:textId="039F6C9E" w:rsidR="00AA662C" w:rsidRPr="00F06651" w:rsidRDefault="00742292" w:rsidP="00C37C93">
      <w:pPr>
        <w:pStyle w:val="Rectitle"/>
        <w:jc w:val="left"/>
        <w:rPr>
          <w:lang w:eastAsia="ko-KR"/>
        </w:rPr>
      </w:pPr>
      <w:r>
        <w:rPr>
          <w:lang w:eastAsia="ko-KR"/>
        </w:rPr>
        <w:lastRenderedPageBreak/>
        <w:t>Electromagnetic field (</w:t>
      </w:r>
      <w:r w:rsidR="00AA662C" w:rsidRPr="00F06651">
        <w:rPr>
          <w:lang w:eastAsia="ko-KR"/>
        </w:rPr>
        <w:t>EMF</w:t>
      </w:r>
      <w:r>
        <w:rPr>
          <w:lang w:eastAsia="ko-KR"/>
        </w:rPr>
        <w:t>)</w:t>
      </w:r>
      <w:r w:rsidR="00AA662C" w:rsidRPr="00F06651">
        <w:rPr>
          <w:lang w:eastAsia="ko-KR"/>
        </w:rPr>
        <w:t xml:space="preserve"> </w:t>
      </w:r>
      <w:r>
        <w:rPr>
          <w:lang w:eastAsia="ko-KR"/>
        </w:rPr>
        <w:t>c</w:t>
      </w:r>
      <w:r w:rsidR="00AA662C" w:rsidRPr="00F06651">
        <w:rPr>
          <w:lang w:eastAsia="ko-KR"/>
        </w:rPr>
        <w:t xml:space="preserve">onsiderations in </w:t>
      </w:r>
      <w:r>
        <w:rPr>
          <w:lang w:eastAsia="ko-KR"/>
        </w:rPr>
        <w:t>s</w:t>
      </w:r>
      <w:r w:rsidR="00AA662C" w:rsidRPr="00F06651">
        <w:rPr>
          <w:lang w:eastAsia="ko-KR"/>
        </w:rPr>
        <w:t xml:space="preserve">mart </w:t>
      </w:r>
      <w:r>
        <w:rPr>
          <w:lang w:eastAsia="ko-KR"/>
        </w:rPr>
        <w:t>s</w:t>
      </w:r>
      <w:r w:rsidR="00AA662C" w:rsidRPr="00F06651">
        <w:rPr>
          <w:lang w:eastAsia="ko-KR"/>
        </w:rPr>
        <w:t xml:space="preserve">ustainable </w:t>
      </w:r>
      <w:r>
        <w:rPr>
          <w:lang w:eastAsia="ko-KR"/>
        </w:rPr>
        <w:t>c</w:t>
      </w:r>
      <w:r w:rsidR="00AA662C" w:rsidRPr="00F06651">
        <w:rPr>
          <w:lang w:eastAsia="ko-KR"/>
        </w:rPr>
        <w:t>ities</w:t>
      </w:r>
      <w:r w:rsidR="0041660F">
        <w:rPr>
          <w:lang w:eastAsia="ko-KR"/>
        </w:rPr>
        <w:t xml:space="preserve"> </w:t>
      </w:r>
    </w:p>
    <w:p w14:paraId="4EEB2902" w14:textId="77777777" w:rsidR="001373BF" w:rsidRDefault="001373BF" w:rsidP="004C37E7">
      <w:pPr>
        <w:spacing w:before="240"/>
        <w:jc w:val="center"/>
        <w:rPr>
          <w:b/>
          <w:lang w:val="en-US"/>
        </w:rPr>
      </w:pPr>
      <w:r>
        <w:rPr>
          <w:b/>
          <w:lang w:val="en-US"/>
        </w:rPr>
        <w:t>Table of Contents</w:t>
      </w:r>
    </w:p>
    <w:p w14:paraId="2E9116BB" w14:textId="77777777" w:rsidR="007D3F65" w:rsidRDefault="007D3F65" w:rsidP="00463FFF">
      <w:pPr>
        <w:pStyle w:val="toc0"/>
        <w:jc w:val="right"/>
        <w:rPr>
          <w:noProof/>
        </w:rPr>
      </w:pPr>
      <w:r>
        <w:rPr>
          <w:noProof/>
        </w:rPr>
        <w:t>Page</w:t>
      </w:r>
    </w:p>
    <w:p w14:paraId="0F21D815"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p>
    <w:p w14:paraId="206B506F"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1</w:t>
      </w:r>
      <w:r>
        <w:rPr>
          <w:rFonts w:asciiTheme="minorHAnsi" w:eastAsiaTheme="minorEastAsia" w:hAnsiTheme="minorHAnsi" w:cstheme="minorBidi"/>
          <w:noProof/>
          <w:sz w:val="22"/>
          <w:szCs w:val="22"/>
          <w:lang w:val="en-US" w:eastAsia="zh-CN"/>
        </w:rPr>
        <w:tab/>
      </w:r>
      <w:r w:rsidRPr="007D3F65">
        <w:rPr>
          <w:noProof/>
        </w:rPr>
        <w:t>Introduction</w:t>
      </w:r>
      <w:r>
        <w:rPr>
          <w:noProof/>
        </w:rPr>
        <w:tab/>
      </w:r>
      <w:r>
        <w:rPr>
          <w:noProof/>
        </w:rPr>
        <w:tab/>
      </w:r>
      <w:r w:rsidRPr="007D3F65">
        <w:rPr>
          <w:noProof/>
        </w:rPr>
        <w:t>2</w:t>
      </w:r>
    </w:p>
    <w:p w14:paraId="4FF96BA5"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rPr>
        <w:t>1.1</w:t>
      </w:r>
      <w:r>
        <w:rPr>
          <w:rFonts w:asciiTheme="minorHAnsi" w:eastAsiaTheme="minorEastAsia" w:hAnsiTheme="minorHAnsi" w:cstheme="minorBidi"/>
          <w:noProof/>
          <w:sz w:val="22"/>
          <w:szCs w:val="22"/>
          <w:lang w:val="en-US" w:eastAsia="zh-CN"/>
        </w:rPr>
        <w:tab/>
      </w:r>
      <w:r w:rsidRPr="007D3F65">
        <w:rPr>
          <w:noProof/>
        </w:rPr>
        <w:t>Scope</w:t>
      </w:r>
      <w:r>
        <w:rPr>
          <w:noProof/>
        </w:rPr>
        <w:tab/>
      </w:r>
      <w:r>
        <w:rPr>
          <w:noProof/>
        </w:rPr>
        <w:tab/>
      </w:r>
      <w:r w:rsidRPr="007D3F65">
        <w:rPr>
          <w:noProof/>
        </w:rPr>
        <w:t>2</w:t>
      </w:r>
    </w:p>
    <w:p w14:paraId="2EA3710F"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1.2</w:t>
      </w:r>
      <w:r>
        <w:rPr>
          <w:rFonts w:asciiTheme="minorHAnsi" w:eastAsiaTheme="minorEastAsia" w:hAnsiTheme="minorHAnsi" w:cstheme="minorBidi"/>
          <w:noProof/>
          <w:sz w:val="22"/>
          <w:szCs w:val="22"/>
          <w:lang w:val="en-US" w:eastAsia="zh-CN"/>
        </w:rPr>
        <w:tab/>
      </w:r>
      <w:r w:rsidRPr="007D3F65">
        <w:rPr>
          <w:noProof/>
          <w:lang w:eastAsia="en-AU"/>
        </w:rPr>
        <w:t>Background</w:t>
      </w:r>
      <w:r>
        <w:rPr>
          <w:noProof/>
          <w:lang w:eastAsia="en-AU"/>
        </w:rPr>
        <w:tab/>
      </w:r>
      <w:r>
        <w:rPr>
          <w:noProof/>
          <w:lang w:eastAsia="en-AU"/>
        </w:rPr>
        <w:tab/>
      </w:r>
      <w:r w:rsidRPr="007D3F65">
        <w:rPr>
          <w:noProof/>
        </w:rPr>
        <w:t>2</w:t>
      </w:r>
    </w:p>
    <w:p w14:paraId="4F35174D"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sidRPr="007A7492">
        <w:rPr>
          <w:rFonts w:eastAsia="Calibri"/>
          <w:noProof/>
        </w:rPr>
        <w:t>2</w:t>
      </w:r>
      <w:r>
        <w:rPr>
          <w:rFonts w:asciiTheme="minorHAnsi" w:eastAsiaTheme="minorEastAsia" w:hAnsiTheme="minorHAnsi" w:cstheme="minorBidi"/>
          <w:noProof/>
          <w:sz w:val="22"/>
          <w:szCs w:val="22"/>
          <w:lang w:val="en-US" w:eastAsia="zh-CN"/>
        </w:rPr>
        <w:tab/>
      </w:r>
      <w:r>
        <w:rPr>
          <w:noProof/>
        </w:rPr>
        <w:t xml:space="preserve">ICTs and </w:t>
      </w:r>
      <w:r w:rsidRPr="007D3F65">
        <w:rPr>
          <w:noProof/>
        </w:rPr>
        <w:t>EMF</w:t>
      </w:r>
      <w:r>
        <w:rPr>
          <w:noProof/>
        </w:rPr>
        <w:tab/>
      </w:r>
      <w:r>
        <w:rPr>
          <w:noProof/>
        </w:rPr>
        <w:tab/>
      </w:r>
      <w:r w:rsidRPr="007D3F65">
        <w:rPr>
          <w:noProof/>
        </w:rPr>
        <w:t>4</w:t>
      </w:r>
    </w:p>
    <w:p w14:paraId="42CBD06C"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sidRPr="007A7492">
        <w:rPr>
          <w:rFonts w:eastAsia="Calibri"/>
          <w:noProof/>
          <w:lang w:eastAsia="en-AU"/>
        </w:rPr>
        <w:t xml:space="preserve">2.1 </w:t>
      </w:r>
      <w:r>
        <w:rPr>
          <w:rFonts w:asciiTheme="minorHAnsi" w:eastAsiaTheme="minorEastAsia" w:hAnsiTheme="minorHAnsi" w:cstheme="minorBidi"/>
          <w:noProof/>
          <w:sz w:val="22"/>
          <w:szCs w:val="22"/>
          <w:lang w:val="en-US" w:eastAsia="zh-CN"/>
        </w:rPr>
        <w:tab/>
      </w:r>
      <w:r>
        <w:rPr>
          <w:noProof/>
        </w:rPr>
        <w:t>How wireless networks support ICT services?</w:t>
      </w:r>
      <w:r>
        <w:rPr>
          <w:noProof/>
        </w:rPr>
        <w:tab/>
      </w:r>
      <w:r>
        <w:rPr>
          <w:noProof/>
        </w:rPr>
        <w:tab/>
        <w:t>4</w:t>
      </w:r>
    </w:p>
    <w:p w14:paraId="200784D8"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2.2</w:t>
      </w:r>
      <w:r>
        <w:rPr>
          <w:rFonts w:asciiTheme="minorHAnsi" w:eastAsiaTheme="minorEastAsia" w:hAnsiTheme="minorHAnsi" w:cstheme="minorBidi"/>
          <w:noProof/>
          <w:sz w:val="22"/>
          <w:szCs w:val="22"/>
          <w:lang w:val="en-US" w:eastAsia="zh-CN"/>
        </w:rPr>
        <w:tab/>
      </w:r>
      <w:r>
        <w:rPr>
          <w:noProof/>
          <w:lang w:eastAsia="en-AU"/>
        </w:rPr>
        <w:t xml:space="preserve">Examples of ICT Systems connected by wireless </w:t>
      </w:r>
      <w:r w:rsidRPr="007D3F65">
        <w:rPr>
          <w:noProof/>
          <w:lang w:eastAsia="en-AU"/>
        </w:rPr>
        <w:t>networks</w:t>
      </w:r>
      <w:r>
        <w:rPr>
          <w:noProof/>
          <w:lang w:eastAsia="en-AU"/>
        </w:rPr>
        <w:tab/>
      </w:r>
      <w:r>
        <w:rPr>
          <w:noProof/>
          <w:lang w:eastAsia="en-AU"/>
        </w:rPr>
        <w:tab/>
      </w:r>
      <w:r w:rsidRPr="007D3F65">
        <w:rPr>
          <w:noProof/>
        </w:rPr>
        <w:t>5</w:t>
      </w:r>
    </w:p>
    <w:p w14:paraId="5B80227E"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2.3</w:t>
      </w:r>
      <w:r>
        <w:rPr>
          <w:rFonts w:asciiTheme="minorHAnsi" w:eastAsiaTheme="minorEastAsia" w:hAnsiTheme="minorHAnsi" w:cstheme="minorBidi"/>
          <w:noProof/>
          <w:sz w:val="22"/>
          <w:szCs w:val="22"/>
          <w:lang w:val="en-US" w:eastAsia="zh-CN"/>
        </w:rPr>
        <w:tab/>
      </w:r>
      <w:r>
        <w:rPr>
          <w:noProof/>
          <w:lang w:eastAsia="en-AU"/>
        </w:rPr>
        <w:t xml:space="preserve">Importance of wireless network </w:t>
      </w:r>
      <w:r w:rsidRPr="007D3F65">
        <w:rPr>
          <w:noProof/>
          <w:lang w:eastAsia="en-AU"/>
        </w:rPr>
        <w:t>connectivity</w:t>
      </w:r>
      <w:r>
        <w:rPr>
          <w:noProof/>
          <w:lang w:eastAsia="en-AU"/>
        </w:rPr>
        <w:tab/>
      </w:r>
      <w:r>
        <w:rPr>
          <w:noProof/>
          <w:lang w:eastAsia="en-AU"/>
        </w:rPr>
        <w:tab/>
      </w:r>
      <w:r w:rsidRPr="007D3F65">
        <w:rPr>
          <w:noProof/>
        </w:rPr>
        <w:t>13</w:t>
      </w:r>
    </w:p>
    <w:p w14:paraId="5DB81550"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2.4</w:t>
      </w:r>
      <w:r>
        <w:rPr>
          <w:rFonts w:asciiTheme="minorHAnsi" w:eastAsiaTheme="minorEastAsia" w:hAnsiTheme="minorHAnsi" w:cstheme="minorBidi"/>
          <w:noProof/>
          <w:sz w:val="22"/>
          <w:szCs w:val="22"/>
          <w:lang w:val="en-US" w:eastAsia="zh-CN"/>
        </w:rPr>
        <w:tab/>
      </w:r>
      <w:r>
        <w:rPr>
          <w:noProof/>
          <w:lang w:eastAsia="en-AU"/>
        </w:rPr>
        <w:t xml:space="preserve">Wireless Technology Power and Operating </w:t>
      </w:r>
      <w:r w:rsidRPr="007D3F65">
        <w:rPr>
          <w:noProof/>
          <w:lang w:eastAsia="en-AU"/>
        </w:rPr>
        <w:t>Range</w:t>
      </w:r>
      <w:r>
        <w:rPr>
          <w:noProof/>
          <w:lang w:eastAsia="en-AU"/>
        </w:rPr>
        <w:tab/>
      </w:r>
      <w:r>
        <w:rPr>
          <w:noProof/>
          <w:lang w:eastAsia="en-AU"/>
        </w:rPr>
        <w:tab/>
      </w:r>
      <w:r w:rsidRPr="007D3F65">
        <w:rPr>
          <w:noProof/>
        </w:rPr>
        <w:t>13</w:t>
      </w:r>
    </w:p>
    <w:p w14:paraId="7A167A39"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3</w:t>
      </w:r>
      <w:r>
        <w:rPr>
          <w:rFonts w:asciiTheme="minorHAnsi" w:eastAsiaTheme="minorEastAsia" w:hAnsiTheme="minorHAnsi" w:cstheme="minorBidi"/>
          <w:noProof/>
          <w:sz w:val="22"/>
          <w:szCs w:val="22"/>
          <w:lang w:val="en-US" w:eastAsia="zh-CN"/>
        </w:rPr>
        <w:tab/>
      </w:r>
      <w:r>
        <w:rPr>
          <w:noProof/>
        </w:rPr>
        <w:t xml:space="preserve">EMF and </w:t>
      </w:r>
      <w:r w:rsidRPr="007D3F65">
        <w:rPr>
          <w:noProof/>
        </w:rPr>
        <w:t>Health</w:t>
      </w:r>
      <w:r>
        <w:rPr>
          <w:noProof/>
        </w:rPr>
        <w:tab/>
      </w:r>
      <w:r>
        <w:rPr>
          <w:noProof/>
        </w:rPr>
        <w:tab/>
      </w:r>
      <w:r w:rsidRPr="007D3F65">
        <w:rPr>
          <w:noProof/>
        </w:rPr>
        <w:t>15</w:t>
      </w:r>
    </w:p>
    <w:p w14:paraId="4B5BC695"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sidRPr="007A7492">
        <w:rPr>
          <w:rFonts w:eastAsia="Calibri"/>
          <w:noProof/>
          <w:lang w:eastAsia="en-AU"/>
        </w:rPr>
        <w:t>3.1</w:t>
      </w:r>
      <w:r>
        <w:rPr>
          <w:rFonts w:asciiTheme="minorHAnsi" w:eastAsiaTheme="minorEastAsia" w:hAnsiTheme="minorHAnsi" w:cstheme="minorBidi"/>
          <w:noProof/>
          <w:sz w:val="22"/>
          <w:szCs w:val="22"/>
          <w:lang w:val="en-US" w:eastAsia="zh-CN"/>
        </w:rPr>
        <w:tab/>
      </w:r>
      <w:r>
        <w:rPr>
          <w:noProof/>
        </w:rPr>
        <w:t xml:space="preserve">World Health Organization and </w:t>
      </w:r>
      <w:r w:rsidRPr="007D3F65">
        <w:rPr>
          <w:noProof/>
        </w:rPr>
        <w:t>EMF</w:t>
      </w:r>
      <w:r>
        <w:rPr>
          <w:noProof/>
        </w:rPr>
        <w:tab/>
      </w:r>
      <w:r>
        <w:rPr>
          <w:noProof/>
        </w:rPr>
        <w:tab/>
      </w:r>
      <w:r w:rsidRPr="007D3F65">
        <w:rPr>
          <w:noProof/>
        </w:rPr>
        <w:t>16</w:t>
      </w:r>
    </w:p>
    <w:p w14:paraId="1ADE0EEF"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3.2</w:t>
      </w:r>
      <w:r>
        <w:rPr>
          <w:rFonts w:asciiTheme="minorHAnsi" w:eastAsiaTheme="minorEastAsia" w:hAnsiTheme="minorHAnsi" w:cstheme="minorBidi"/>
          <w:noProof/>
          <w:sz w:val="22"/>
          <w:szCs w:val="22"/>
          <w:lang w:val="en-US" w:eastAsia="zh-CN"/>
        </w:rPr>
        <w:tab/>
      </w:r>
      <w:r>
        <w:rPr>
          <w:noProof/>
          <w:lang w:eastAsia="en-AU"/>
        </w:rPr>
        <w:t xml:space="preserve">EMF and Health Summary – World Health </w:t>
      </w:r>
      <w:r w:rsidRPr="007D3F65">
        <w:rPr>
          <w:noProof/>
          <w:lang w:eastAsia="en-AU"/>
        </w:rPr>
        <w:t>Organization</w:t>
      </w:r>
      <w:r>
        <w:rPr>
          <w:noProof/>
          <w:lang w:eastAsia="en-AU"/>
        </w:rPr>
        <w:tab/>
      </w:r>
      <w:r>
        <w:rPr>
          <w:noProof/>
          <w:lang w:eastAsia="en-AU"/>
        </w:rPr>
        <w:tab/>
      </w:r>
      <w:r w:rsidRPr="007D3F65">
        <w:rPr>
          <w:noProof/>
        </w:rPr>
        <w:t>16</w:t>
      </w:r>
    </w:p>
    <w:p w14:paraId="53EFA144"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3.3</w:t>
      </w:r>
      <w:r>
        <w:rPr>
          <w:rFonts w:asciiTheme="minorHAnsi" w:eastAsiaTheme="minorEastAsia" w:hAnsiTheme="minorHAnsi" w:cstheme="minorBidi"/>
          <w:noProof/>
          <w:sz w:val="22"/>
          <w:szCs w:val="22"/>
          <w:lang w:val="en-US" w:eastAsia="zh-CN"/>
        </w:rPr>
        <w:tab/>
      </w:r>
      <w:r>
        <w:rPr>
          <w:noProof/>
          <w:lang w:eastAsia="en-AU"/>
        </w:rPr>
        <w:t xml:space="preserve">IARC Classification for radio frequency </w:t>
      </w:r>
      <w:r w:rsidRPr="007D3F65">
        <w:rPr>
          <w:noProof/>
          <w:lang w:eastAsia="en-AU"/>
        </w:rPr>
        <w:t>fields</w:t>
      </w:r>
      <w:r>
        <w:rPr>
          <w:noProof/>
          <w:lang w:eastAsia="en-AU"/>
        </w:rPr>
        <w:tab/>
      </w:r>
      <w:r>
        <w:rPr>
          <w:noProof/>
          <w:lang w:eastAsia="en-AU"/>
        </w:rPr>
        <w:tab/>
      </w:r>
      <w:r w:rsidRPr="007D3F65">
        <w:rPr>
          <w:noProof/>
        </w:rPr>
        <w:t>17</w:t>
      </w:r>
    </w:p>
    <w:p w14:paraId="2B0AA19E"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4</w:t>
      </w:r>
      <w:r>
        <w:rPr>
          <w:rFonts w:asciiTheme="minorHAnsi" w:eastAsiaTheme="minorEastAsia" w:hAnsiTheme="minorHAnsi" w:cstheme="minorBidi"/>
          <w:noProof/>
          <w:sz w:val="22"/>
          <w:szCs w:val="22"/>
          <w:lang w:val="en-US" w:eastAsia="zh-CN"/>
        </w:rPr>
        <w:tab/>
      </w:r>
      <w:r>
        <w:rPr>
          <w:noProof/>
        </w:rPr>
        <w:t xml:space="preserve">EMF Exposure </w:t>
      </w:r>
      <w:r w:rsidRPr="007D3F65">
        <w:rPr>
          <w:noProof/>
        </w:rPr>
        <w:t>Limits</w:t>
      </w:r>
      <w:r>
        <w:rPr>
          <w:noProof/>
        </w:rPr>
        <w:tab/>
      </w:r>
      <w:r>
        <w:rPr>
          <w:noProof/>
        </w:rPr>
        <w:tab/>
      </w:r>
      <w:r w:rsidRPr="007D3F65">
        <w:rPr>
          <w:noProof/>
        </w:rPr>
        <w:t>18</w:t>
      </w:r>
    </w:p>
    <w:p w14:paraId="51E70429"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4.1</w:t>
      </w:r>
      <w:r>
        <w:rPr>
          <w:rFonts w:asciiTheme="minorHAnsi" w:eastAsiaTheme="minorEastAsia" w:hAnsiTheme="minorHAnsi" w:cstheme="minorBidi"/>
          <w:noProof/>
          <w:sz w:val="22"/>
          <w:szCs w:val="22"/>
          <w:lang w:val="en-US" w:eastAsia="zh-CN"/>
        </w:rPr>
        <w:tab/>
      </w:r>
      <w:r>
        <w:rPr>
          <w:noProof/>
          <w:lang w:eastAsia="en-AU"/>
        </w:rPr>
        <w:t xml:space="preserve">Internationally Harmonized EMF </w:t>
      </w:r>
      <w:r w:rsidRPr="007D3F65">
        <w:rPr>
          <w:noProof/>
          <w:lang w:eastAsia="en-AU"/>
        </w:rPr>
        <w:t>limits</w:t>
      </w:r>
      <w:r>
        <w:rPr>
          <w:noProof/>
          <w:lang w:eastAsia="en-AU"/>
        </w:rPr>
        <w:tab/>
      </w:r>
      <w:r>
        <w:rPr>
          <w:noProof/>
          <w:lang w:eastAsia="en-AU"/>
        </w:rPr>
        <w:tab/>
      </w:r>
      <w:r w:rsidRPr="007D3F65">
        <w:rPr>
          <w:noProof/>
        </w:rPr>
        <w:t>19</w:t>
      </w:r>
    </w:p>
    <w:p w14:paraId="269789F7"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4.2</w:t>
      </w:r>
      <w:r>
        <w:rPr>
          <w:rFonts w:asciiTheme="minorHAnsi" w:eastAsiaTheme="minorEastAsia" w:hAnsiTheme="minorHAnsi" w:cstheme="minorBidi"/>
          <w:noProof/>
          <w:sz w:val="22"/>
          <w:szCs w:val="22"/>
          <w:lang w:val="en-US" w:eastAsia="zh-CN"/>
        </w:rPr>
        <w:tab/>
      </w:r>
      <w:r>
        <w:rPr>
          <w:noProof/>
          <w:lang w:eastAsia="en-AU"/>
        </w:rPr>
        <w:t xml:space="preserve">EMF safety </w:t>
      </w:r>
      <w:r w:rsidRPr="007D3F65">
        <w:rPr>
          <w:noProof/>
          <w:lang w:eastAsia="en-AU"/>
        </w:rPr>
        <w:t>training</w:t>
      </w:r>
      <w:r>
        <w:rPr>
          <w:noProof/>
          <w:lang w:eastAsia="en-AU"/>
        </w:rPr>
        <w:tab/>
      </w:r>
      <w:r>
        <w:rPr>
          <w:noProof/>
          <w:lang w:eastAsia="en-AU"/>
        </w:rPr>
        <w:tab/>
      </w:r>
      <w:r w:rsidRPr="007D3F65">
        <w:rPr>
          <w:noProof/>
        </w:rPr>
        <w:t>21</w:t>
      </w:r>
    </w:p>
    <w:p w14:paraId="1E947FE1"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4.3</w:t>
      </w:r>
      <w:r>
        <w:rPr>
          <w:rFonts w:asciiTheme="minorHAnsi" w:eastAsiaTheme="minorEastAsia" w:hAnsiTheme="minorHAnsi" w:cstheme="minorBidi"/>
          <w:noProof/>
          <w:sz w:val="22"/>
          <w:szCs w:val="22"/>
          <w:lang w:val="en-US" w:eastAsia="zh-CN"/>
        </w:rPr>
        <w:tab/>
      </w:r>
      <w:r>
        <w:rPr>
          <w:noProof/>
          <w:lang w:eastAsia="en-AU"/>
        </w:rPr>
        <w:t xml:space="preserve">Compliance assessment standards for wireless networks and </w:t>
      </w:r>
      <w:r w:rsidRPr="007D3F65">
        <w:rPr>
          <w:noProof/>
          <w:lang w:eastAsia="en-AU"/>
        </w:rPr>
        <w:t>devices</w:t>
      </w:r>
      <w:r>
        <w:rPr>
          <w:noProof/>
          <w:lang w:eastAsia="en-AU"/>
        </w:rPr>
        <w:tab/>
      </w:r>
      <w:r>
        <w:rPr>
          <w:noProof/>
          <w:lang w:eastAsia="en-AU"/>
        </w:rPr>
        <w:tab/>
      </w:r>
      <w:r w:rsidRPr="007D3F65">
        <w:rPr>
          <w:noProof/>
        </w:rPr>
        <w:t>21</w:t>
      </w:r>
    </w:p>
    <w:p w14:paraId="41FAA897"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4.4</w:t>
      </w:r>
      <w:r>
        <w:rPr>
          <w:rFonts w:asciiTheme="minorHAnsi" w:eastAsiaTheme="minorEastAsia" w:hAnsiTheme="minorHAnsi" w:cstheme="minorBidi"/>
          <w:noProof/>
          <w:sz w:val="22"/>
          <w:szCs w:val="22"/>
          <w:lang w:val="en-US" w:eastAsia="zh-CN"/>
        </w:rPr>
        <w:tab/>
      </w:r>
      <w:r>
        <w:rPr>
          <w:noProof/>
          <w:lang w:eastAsia="en-AU"/>
        </w:rPr>
        <w:t xml:space="preserve">Compliance for wireless </w:t>
      </w:r>
      <w:r w:rsidRPr="007D3F65">
        <w:rPr>
          <w:noProof/>
          <w:lang w:eastAsia="en-AU"/>
        </w:rPr>
        <w:t>networks</w:t>
      </w:r>
      <w:r>
        <w:rPr>
          <w:noProof/>
          <w:lang w:eastAsia="en-AU"/>
        </w:rPr>
        <w:tab/>
      </w:r>
      <w:r>
        <w:rPr>
          <w:noProof/>
          <w:lang w:eastAsia="en-AU"/>
        </w:rPr>
        <w:tab/>
      </w:r>
      <w:r w:rsidRPr="007D3F65">
        <w:rPr>
          <w:noProof/>
        </w:rPr>
        <w:t>22</w:t>
      </w:r>
    </w:p>
    <w:p w14:paraId="48227821"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4.5</w:t>
      </w:r>
      <w:r>
        <w:rPr>
          <w:rFonts w:asciiTheme="minorHAnsi" w:eastAsiaTheme="minorEastAsia" w:hAnsiTheme="minorHAnsi" w:cstheme="minorBidi"/>
          <w:noProof/>
          <w:sz w:val="22"/>
          <w:szCs w:val="22"/>
          <w:lang w:val="en-US" w:eastAsia="zh-CN"/>
        </w:rPr>
        <w:tab/>
      </w:r>
      <w:r>
        <w:rPr>
          <w:noProof/>
          <w:lang w:eastAsia="en-AU"/>
        </w:rPr>
        <w:t xml:space="preserve">Typical antenna compliance zones for </w:t>
      </w:r>
      <w:r w:rsidRPr="007D3F65">
        <w:rPr>
          <w:noProof/>
          <w:lang w:eastAsia="en-AU"/>
        </w:rPr>
        <w:t>workers</w:t>
      </w:r>
      <w:r>
        <w:rPr>
          <w:noProof/>
          <w:lang w:eastAsia="en-AU"/>
        </w:rPr>
        <w:tab/>
      </w:r>
      <w:r>
        <w:rPr>
          <w:noProof/>
          <w:lang w:eastAsia="en-AU"/>
        </w:rPr>
        <w:tab/>
      </w:r>
      <w:r w:rsidRPr="007D3F65">
        <w:rPr>
          <w:noProof/>
        </w:rPr>
        <w:t>22</w:t>
      </w:r>
    </w:p>
    <w:p w14:paraId="6D676A92"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4.6</w:t>
      </w:r>
      <w:r>
        <w:rPr>
          <w:rFonts w:asciiTheme="minorHAnsi" w:eastAsiaTheme="minorEastAsia" w:hAnsiTheme="minorHAnsi" w:cstheme="minorBidi"/>
          <w:noProof/>
          <w:sz w:val="22"/>
          <w:szCs w:val="22"/>
          <w:lang w:val="en-US" w:eastAsia="zh-CN"/>
        </w:rPr>
        <w:tab/>
      </w:r>
      <w:r>
        <w:rPr>
          <w:noProof/>
          <w:lang w:eastAsia="en-AU"/>
        </w:rPr>
        <w:t xml:space="preserve">Compliance for Wireless </w:t>
      </w:r>
      <w:r w:rsidRPr="007D3F65">
        <w:rPr>
          <w:noProof/>
          <w:lang w:eastAsia="en-AU"/>
        </w:rPr>
        <w:t>Devices</w:t>
      </w:r>
      <w:r>
        <w:rPr>
          <w:noProof/>
          <w:lang w:eastAsia="en-AU"/>
        </w:rPr>
        <w:tab/>
      </w:r>
      <w:r>
        <w:rPr>
          <w:noProof/>
          <w:lang w:eastAsia="en-AU"/>
        </w:rPr>
        <w:tab/>
      </w:r>
      <w:r w:rsidRPr="007D3F65">
        <w:rPr>
          <w:noProof/>
        </w:rPr>
        <w:t>25</w:t>
      </w:r>
    </w:p>
    <w:p w14:paraId="3370420D"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4.7</w:t>
      </w:r>
      <w:r>
        <w:rPr>
          <w:rFonts w:asciiTheme="minorHAnsi" w:eastAsiaTheme="minorEastAsia" w:hAnsiTheme="minorHAnsi" w:cstheme="minorBidi"/>
          <w:noProof/>
          <w:sz w:val="22"/>
          <w:szCs w:val="22"/>
          <w:lang w:val="en-US" w:eastAsia="zh-CN"/>
        </w:rPr>
        <w:tab/>
      </w:r>
      <w:r>
        <w:rPr>
          <w:noProof/>
          <w:lang w:eastAsia="en-AU"/>
        </w:rPr>
        <w:t xml:space="preserve">EMF Compliance </w:t>
      </w:r>
      <w:r w:rsidRPr="007D3F65">
        <w:rPr>
          <w:noProof/>
          <w:lang w:eastAsia="en-AU"/>
        </w:rPr>
        <w:t>Framework</w:t>
      </w:r>
      <w:r>
        <w:rPr>
          <w:noProof/>
          <w:lang w:eastAsia="en-AU"/>
        </w:rPr>
        <w:tab/>
      </w:r>
      <w:r>
        <w:rPr>
          <w:noProof/>
          <w:lang w:eastAsia="en-AU"/>
        </w:rPr>
        <w:tab/>
      </w:r>
      <w:r w:rsidRPr="007D3F65">
        <w:rPr>
          <w:noProof/>
        </w:rPr>
        <w:t>26</w:t>
      </w:r>
    </w:p>
    <w:p w14:paraId="74A2AC7C"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4.8</w:t>
      </w:r>
      <w:r>
        <w:rPr>
          <w:rFonts w:asciiTheme="minorHAnsi" w:eastAsiaTheme="minorEastAsia" w:hAnsiTheme="minorHAnsi" w:cstheme="minorBidi"/>
          <w:noProof/>
          <w:sz w:val="22"/>
          <w:szCs w:val="22"/>
          <w:lang w:val="en-US" w:eastAsia="zh-CN"/>
        </w:rPr>
        <w:tab/>
      </w:r>
      <w:r>
        <w:rPr>
          <w:noProof/>
          <w:lang w:eastAsia="en-AU"/>
        </w:rPr>
        <w:t xml:space="preserve">Compliance </w:t>
      </w:r>
      <w:r w:rsidRPr="007D3F65">
        <w:rPr>
          <w:noProof/>
          <w:lang w:eastAsia="en-AU"/>
        </w:rPr>
        <w:t>assessment</w:t>
      </w:r>
      <w:r>
        <w:rPr>
          <w:noProof/>
          <w:lang w:eastAsia="en-AU"/>
        </w:rPr>
        <w:tab/>
      </w:r>
      <w:r>
        <w:rPr>
          <w:noProof/>
          <w:lang w:eastAsia="en-AU"/>
        </w:rPr>
        <w:tab/>
      </w:r>
      <w:r w:rsidRPr="007D3F65">
        <w:rPr>
          <w:noProof/>
        </w:rPr>
        <w:t>26</w:t>
      </w:r>
    </w:p>
    <w:p w14:paraId="1FC000FE"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4.9</w:t>
      </w:r>
      <w:r>
        <w:rPr>
          <w:rFonts w:asciiTheme="minorHAnsi" w:eastAsiaTheme="minorEastAsia" w:hAnsiTheme="minorHAnsi" w:cstheme="minorBidi"/>
          <w:noProof/>
          <w:sz w:val="22"/>
          <w:szCs w:val="22"/>
          <w:lang w:val="en-US" w:eastAsia="zh-CN"/>
        </w:rPr>
        <w:tab/>
      </w:r>
      <w:r>
        <w:rPr>
          <w:noProof/>
          <w:lang w:eastAsia="en-AU"/>
        </w:rPr>
        <w:t xml:space="preserve">Requirements for low power </w:t>
      </w:r>
      <w:r w:rsidRPr="007D3F65">
        <w:rPr>
          <w:noProof/>
          <w:lang w:eastAsia="en-AU"/>
        </w:rPr>
        <w:t>systems</w:t>
      </w:r>
      <w:r>
        <w:rPr>
          <w:noProof/>
          <w:lang w:eastAsia="en-AU"/>
        </w:rPr>
        <w:tab/>
      </w:r>
      <w:r>
        <w:rPr>
          <w:noProof/>
          <w:lang w:eastAsia="en-AU"/>
        </w:rPr>
        <w:tab/>
      </w:r>
      <w:r w:rsidRPr="007D3F65">
        <w:rPr>
          <w:noProof/>
        </w:rPr>
        <w:t>27</w:t>
      </w:r>
    </w:p>
    <w:p w14:paraId="23F2D223"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4.10</w:t>
      </w:r>
      <w:r>
        <w:rPr>
          <w:rFonts w:asciiTheme="minorHAnsi" w:eastAsiaTheme="minorEastAsia" w:hAnsiTheme="minorHAnsi" w:cstheme="minorBidi"/>
          <w:noProof/>
          <w:sz w:val="22"/>
          <w:szCs w:val="22"/>
          <w:lang w:val="en-US" w:eastAsia="zh-CN"/>
        </w:rPr>
        <w:tab/>
      </w:r>
      <w:r>
        <w:rPr>
          <w:noProof/>
          <w:lang w:eastAsia="en-AU"/>
        </w:rPr>
        <w:t xml:space="preserve">Compliance for shared </w:t>
      </w:r>
      <w:r w:rsidRPr="007D3F65">
        <w:rPr>
          <w:noProof/>
          <w:lang w:eastAsia="en-AU"/>
        </w:rPr>
        <w:t>sites</w:t>
      </w:r>
      <w:r>
        <w:rPr>
          <w:noProof/>
          <w:lang w:eastAsia="en-AU"/>
        </w:rPr>
        <w:tab/>
      </w:r>
      <w:r>
        <w:rPr>
          <w:noProof/>
          <w:lang w:eastAsia="en-AU"/>
        </w:rPr>
        <w:tab/>
      </w:r>
      <w:r w:rsidRPr="007D3F65">
        <w:rPr>
          <w:noProof/>
        </w:rPr>
        <w:t>27</w:t>
      </w:r>
    </w:p>
    <w:p w14:paraId="35745598"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5</w:t>
      </w:r>
      <w:r>
        <w:rPr>
          <w:rFonts w:asciiTheme="minorHAnsi" w:eastAsiaTheme="minorEastAsia" w:hAnsiTheme="minorHAnsi" w:cstheme="minorBidi"/>
          <w:noProof/>
          <w:sz w:val="22"/>
          <w:szCs w:val="22"/>
          <w:lang w:val="en-US" w:eastAsia="zh-CN"/>
        </w:rPr>
        <w:tab/>
      </w:r>
      <w:r>
        <w:rPr>
          <w:noProof/>
        </w:rPr>
        <w:t xml:space="preserve">EMF Health and Safety </w:t>
      </w:r>
      <w:r w:rsidRPr="007D3F65">
        <w:rPr>
          <w:noProof/>
        </w:rPr>
        <w:t>Information</w:t>
      </w:r>
      <w:r>
        <w:rPr>
          <w:noProof/>
        </w:rPr>
        <w:tab/>
      </w:r>
      <w:r>
        <w:rPr>
          <w:noProof/>
        </w:rPr>
        <w:tab/>
      </w:r>
      <w:r w:rsidRPr="007D3F65">
        <w:rPr>
          <w:noProof/>
        </w:rPr>
        <w:t>27</w:t>
      </w:r>
    </w:p>
    <w:p w14:paraId="4B0469A1"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5.1</w:t>
      </w:r>
      <w:r>
        <w:rPr>
          <w:rFonts w:asciiTheme="minorHAnsi" w:eastAsiaTheme="minorEastAsia" w:hAnsiTheme="minorHAnsi" w:cstheme="minorBidi"/>
          <w:noProof/>
          <w:sz w:val="22"/>
          <w:szCs w:val="22"/>
          <w:lang w:val="en-US" w:eastAsia="zh-CN"/>
        </w:rPr>
        <w:tab/>
      </w:r>
      <w:r>
        <w:rPr>
          <w:noProof/>
          <w:lang w:eastAsia="en-AU"/>
        </w:rPr>
        <w:t xml:space="preserve">Compliance </w:t>
      </w:r>
      <w:r w:rsidRPr="007D3F65">
        <w:rPr>
          <w:noProof/>
          <w:lang w:eastAsia="en-AU"/>
        </w:rPr>
        <w:t>information</w:t>
      </w:r>
      <w:r>
        <w:rPr>
          <w:noProof/>
          <w:lang w:eastAsia="en-AU"/>
        </w:rPr>
        <w:tab/>
      </w:r>
      <w:r>
        <w:rPr>
          <w:noProof/>
          <w:lang w:eastAsia="en-AU"/>
        </w:rPr>
        <w:tab/>
      </w:r>
      <w:r w:rsidRPr="007D3F65">
        <w:rPr>
          <w:noProof/>
        </w:rPr>
        <w:t>28</w:t>
      </w:r>
    </w:p>
    <w:p w14:paraId="03553549"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5.2</w:t>
      </w:r>
      <w:r>
        <w:rPr>
          <w:rFonts w:asciiTheme="minorHAnsi" w:eastAsiaTheme="minorEastAsia" w:hAnsiTheme="minorHAnsi" w:cstheme="minorBidi"/>
          <w:noProof/>
          <w:sz w:val="22"/>
          <w:szCs w:val="22"/>
          <w:lang w:val="en-US" w:eastAsia="zh-CN"/>
        </w:rPr>
        <w:tab/>
      </w:r>
      <w:r>
        <w:rPr>
          <w:noProof/>
          <w:lang w:eastAsia="en-AU"/>
        </w:rPr>
        <w:t xml:space="preserve">Health and Safety </w:t>
      </w:r>
      <w:r w:rsidRPr="007D3F65">
        <w:rPr>
          <w:noProof/>
          <w:lang w:eastAsia="en-AU"/>
        </w:rPr>
        <w:t>Information</w:t>
      </w:r>
      <w:r>
        <w:rPr>
          <w:noProof/>
          <w:lang w:eastAsia="en-AU"/>
        </w:rPr>
        <w:tab/>
      </w:r>
      <w:r>
        <w:rPr>
          <w:noProof/>
          <w:lang w:eastAsia="en-AU"/>
        </w:rPr>
        <w:tab/>
      </w:r>
      <w:r w:rsidRPr="007D3F65">
        <w:rPr>
          <w:noProof/>
        </w:rPr>
        <w:t>28</w:t>
      </w:r>
    </w:p>
    <w:p w14:paraId="76E9E54B"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5.3</w:t>
      </w:r>
      <w:r>
        <w:rPr>
          <w:rFonts w:asciiTheme="minorHAnsi" w:eastAsiaTheme="minorEastAsia" w:hAnsiTheme="minorHAnsi" w:cstheme="minorBidi"/>
          <w:noProof/>
          <w:sz w:val="22"/>
          <w:szCs w:val="22"/>
          <w:lang w:val="en-US" w:eastAsia="zh-CN"/>
        </w:rPr>
        <w:tab/>
      </w:r>
      <w:r>
        <w:rPr>
          <w:noProof/>
          <w:lang w:eastAsia="en-AU"/>
        </w:rPr>
        <w:t xml:space="preserve">Sources of </w:t>
      </w:r>
      <w:r w:rsidRPr="007D3F65">
        <w:rPr>
          <w:noProof/>
          <w:lang w:eastAsia="en-AU"/>
        </w:rPr>
        <w:t>information</w:t>
      </w:r>
      <w:r>
        <w:rPr>
          <w:noProof/>
          <w:lang w:eastAsia="en-AU"/>
        </w:rPr>
        <w:tab/>
      </w:r>
      <w:r>
        <w:rPr>
          <w:noProof/>
          <w:lang w:eastAsia="en-AU"/>
        </w:rPr>
        <w:tab/>
      </w:r>
      <w:r w:rsidRPr="007D3F65">
        <w:rPr>
          <w:noProof/>
        </w:rPr>
        <w:t>28</w:t>
      </w:r>
    </w:p>
    <w:p w14:paraId="060E5BCC"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6</w:t>
      </w:r>
      <w:r>
        <w:rPr>
          <w:rFonts w:asciiTheme="minorHAnsi" w:eastAsiaTheme="minorEastAsia" w:hAnsiTheme="minorHAnsi" w:cstheme="minorBidi"/>
          <w:noProof/>
          <w:sz w:val="22"/>
          <w:szCs w:val="22"/>
          <w:lang w:val="en-US" w:eastAsia="zh-CN"/>
        </w:rPr>
        <w:tab/>
      </w:r>
      <w:r>
        <w:rPr>
          <w:noProof/>
        </w:rPr>
        <w:t xml:space="preserve">Community Information, Consultation and </w:t>
      </w:r>
      <w:r w:rsidRPr="007D3F65">
        <w:rPr>
          <w:noProof/>
        </w:rPr>
        <w:t>Engagement</w:t>
      </w:r>
      <w:r>
        <w:rPr>
          <w:noProof/>
        </w:rPr>
        <w:tab/>
      </w:r>
      <w:r>
        <w:rPr>
          <w:noProof/>
        </w:rPr>
        <w:tab/>
      </w:r>
      <w:r w:rsidRPr="007D3F65">
        <w:rPr>
          <w:noProof/>
        </w:rPr>
        <w:t>28</w:t>
      </w:r>
    </w:p>
    <w:p w14:paraId="6FE45ABA"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6.1</w:t>
      </w:r>
      <w:r>
        <w:rPr>
          <w:rFonts w:asciiTheme="minorHAnsi" w:eastAsiaTheme="minorEastAsia" w:hAnsiTheme="minorHAnsi" w:cstheme="minorBidi"/>
          <w:noProof/>
          <w:sz w:val="22"/>
          <w:szCs w:val="22"/>
          <w:lang w:val="en-US" w:eastAsia="zh-CN"/>
        </w:rPr>
        <w:tab/>
      </w:r>
      <w:r>
        <w:rPr>
          <w:noProof/>
          <w:lang w:eastAsia="en-AU"/>
        </w:rPr>
        <w:t xml:space="preserve">Guidance on public participation and </w:t>
      </w:r>
      <w:r w:rsidRPr="007D3F65">
        <w:rPr>
          <w:noProof/>
          <w:lang w:eastAsia="en-AU"/>
        </w:rPr>
        <w:t>consultation</w:t>
      </w:r>
      <w:r>
        <w:rPr>
          <w:noProof/>
          <w:lang w:eastAsia="en-AU"/>
        </w:rPr>
        <w:tab/>
      </w:r>
      <w:r>
        <w:rPr>
          <w:noProof/>
          <w:lang w:eastAsia="en-AU"/>
        </w:rPr>
        <w:tab/>
      </w:r>
      <w:r w:rsidRPr="007D3F65">
        <w:rPr>
          <w:noProof/>
        </w:rPr>
        <w:t>29</w:t>
      </w:r>
    </w:p>
    <w:p w14:paraId="26798590"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6.2</w:t>
      </w:r>
      <w:r>
        <w:rPr>
          <w:rFonts w:asciiTheme="minorHAnsi" w:eastAsiaTheme="minorEastAsia" w:hAnsiTheme="minorHAnsi" w:cstheme="minorBidi"/>
          <w:noProof/>
          <w:sz w:val="22"/>
          <w:szCs w:val="22"/>
          <w:lang w:val="en-US" w:eastAsia="zh-CN"/>
        </w:rPr>
        <w:tab/>
      </w:r>
      <w:r>
        <w:rPr>
          <w:noProof/>
          <w:lang w:eastAsia="en-AU"/>
        </w:rPr>
        <w:t>Why consultation is important?</w:t>
      </w:r>
      <w:r>
        <w:rPr>
          <w:noProof/>
          <w:lang w:eastAsia="en-AU"/>
        </w:rPr>
        <w:tab/>
      </w:r>
      <w:r>
        <w:rPr>
          <w:noProof/>
          <w:lang w:eastAsia="en-AU"/>
        </w:rPr>
        <w:tab/>
      </w:r>
      <w:r>
        <w:rPr>
          <w:noProof/>
        </w:rPr>
        <w:t>29</w:t>
      </w:r>
    </w:p>
    <w:p w14:paraId="1F059FAF"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6.3</w:t>
      </w:r>
      <w:r>
        <w:rPr>
          <w:rFonts w:asciiTheme="minorHAnsi" w:eastAsiaTheme="minorEastAsia" w:hAnsiTheme="minorHAnsi" w:cstheme="minorBidi"/>
          <w:noProof/>
          <w:sz w:val="22"/>
          <w:szCs w:val="22"/>
          <w:lang w:val="en-US" w:eastAsia="zh-CN"/>
        </w:rPr>
        <w:tab/>
      </w:r>
      <w:r>
        <w:rPr>
          <w:noProof/>
          <w:lang w:eastAsia="en-AU"/>
        </w:rPr>
        <w:t xml:space="preserve">Risk communication </w:t>
      </w:r>
      <w:r w:rsidRPr="007D3F65">
        <w:rPr>
          <w:noProof/>
          <w:lang w:eastAsia="en-AU"/>
        </w:rPr>
        <w:t>guidance</w:t>
      </w:r>
      <w:r>
        <w:rPr>
          <w:noProof/>
          <w:lang w:eastAsia="en-AU"/>
        </w:rPr>
        <w:tab/>
      </w:r>
      <w:r>
        <w:rPr>
          <w:noProof/>
          <w:lang w:eastAsia="en-AU"/>
        </w:rPr>
        <w:tab/>
      </w:r>
      <w:r w:rsidRPr="007D3F65">
        <w:rPr>
          <w:noProof/>
        </w:rPr>
        <w:t>29</w:t>
      </w:r>
    </w:p>
    <w:p w14:paraId="35CBC328"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7</w:t>
      </w:r>
      <w:r>
        <w:rPr>
          <w:rFonts w:asciiTheme="minorHAnsi" w:eastAsiaTheme="minorEastAsia" w:hAnsiTheme="minorHAnsi" w:cstheme="minorBidi"/>
          <w:noProof/>
          <w:sz w:val="22"/>
          <w:szCs w:val="22"/>
          <w:lang w:val="en-US" w:eastAsia="zh-CN"/>
        </w:rPr>
        <w:tab/>
      </w:r>
      <w:r>
        <w:rPr>
          <w:noProof/>
        </w:rPr>
        <w:t xml:space="preserve">Wireless ICT Network </w:t>
      </w:r>
      <w:r w:rsidRPr="007D3F65">
        <w:rPr>
          <w:noProof/>
        </w:rPr>
        <w:t>Infrastructure</w:t>
      </w:r>
      <w:r>
        <w:rPr>
          <w:noProof/>
        </w:rPr>
        <w:tab/>
      </w:r>
      <w:r>
        <w:rPr>
          <w:noProof/>
        </w:rPr>
        <w:tab/>
      </w:r>
      <w:r w:rsidRPr="007D3F65">
        <w:rPr>
          <w:noProof/>
        </w:rPr>
        <w:t>30</w:t>
      </w:r>
    </w:p>
    <w:p w14:paraId="650AB36A"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7.1</w:t>
      </w:r>
      <w:r>
        <w:rPr>
          <w:rFonts w:asciiTheme="minorHAnsi" w:eastAsiaTheme="minorEastAsia" w:hAnsiTheme="minorHAnsi" w:cstheme="minorBidi"/>
          <w:noProof/>
          <w:sz w:val="22"/>
          <w:szCs w:val="22"/>
          <w:lang w:val="en-US" w:eastAsia="zh-CN"/>
        </w:rPr>
        <w:tab/>
      </w:r>
      <w:r>
        <w:rPr>
          <w:noProof/>
          <w:lang w:eastAsia="en-AU"/>
        </w:rPr>
        <w:t xml:space="preserve">Mobile network base stations and </w:t>
      </w:r>
      <w:r w:rsidRPr="007D3F65">
        <w:rPr>
          <w:noProof/>
          <w:lang w:eastAsia="en-AU"/>
        </w:rPr>
        <w:t>antennas</w:t>
      </w:r>
      <w:r>
        <w:rPr>
          <w:noProof/>
          <w:lang w:eastAsia="en-AU"/>
        </w:rPr>
        <w:tab/>
      </w:r>
      <w:r>
        <w:rPr>
          <w:noProof/>
          <w:lang w:eastAsia="en-AU"/>
        </w:rPr>
        <w:tab/>
      </w:r>
      <w:r w:rsidRPr="007D3F65">
        <w:rPr>
          <w:noProof/>
        </w:rPr>
        <w:t>30</w:t>
      </w:r>
    </w:p>
    <w:p w14:paraId="6691DA33" w14:textId="77777777" w:rsidR="007D3F65" w:rsidRDefault="007D3F65" w:rsidP="007D3F65">
      <w:pPr>
        <w:pStyle w:val="toc0"/>
        <w:rPr>
          <w:noProof/>
          <w:lang w:eastAsia="en-AU"/>
        </w:rPr>
      </w:pPr>
      <w:r>
        <w:rPr>
          <w:noProof/>
          <w:lang w:eastAsia="en-AU"/>
        </w:rPr>
        <w:lastRenderedPageBreak/>
        <w:tab/>
        <w:t>Page</w:t>
      </w:r>
    </w:p>
    <w:p w14:paraId="046CB790"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7.2</w:t>
      </w:r>
      <w:r>
        <w:rPr>
          <w:rFonts w:asciiTheme="minorHAnsi" w:eastAsiaTheme="minorEastAsia" w:hAnsiTheme="minorHAnsi" w:cstheme="minorBidi"/>
          <w:noProof/>
          <w:sz w:val="22"/>
          <w:szCs w:val="22"/>
          <w:lang w:val="en-US" w:eastAsia="zh-CN"/>
        </w:rPr>
        <w:tab/>
      </w:r>
      <w:r>
        <w:rPr>
          <w:noProof/>
          <w:lang w:eastAsia="en-AU"/>
        </w:rPr>
        <w:t xml:space="preserve">Macro base stations and small </w:t>
      </w:r>
      <w:r w:rsidRPr="007D3F65">
        <w:rPr>
          <w:noProof/>
          <w:lang w:eastAsia="en-AU"/>
        </w:rPr>
        <w:t>cells</w:t>
      </w:r>
      <w:r>
        <w:rPr>
          <w:noProof/>
          <w:lang w:eastAsia="en-AU"/>
        </w:rPr>
        <w:tab/>
      </w:r>
      <w:r>
        <w:rPr>
          <w:noProof/>
          <w:lang w:eastAsia="en-AU"/>
        </w:rPr>
        <w:tab/>
      </w:r>
      <w:r w:rsidRPr="007D3F65">
        <w:rPr>
          <w:noProof/>
        </w:rPr>
        <w:t>30</w:t>
      </w:r>
    </w:p>
    <w:p w14:paraId="59CACB67"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7.3</w:t>
      </w:r>
      <w:r>
        <w:rPr>
          <w:rFonts w:asciiTheme="minorHAnsi" w:eastAsiaTheme="minorEastAsia" w:hAnsiTheme="minorHAnsi" w:cstheme="minorBidi"/>
          <w:noProof/>
          <w:sz w:val="22"/>
          <w:szCs w:val="22"/>
          <w:lang w:val="en-US" w:eastAsia="zh-CN"/>
        </w:rPr>
        <w:tab/>
      </w:r>
      <w:r>
        <w:rPr>
          <w:noProof/>
          <w:lang w:eastAsia="en-AU"/>
        </w:rPr>
        <w:t>Sharing and Co-</w:t>
      </w:r>
      <w:r w:rsidRPr="007D3F65">
        <w:rPr>
          <w:noProof/>
          <w:lang w:eastAsia="en-AU"/>
        </w:rPr>
        <w:t>Location</w:t>
      </w:r>
      <w:r>
        <w:rPr>
          <w:noProof/>
          <w:lang w:eastAsia="en-AU"/>
        </w:rPr>
        <w:tab/>
      </w:r>
      <w:r>
        <w:rPr>
          <w:noProof/>
          <w:lang w:eastAsia="en-AU"/>
        </w:rPr>
        <w:tab/>
      </w:r>
      <w:r w:rsidRPr="007D3F65">
        <w:rPr>
          <w:noProof/>
        </w:rPr>
        <w:t>32</w:t>
      </w:r>
    </w:p>
    <w:p w14:paraId="53EA222E"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7.4</w:t>
      </w:r>
      <w:r>
        <w:rPr>
          <w:rFonts w:asciiTheme="minorHAnsi" w:eastAsiaTheme="minorEastAsia" w:hAnsiTheme="minorHAnsi" w:cstheme="minorBidi"/>
          <w:noProof/>
          <w:sz w:val="22"/>
          <w:szCs w:val="22"/>
          <w:lang w:val="en-US" w:eastAsia="zh-CN"/>
        </w:rPr>
        <w:tab/>
      </w:r>
      <w:r>
        <w:rPr>
          <w:noProof/>
          <w:lang w:eastAsia="en-AU"/>
        </w:rPr>
        <w:t xml:space="preserve">Location of antennas and access </w:t>
      </w:r>
      <w:r w:rsidRPr="007D3F65">
        <w:rPr>
          <w:noProof/>
          <w:lang w:eastAsia="en-AU"/>
        </w:rPr>
        <w:t>restrictions</w:t>
      </w:r>
      <w:r>
        <w:rPr>
          <w:noProof/>
          <w:lang w:eastAsia="en-AU"/>
        </w:rPr>
        <w:tab/>
      </w:r>
      <w:r>
        <w:rPr>
          <w:noProof/>
          <w:lang w:eastAsia="en-AU"/>
        </w:rPr>
        <w:tab/>
      </w:r>
      <w:r w:rsidRPr="007D3F65">
        <w:rPr>
          <w:noProof/>
        </w:rPr>
        <w:t>34</w:t>
      </w:r>
    </w:p>
    <w:p w14:paraId="582E30E7"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7.5</w:t>
      </w:r>
      <w:r>
        <w:rPr>
          <w:rFonts w:asciiTheme="minorHAnsi" w:eastAsiaTheme="minorEastAsia" w:hAnsiTheme="minorHAnsi" w:cstheme="minorBidi"/>
          <w:noProof/>
          <w:sz w:val="22"/>
          <w:szCs w:val="22"/>
          <w:lang w:val="en-US" w:eastAsia="zh-CN"/>
        </w:rPr>
        <w:tab/>
      </w:r>
      <w:r w:rsidRPr="007D3F65">
        <w:rPr>
          <w:noProof/>
          <w:lang w:eastAsia="en-AU"/>
        </w:rPr>
        <w:t>Signage</w:t>
      </w:r>
      <w:r>
        <w:rPr>
          <w:noProof/>
          <w:lang w:eastAsia="en-AU"/>
        </w:rPr>
        <w:tab/>
      </w:r>
      <w:r>
        <w:rPr>
          <w:noProof/>
          <w:lang w:eastAsia="en-AU"/>
        </w:rPr>
        <w:tab/>
      </w:r>
      <w:r w:rsidRPr="007D3F65">
        <w:rPr>
          <w:noProof/>
        </w:rPr>
        <w:t>34</w:t>
      </w:r>
    </w:p>
    <w:p w14:paraId="7F16E0DC"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8</w:t>
      </w:r>
      <w:r>
        <w:rPr>
          <w:rFonts w:asciiTheme="minorHAnsi" w:eastAsiaTheme="minorEastAsia" w:hAnsiTheme="minorHAnsi" w:cstheme="minorBidi"/>
          <w:noProof/>
          <w:sz w:val="22"/>
          <w:szCs w:val="22"/>
          <w:lang w:val="en-US" w:eastAsia="zh-CN"/>
        </w:rPr>
        <w:tab/>
      </w:r>
      <w:r>
        <w:rPr>
          <w:noProof/>
        </w:rPr>
        <w:t xml:space="preserve">ICT Wireless </w:t>
      </w:r>
      <w:r w:rsidRPr="007D3F65">
        <w:rPr>
          <w:noProof/>
        </w:rPr>
        <w:t>Technologies</w:t>
      </w:r>
      <w:r>
        <w:rPr>
          <w:noProof/>
        </w:rPr>
        <w:tab/>
      </w:r>
      <w:r>
        <w:rPr>
          <w:noProof/>
        </w:rPr>
        <w:tab/>
      </w:r>
      <w:r w:rsidRPr="007D3F65">
        <w:rPr>
          <w:noProof/>
        </w:rPr>
        <w:t>36</w:t>
      </w:r>
    </w:p>
    <w:p w14:paraId="2BBD5B0C"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8.1</w:t>
      </w:r>
      <w:r>
        <w:rPr>
          <w:rFonts w:asciiTheme="minorHAnsi" w:eastAsiaTheme="minorEastAsia" w:hAnsiTheme="minorHAnsi" w:cstheme="minorBidi"/>
          <w:noProof/>
          <w:sz w:val="22"/>
          <w:szCs w:val="22"/>
          <w:lang w:val="en-US" w:eastAsia="zh-CN"/>
        </w:rPr>
        <w:tab/>
      </w:r>
      <w:r>
        <w:rPr>
          <w:noProof/>
          <w:lang w:eastAsia="en-AU"/>
        </w:rPr>
        <w:t xml:space="preserve">Mobile network technologies – 3G and </w:t>
      </w:r>
      <w:r w:rsidRPr="007D3F65">
        <w:rPr>
          <w:noProof/>
          <w:lang w:eastAsia="en-AU"/>
        </w:rPr>
        <w:t>4G</w:t>
      </w:r>
      <w:r>
        <w:rPr>
          <w:noProof/>
          <w:lang w:eastAsia="en-AU"/>
        </w:rPr>
        <w:tab/>
      </w:r>
      <w:r>
        <w:rPr>
          <w:noProof/>
          <w:lang w:eastAsia="en-AU"/>
        </w:rPr>
        <w:tab/>
      </w:r>
      <w:r w:rsidRPr="007D3F65">
        <w:rPr>
          <w:noProof/>
        </w:rPr>
        <w:t>36</w:t>
      </w:r>
    </w:p>
    <w:p w14:paraId="1A5AB068"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8.2</w:t>
      </w:r>
      <w:r>
        <w:rPr>
          <w:rFonts w:asciiTheme="minorHAnsi" w:eastAsiaTheme="minorEastAsia" w:hAnsiTheme="minorHAnsi" w:cstheme="minorBidi"/>
          <w:noProof/>
          <w:sz w:val="22"/>
          <w:szCs w:val="22"/>
          <w:lang w:val="en-US" w:eastAsia="zh-CN"/>
        </w:rPr>
        <w:tab/>
      </w:r>
      <w:r w:rsidRPr="007D3F65">
        <w:rPr>
          <w:noProof/>
          <w:lang w:eastAsia="en-AU"/>
        </w:rPr>
        <w:t>WiMAX</w:t>
      </w:r>
      <w:r>
        <w:rPr>
          <w:noProof/>
          <w:lang w:eastAsia="en-AU"/>
        </w:rPr>
        <w:tab/>
      </w:r>
      <w:r>
        <w:rPr>
          <w:noProof/>
          <w:lang w:eastAsia="en-AU"/>
        </w:rPr>
        <w:tab/>
      </w:r>
      <w:r w:rsidRPr="007D3F65">
        <w:rPr>
          <w:noProof/>
        </w:rPr>
        <w:t>37</w:t>
      </w:r>
    </w:p>
    <w:p w14:paraId="242E3F7A"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8.3</w:t>
      </w:r>
      <w:r>
        <w:rPr>
          <w:rFonts w:asciiTheme="minorHAnsi" w:eastAsiaTheme="minorEastAsia" w:hAnsiTheme="minorHAnsi" w:cstheme="minorBidi"/>
          <w:noProof/>
          <w:sz w:val="22"/>
          <w:szCs w:val="22"/>
          <w:lang w:val="en-US" w:eastAsia="zh-CN"/>
        </w:rPr>
        <w:tab/>
      </w:r>
      <w:r>
        <w:rPr>
          <w:noProof/>
          <w:lang w:eastAsia="en-AU"/>
        </w:rPr>
        <w:t>Wi-</w:t>
      </w:r>
      <w:r w:rsidRPr="007D3F65">
        <w:rPr>
          <w:noProof/>
          <w:lang w:eastAsia="en-AU"/>
        </w:rPr>
        <w:t>Fi</w:t>
      </w:r>
      <w:r>
        <w:rPr>
          <w:noProof/>
          <w:lang w:eastAsia="en-AU"/>
        </w:rPr>
        <w:tab/>
      </w:r>
      <w:r>
        <w:rPr>
          <w:noProof/>
          <w:lang w:eastAsia="en-AU"/>
        </w:rPr>
        <w:tab/>
      </w:r>
      <w:r w:rsidRPr="007D3F65">
        <w:rPr>
          <w:noProof/>
        </w:rPr>
        <w:t>38</w:t>
      </w:r>
    </w:p>
    <w:p w14:paraId="1D45FFEB"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8.4</w:t>
      </w:r>
      <w:r>
        <w:rPr>
          <w:rFonts w:asciiTheme="minorHAnsi" w:eastAsiaTheme="minorEastAsia" w:hAnsiTheme="minorHAnsi" w:cstheme="minorBidi"/>
          <w:noProof/>
          <w:sz w:val="22"/>
          <w:szCs w:val="22"/>
          <w:lang w:val="en-US" w:eastAsia="zh-CN"/>
        </w:rPr>
        <w:tab/>
      </w:r>
      <w:r>
        <w:rPr>
          <w:noProof/>
          <w:lang w:eastAsia="en-AU"/>
        </w:rPr>
        <w:t xml:space="preserve">Mobile back-haul and radio </w:t>
      </w:r>
      <w:r w:rsidRPr="007D3F65">
        <w:rPr>
          <w:noProof/>
          <w:lang w:eastAsia="en-AU"/>
        </w:rPr>
        <w:t>relays</w:t>
      </w:r>
      <w:r>
        <w:rPr>
          <w:noProof/>
          <w:lang w:eastAsia="en-AU"/>
        </w:rPr>
        <w:tab/>
      </w:r>
      <w:r>
        <w:rPr>
          <w:noProof/>
          <w:lang w:eastAsia="en-AU"/>
        </w:rPr>
        <w:tab/>
      </w:r>
      <w:r w:rsidRPr="007D3F65">
        <w:rPr>
          <w:noProof/>
        </w:rPr>
        <w:t>38</w:t>
      </w:r>
    </w:p>
    <w:p w14:paraId="2177909F"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8.5</w:t>
      </w:r>
      <w:r>
        <w:rPr>
          <w:rFonts w:asciiTheme="minorHAnsi" w:eastAsiaTheme="minorEastAsia" w:hAnsiTheme="minorHAnsi" w:cstheme="minorBidi"/>
          <w:noProof/>
          <w:sz w:val="22"/>
          <w:szCs w:val="22"/>
          <w:lang w:val="en-US" w:eastAsia="zh-CN"/>
        </w:rPr>
        <w:tab/>
      </w:r>
      <w:r w:rsidRPr="007D3F65">
        <w:rPr>
          <w:noProof/>
          <w:lang w:eastAsia="en-AU"/>
        </w:rPr>
        <w:t>Bluetooth</w:t>
      </w:r>
      <w:r>
        <w:rPr>
          <w:noProof/>
          <w:lang w:eastAsia="en-AU"/>
        </w:rPr>
        <w:tab/>
      </w:r>
      <w:r>
        <w:rPr>
          <w:noProof/>
          <w:lang w:eastAsia="en-AU"/>
        </w:rPr>
        <w:tab/>
      </w:r>
      <w:r w:rsidRPr="007D3F65">
        <w:rPr>
          <w:noProof/>
        </w:rPr>
        <w:t>39</w:t>
      </w:r>
    </w:p>
    <w:p w14:paraId="02F3EAB9"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8.6</w:t>
      </w:r>
      <w:r>
        <w:rPr>
          <w:rFonts w:asciiTheme="minorHAnsi" w:eastAsiaTheme="minorEastAsia" w:hAnsiTheme="minorHAnsi" w:cstheme="minorBidi"/>
          <w:noProof/>
          <w:sz w:val="22"/>
          <w:szCs w:val="22"/>
          <w:lang w:val="en-US" w:eastAsia="zh-CN"/>
        </w:rPr>
        <w:tab/>
      </w:r>
      <w:r w:rsidRPr="007D3F65">
        <w:rPr>
          <w:noProof/>
          <w:lang w:eastAsia="en-AU"/>
        </w:rPr>
        <w:t>DECT</w:t>
      </w:r>
      <w:r>
        <w:rPr>
          <w:noProof/>
          <w:lang w:eastAsia="en-AU"/>
        </w:rPr>
        <w:tab/>
      </w:r>
      <w:r>
        <w:rPr>
          <w:noProof/>
          <w:lang w:eastAsia="en-AU"/>
        </w:rPr>
        <w:tab/>
      </w:r>
      <w:r w:rsidRPr="007D3F65">
        <w:rPr>
          <w:noProof/>
        </w:rPr>
        <w:t>40</w:t>
      </w:r>
    </w:p>
    <w:p w14:paraId="62806F35"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9</w:t>
      </w:r>
      <w:r>
        <w:rPr>
          <w:rFonts w:asciiTheme="minorHAnsi" w:eastAsiaTheme="minorEastAsia" w:hAnsiTheme="minorHAnsi" w:cstheme="minorBidi"/>
          <w:noProof/>
          <w:sz w:val="22"/>
          <w:szCs w:val="22"/>
          <w:lang w:val="en-US" w:eastAsia="zh-CN"/>
        </w:rPr>
        <w:tab/>
      </w:r>
      <w:r>
        <w:rPr>
          <w:noProof/>
        </w:rPr>
        <w:t xml:space="preserve">ICT Antenna siting approval </w:t>
      </w:r>
      <w:r w:rsidRPr="007D3F65">
        <w:rPr>
          <w:noProof/>
        </w:rPr>
        <w:t>requirements</w:t>
      </w:r>
      <w:r>
        <w:rPr>
          <w:noProof/>
        </w:rPr>
        <w:tab/>
      </w:r>
      <w:r>
        <w:rPr>
          <w:noProof/>
        </w:rPr>
        <w:tab/>
      </w:r>
      <w:r w:rsidRPr="007D3F65">
        <w:rPr>
          <w:noProof/>
        </w:rPr>
        <w:t>40</w:t>
      </w:r>
    </w:p>
    <w:p w14:paraId="74372057"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9.1</w:t>
      </w:r>
      <w:r>
        <w:rPr>
          <w:rFonts w:asciiTheme="minorHAnsi" w:eastAsiaTheme="minorEastAsia" w:hAnsiTheme="minorHAnsi" w:cstheme="minorBidi"/>
          <w:noProof/>
          <w:sz w:val="22"/>
          <w:szCs w:val="22"/>
          <w:lang w:val="en-US" w:eastAsia="zh-CN"/>
        </w:rPr>
        <w:tab/>
      </w:r>
      <w:r>
        <w:rPr>
          <w:noProof/>
          <w:lang w:eastAsia="en-AU"/>
        </w:rPr>
        <w:t xml:space="preserve">Antenna permit </w:t>
      </w:r>
      <w:r w:rsidRPr="007D3F65">
        <w:rPr>
          <w:noProof/>
          <w:lang w:eastAsia="en-AU"/>
        </w:rPr>
        <w:t>procedures</w:t>
      </w:r>
      <w:r>
        <w:rPr>
          <w:noProof/>
          <w:lang w:eastAsia="en-AU"/>
        </w:rPr>
        <w:tab/>
      </w:r>
      <w:r>
        <w:rPr>
          <w:noProof/>
          <w:lang w:eastAsia="en-AU"/>
        </w:rPr>
        <w:tab/>
      </w:r>
      <w:r w:rsidRPr="007D3F65">
        <w:rPr>
          <w:noProof/>
        </w:rPr>
        <w:t>40</w:t>
      </w:r>
    </w:p>
    <w:p w14:paraId="01E0A385"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9.2</w:t>
      </w:r>
      <w:r>
        <w:rPr>
          <w:rFonts w:asciiTheme="minorHAnsi" w:eastAsiaTheme="minorEastAsia" w:hAnsiTheme="minorHAnsi" w:cstheme="minorBidi"/>
          <w:noProof/>
          <w:sz w:val="22"/>
          <w:szCs w:val="22"/>
          <w:lang w:val="en-US" w:eastAsia="zh-CN"/>
        </w:rPr>
        <w:tab/>
      </w:r>
      <w:r>
        <w:rPr>
          <w:noProof/>
          <w:lang w:eastAsia="en-AU"/>
        </w:rPr>
        <w:t xml:space="preserve">Environmental Impact </w:t>
      </w:r>
      <w:r w:rsidRPr="007D3F65">
        <w:rPr>
          <w:noProof/>
          <w:lang w:eastAsia="en-AU"/>
        </w:rPr>
        <w:t>Assessment</w:t>
      </w:r>
      <w:r>
        <w:rPr>
          <w:noProof/>
          <w:lang w:eastAsia="en-AU"/>
        </w:rPr>
        <w:tab/>
      </w:r>
      <w:r>
        <w:rPr>
          <w:noProof/>
          <w:lang w:eastAsia="en-AU"/>
        </w:rPr>
        <w:tab/>
      </w:r>
      <w:r w:rsidRPr="007D3F65">
        <w:rPr>
          <w:noProof/>
        </w:rPr>
        <w:t>43</w:t>
      </w:r>
    </w:p>
    <w:p w14:paraId="21EDC6D0"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9.3</w:t>
      </w:r>
      <w:r>
        <w:rPr>
          <w:rFonts w:asciiTheme="minorHAnsi" w:eastAsiaTheme="minorEastAsia" w:hAnsiTheme="minorHAnsi" w:cstheme="minorBidi"/>
          <w:noProof/>
          <w:sz w:val="22"/>
          <w:szCs w:val="22"/>
          <w:lang w:val="en-US" w:eastAsia="zh-CN"/>
        </w:rPr>
        <w:tab/>
      </w:r>
      <w:r>
        <w:rPr>
          <w:noProof/>
          <w:lang w:eastAsia="en-AU"/>
        </w:rPr>
        <w:t xml:space="preserve">Schools, hospitals and similar community </w:t>
      </w:r>
      <w:r w:rsidRPr="007D3F65">
        <w:rPr>
          <w:noProof/>
          <w:lang w:eastAsia="en-AU"/>
        </w:rPr>
        <w:t>facilities</w:t>
      </w:r>
      <w:r>
        <w:rPr>
          <w:noProof/>
          <w:lang w:eastAsia="en-AU"/>
        </w:rPr>
        <w:tab/>
      </w:r>
      <w:r>
        <w:rPr>
          <w:noProof/>
          <w:lang w:eastAsia="en-AU"/>
        </w:rPr>
        <w:tab/>
      </w:r>
      <w:r w:rsidRPr="007D3F65">
        <w:rPr>
          <w:noProof/>
        </w:rPr>
        <w:t>44</w:t>
      </w:r>
    </w:p>
    <w:p w14:paraId="39F0D476"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9.4</w:t>
      </w:r>
      <w:r>
        <w:rPr>
          <w:rFonts w:asciiTheme="minorHAnsi" w:eastAsiaTheme="minorEastAsia" w:hAnsiTheme="minorHAnsi" w:cstheme="minorBidi"/>
          <w:noProof/>
          <w:sz w:val="22"/>
          <w:szCs w:val="22"/>
          <w:lang w:val="en-US" w:eastAsia="zh-CN"/>
        </w:rPr>
        <w:tab/>
      </w:r>
      <w:r>
        <w:rPr>
          <w:noProof/>
          <w:lang w:eastAsia="en-AU"/>
        </w:rPr>
        <w:t xml:space="preserve">Access to public buildings and </w:t>
      </w:r>
      <w:r w:rsidRPr="007D3F65">
        <w:rPr>
          <w:noProof/>
          <w:lang w:eastAsia="en-AU"/>
        </w:rPr>
        <w:t>land</w:t>
      </w:r>
      <w:r>
        <w:rPr>
          <w:noProof/>
          <w:lang w:eastAsia="en-AU"/>
        </w:rPr>
        <w:tab/>
      </w:r>
      <w:r>
        <w:rPr>
          <w:noProof/>
          <w:lang w:eastAsia="en-AU"/>
        </w:rPr>
        <w:tab/>
      </w:r>
      <w:r w:rsidRPr="007D3F65">
        <w:rPr>
          <w:noProof/>
        </w:rPr>
        <w:t>44</w:t>
      </w:r>
    </w:p>
    <w:p w14:paraId="67137481"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9.5</w:t>
      </w:r>
      <w:r>
        <w:rPr>
          <w:rFonts w:asciiTheme="minorHAnsi" w:eastAsiaTheme="minorEastAsia" w:hAnsiTheme="minorHAnsi" w:cstheme="minorBidi"/>
          <w:noProof/>
          <w:sz w:val="22"/>
          <w:szCs w:val="22"/>
          <w:lang w:val="en-US" w:eastAsia="zh-CN"/>
        </w:rPr>
        <w:tab/>
      </w:r>
      <w:r>
        <w:rPr>
          <w:noProof/>
          <w:lang w:eastAsia="en-AU"/>
        </w:rPr>
        <w:t xml:space="preserve">Planning exclusion </w:t>
      </w:r>
      <w:r w:rsidRPr="007D3F65">
        <w:rPr>
          <w:noProof/>
          <w:lang w:eastAsia="en-AU"/>
        </w:rPr>
        <w:t>zones</w:t>
      </w:r>
      <w:r>
        <w:rPr>
          <w:noProof/>
          <w:lang w:eastAsia="en-AU"/>
        </w:rPr>
        <w:tab/>
      </w:r>
      <w:r>
        <w:rPr>
          <w:noProof/>
          <w:lang w:eastAsia="en-AU"/>
        </w:rPr>
        <w:tab/>
      </w:r>
      <w:r w:rsidRPr="007D3F65">
        <w:rPr>
          <w:noProof/>
        </w:rPr>
        <w:t>45</w:t>
      </w:r>
    </w:p>
    <w:p w14:paraId="70695732" w14:textId="77777777" w:rsidR="007D3F65" w:rsidRDefault="007D3F65" w:rsidP="007D3F65">
      <w:pPr>
        <w:pStyle w:val="TOC2"/>
        <w:ind w:right="992"/>
        <w:rPr>
          <w:rFonts w:asciiTheme="minorHAnsi" w:eastAsiaTheme="minorEastAsia" w:hAnsiTheme="minorHAnsi" w:cstheme="minorBidi"/>
          <w:noProof/>
          <w:sz w:val="22"/>
          <w:szCs w:val="22"/>
          <w:lang w:val="en-US" w:eastAsia="zh-CN"/>
        </w:rPr>
      </w:pPr>
      <w:r>
        <w:rPr>
          <w:noProof/>
          <w:lang w:eastAsia="en-AU"/>
        </w:rPr>
        <w:t>9.6</w:t>
      </w:r>
      <w:r>
        <w:rPr>
          <w:rFonts w:asciiTheme="minorHAnsi" w:eastAsiaTheme="minorEastAsia" w:hAnsiTheme="minorHAnsi" w:cstheme="minorBidi"/>
          <w:noProof/>
          <w:sz w:val="22"/>
          <w:szCs w:val="22"/>
          <w:lang w:val="en-US" w:eastAsia="zh-CN"/>
        </w:rPr>
        <w:tab/>
      </w:r>
      <w:r>
        <w:rPr>
          <w:noProof/>
          <w:lang w:eastAsia="en-AU"/>
        </w:rPr>
        <w:t xml:space="preserve">Visual integration with the </w:t>
      </w:r>
      <w:r w:rsidRPr="007D3F65">
        <w:rPr>
          <w:noProof/>
          <w:lang w:eastAsia="en-AU"/>
        </w:rPr>
        <w:t>environment</w:t>
      </w:r>
      <w:r>
        <w:rPr>
          <w:noProof/>
          <w:lang w:eastAsia="en-AU"/>
        </w:rPr>
        <w:tab/>
      </w:r>
      <w:r>
        <w:rPr>
          <w:noProof/>
          <w:lang w:eastAsia="en-AU"/>
        </w:rPr>
        <w:tab/>
      </w:r>
      <w:r w:rsidRPr="007D3F65">
        <w:rPr>
          <w:noProof/>
        </w:rPr>
        <w:t>45</w:t>
      </w:r>
    </w:p>
    <w:p w14:paraId="14430D4E" w14:textId="77777777" w:rsidR="007D3F65" w:rsidRPr="007D3F65" w:rsidRDefault="007D3F65" w:rsidP="007D3F65">
      <w:pPr>
        <w:pStyle w:val="TOC2"/>
        <w:ind w:right="992"/>
        <w:rPr>
          <w:rFonts w:asciiTheme="minorHAnsi" w:eastAsiaTheme="minorEastAsia" w:hAnsiTheme="minorHAnsi" w:cstheme="minorBidi"/>
          <w:noProof/>
          <w:sz w:val="22"/>
          <w:szCs w:val="22"/>
          <w:lang w:val="fr-CH" w:eastAsia="zh-CN"/>
        </w:rPr>
      </w:pPr>
      <w:r w:rsidRPr="007D3F65">
        <w:rPr>
          <w:noProof/>
          <w:lang w:val="fr-CH" w:eastAsia="en-AU"/>
        </w:rPr>
        <w:t>9.7</w:t>
      </w:r>
      <w:r w:rsidRPr="007D3F65">
        <w:rPr>
          <w:rFonts w:asciiTheme="minorHAnsi" w:eastAsiaTheme="minorEastAsia" w:hAnsiTheme="minorHAnsi" w:cstheme="minorBidi"/>
          <w:noProof/>
          <w:sz w:val="22"/>
          <w:szCs w:val="22"/>
          <w:lang w:val="fr-CH" w:eastAsia="zh-CN"/>
        </w:rPr>
        <w:tab/>
      </w:r>
      <w:r w:rsidRPr="007D3F65">
        <w:rPr>
          <w:noProof/>
          <w:lang w:val="fr-CH" w:eastAsia="en-AU"/>
        </w:rPr>
        <w:t>Environmental Impact Assessment</w:t>
      </w:r>
      <w:r w:rsidRPr="007D3F65">
        <w:rPr>
          <w:noProof/>
          <w:lang w:val="fr-CH" w:eastAsia="en-AU"/>
        </w:rPr>
        <w:tab/>
      </w:r>
      <w:r w:rsidRPr="007D3F65">
        <w:rPr>
          <w:noProof/>
          <w:lang w:val="fr-CH" w:eastAsia="en-AU"/>
        </w:rPr>
        <w:tab/>
      </w:r>
      <w:r w:rsidRPr="007D3F65">
        <w:rPr>
          <w:noProof/>
          <w:lang w:val="fr-CH"/>
        </w:rPr>
        <w:t>46</w:t>
      </w:r>
    </w:p>
    <w:p w14:paraId="6B6231CA" w14:textId="77777777" w:rsidR="007D3F65" w:rsidRPr="007D3F65" w:rsidRDefault="007D3F65" w:rsidP="007D3F65">
      <w:pPr>
        <w:pStyle w:val="TOC1"/>
        <w:ind w:right="992"/>
        <w:rPr>
          <w:rFonts w:asciiTheme="minorHAnsi" w:eastAsiaTheme="minorEastAsia" w:hAnsiTheme="minorHAnsi" w:cstheme="minorBidi"/>
          <w:noProof/>
          <w:sz w:val="22"/>
          <w:szCs w:val="22"/>
          <w:lang w:val="fr-CH" w:eastAsia="zh-CN"/>
        </w:rPr>
      </w:pPr>
      <w:r w:rsidRPr="007D3F65">
        <w:rPr>
          <w:noProof/>
          <w:lang w:val="fr-CH"/>
        </w:rPr>
        <w:t>10</w:t>
      </w:r>
      <w:r w:rsidRPr="007D3F65">
        <w:rPr>
          <w:rFonts w:asciiTheme="minorHAnsi" w:eastAsiaTheme="minorEastAsia" w:hAnsiTheme="minorHAnsi" w:cstheme="minorBidi"/>
          <w:noProof/>
          <w:sz w:val="22"/>
          <w:szCs w:val="22"/>
          <w:lang w:val="fr-CH" w:eastAsia="zh-CN"/>
        </w:rPr>
        <w:tab/>
      </w:r>
      <w:r w:rsidRPr="007D3F65">
        <w:rPr>
          <w:noProof/>
          <w:lang w:val="fr-CH"/>
        </w:rPr>
        <w:t>Conclusions</w:t>
      </w:r>
      <w:r w:rsidRPr="007D3F65">
        <w:rPr>
          <w:noProof/>
          <w:lang w:val="fr-CH"/>
        </w:rPr>
        <w:tab/>
      </w:r>
      <w:r w:rsidRPr="007D3F65">
        <w:rPr>
          <w:noProof/>
          <w:lang w:val="fr-CH"/>
        </w:rPr>
        <w:tab/>
        <w:t>47</w:t>
      </w:r>
    </w:p>
    <w:p w14:paraId="311D0506" w14:textId="77777777" w:rsidR="007D3F65" w:rsidRPr="007D3F65" w:rsidRDefault="007D3F65" w:rsidP="007D3F65">
      <w:pPr>
        <w:pStyle w:val="TOC1"/>
        <w:ind w:right="992"/>
        <w:rPr>
          <w:rFonts w:asciiTheme="minorHAnsi" w:eastAsiaTheme="minorEastAsia" w:hAnsiTheme="minorHAnsi" w:cstheme="minorBidi"/>
          <w:noProof/>
          <w:sz w:val="22"/>
          <w:szCs w:val="22"/>
          <w:lang w:val="fr-CH" w:eastAsia="zh-CN"/>
        </w:rPr>
      </w:pPr>
      <w:r w:rsidRPr="007D3F65">
        <w:rPr>
          <w:noProof/>
          <w:lang w:val="fr-CH"/>
        </w:rPr>
        <w:t>Bibliography</w:t>
      </w:r>
      <w:r w:rsidRPr="007D3F65">
        <w:rPr>
          <w:noProof/>
          <w:lang w:val="fr-CH"/>
        </w:rPr>
        <w:tab/>
      </w:r>
      <w:r w:rsidRPr="007D3F65">
        <w:rPr>
          <w:noProof/>
          <w:lang w:val="fr-CH"/>
        </w:rPr>
        <w:tab/>
        <w:t>49</w:t>
      </w:r>
    </w:p>
    <w:p w14:paraId="41568DB9"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 xml:space="preserve">Annex 1  Smart Sustainable City - EMF </w:t>
      </w:r>
      <w:r w:rsidRPr="007D3F65">
        <w:rPr>
          <w:noProof/>
        </w:rPr>
        <w:t>Check</w:t>
      </w:r>
      <w:r w:rsidR="00D47DC8">
        <w:rPr>
          <w:noProof/>
        </w:rPr>
        <w:t>-</w:t>
      </w:r>
      <w:r w:rsidRPr="007D3F65">
        <w:rPr>
          <w:noProof/>
        </w:rPr>
        <w:t>list</w:t>
      </w:r>
      <w:r>
        <w:rPr>
          <w:noProof/>
        </w:rPr>
        <w:tab/>
      </w:r>
      <w:r>
        <w:rPr>
          <w:noProof/>
        </w:rPr>
        <w:tab/>
      </w:r>
      <w:r w:rsidRPr="007D3F65">
        <w:rPr>
          <w:noProof/>
        </w:rPr>
        <w:t>53</w:t>
      </w:r>
    </w:p>
    <w:p w14:paraId="3087C42E"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 xml:space="preserve">Annex 2  Summary of ICNIRP </w:t>
      </w:r>
      <w:r w:rsidRPr="007D3F65">
        <w:rPr>
          <w:noProof/>
        </w:rPr>
        <w:t>guidelines</w:t>
      </w:r>
      <w:r>
        <w:rPr>
          <w:noProof/>
        </w:rPr>
        <w:tab/>
      </w:r>
      <w:r>
        <w:rPr>
          <w:noProof/>
        </w:rPr>
        <w:tab/>
      </w:r>
      <w:r w:rsidRPr="007D3F65">
        <w:rPr>
          <w:noProof/>
        </w:rPr>
        <w:t>54</w:t>
      </w:r>
    </w:p>
    <w:p w14:paraId="637DE79C"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 xml:space="preserve">Annex 3  Summary of typical exposure </w:t>
      </w:r>
      <w:r w:rsidRPr="007D3F65">
        <w:rPr>
          <w:noProof/>
        </w:rPr>
        <w:t>levels</w:t>
      </w:r>
      <w:r>
        <w:rPr>
          <w:noProof/>
        </w:rPr>
        <w:tab/>
      </w:r>
      <w:r>
        <w:rPr>
          <w:noProof/>
        </w:rPr>
        <w:tab/>
      </w:r>
      <w:r w:rsidRPr="007D3F65">
        <w:rPr>
          <w:noProof/>
        </w:rPr>
        <w:t>56</w:t>
      </w:r>
    </w:p>
    <w:p w14:paraId="702B2FC6" w14:textId="77777777" w:rsidR="007D3F65" w:rsidRDefault="007D3F65" w:rsidP="007D3F65">
      <w:pPr>
        <w:pStyle w:val="TOC1"/>
        <w:ind w:right="992"/>
        <w:rPr>
          <w:rFonts w:asciiTheme="minorHAnsi" w:eastAsiaTheme="minorEastAsia" w:hAnsiTheme="minorHAnsi" w:cstheme="minorBidi"/>
          <w:noProof/>
          <w:sz w:val="22"/>
          <w:szCs w:val="22"/>
          <w:lang w:val="en-US" w:eastAsia="zh-CN"/>
        </w:rPr>
      </w:pPr>
      <w:r>
        <w:rPr>
          <w:noProof/>
        </w:rPr>
        <w:t xml:space="preserve">Annex 4  Abbreviations and </w:t>
      </w:r>
      <w:r w:rsidRPr="007D3F65">
        <w:rPr>
          <w:noProof/>
        </w:rPr>
        <w:t>Acronyms</w:t>
      </w:r>
      <w:r>
        <w:rPr>
          <w:noProof/>
        </w:rPr>
        <w:tab/>
      </w:r>
      <w:r>
        <w:rPr>
          <w:noProof/>
        </w:rPr>
        <w:tab/>
      </w:r>
      <w:r w:rsidRPr="007D3F65">
        <w:rPr>
          <w:noProof/>
        </w:rPr>
        <w:t>57</w:t>
      </w:r>
    </w:p>
    <w:p w14:paraId="43D4B28B" w14:textId="77777777" w:rsidR="00AA662C" w:rsidRPr="007D3F65" w:rsidRDefault="007D3F65" w:rsidP="007D3F65">
      <w:pPr>
        <w:rPr>
          <w:noProof/>
        </w:rPr>
      </w:pPr>
      <w:r>
        <w:rPr>
          <w:noProof/>
        </w:rPr>
        <w:tab/>
      </w:r>
    </w:p>
    <w:p w14:paraId="51D262D3" w14:textId="77777777" w:rsidR="007D3F65" w:rsidRPr="00854715" w:rsidRDefault="007D3F65" w:rsidP="00854715">
      <w:pPr>
        <w:rPr>
          <w:noProof/>
        </w:rPr>
      </w:pPr>
    </w:p>
    <w:p w14:paraId="0F261AD0" w14:textId="77777777" w:rsidR="00854715" w:rsidRPr="00F06651" w:rsidRDefault="00854715" w:rsidP="00AA662C">
      <w:pPr>
        <w:rPr>
          <w:noProof/>
        </w:rPr>
      </w:pPr>
    </w:p>
    <w:p w14:paraId="43DF4F17" w14:textId="77777777" w:rsidR="00AA662C" w:rsidRPr="00F06651" w:rsidRDefault="00AA662C" w:rsidP="00AA662C">
      <w:pPr>
        <w:rPr>
          <w:b/>
          <w:sz w:val="28"/>
          <w:szCs w:val="28"/>
          <w:lang w:eastAsia="ja-JP"/>
        </w:rPr>
        <w:sectPr w:rsidR="00AA662C" w:rsidRPr="00F06651" w:rsidSect="00185363">
          <w:headerReference w:type="default" r:id="rId13"/>
          <w:type w:val="oddPage"/>
          <w:pgSz w:w="11907" w:h="16840" w:code="9"/>
          <w:pgMar w:top="1134" w:right="1418" w:bottom="1134" w:left="1418" w:header="720" w:footer="720" w:gutter="0"/>
          <w:cols w:space="720"/>
          <w:docGrid w:linePitch="326"/>
        </w:sectPr>
      </w:pPr>
    </w:p>
    <w:p w14:paraId="68EA01AA" w14:textId="2EC743E7" w:rsidR="00AA662C" w:rsidRPr="00F06651" w:rsidRDefault="00871FE7" w:rsidP="00773B30">
      <w:pPr>
        <w:pStyle w:val="Rectitle"/>
        <w:rPr>
          <w:lang w:eastAsia="ko-KR"/>
        </w:rPr>
      </w:pPr>
      <w:r>
        <w:rPr>
          <w:lang w:eastAsia="ja-JP"/>
        </w:rPr>
        <w:lastRenderedPageBreak/>
        <w:t>Electromagnetic field (</w:t>
      </w:r>
      <w:r w:rsidR="00AA662C" w:rsidRPr="00F06651">
        <w:rPr>
          <w:lang w:eastAsia="ja-JP"/>
        </w:rPr>
        <w:t>EMF</w:t>
      </w:r>
      <w:r>
        <w:rPr>
          <w:lang w:eastAsia="ja-JP"/>
        </w:rPr>
        <w:t>)</w:t>
      </w:r>
      <w:r w:rsidR="00AA662C" w:rsidRPr="00F06651">
        <w:rPr>
          <w:lang w:eastAsia="ja-JP"/>
        </w:rPr>
        <w:t xml:space="preserve"> </w:t>
      </w:r>
      <w:r>
        <w:rPr>
          <w:lang w:eastAsia="ja-JP"/>
        </w:rPr>
        <w:t>c</w:t>
      </w:r>
      <w:r w:rsidR="00AA662C" w:rsidRPr="00F06651">
        <w:rPr>
          <w:lang w:eastAsia="ja-JP"/>
        </w:rPr>
        <w:t xml:space="preserve">onsiderations in </w:t>
      </w:r>
      <w:r>
        <w:rPr>
          <w:lang w:eastAsia="ja-JP"/>
        </w:rPr>
        <w:t>s</w:t>
      </w:r>
      <w:r w:rsidR="00AA662C" w:rsidRPr="00F06651">
        <w:rPr>
          <w:lang w:eastAsia="ja-JP"/>
        </w:rPr>
        <w:t xml:space="preserve">mart </w:t>
      </w:r>
      <w:r>
        <w:rPr>
          <w:lang w:eastAsia="ja-JP"/>
        </w:rPr>
        <w:t>s</w:t>
      </w:r>
      <w:r w:rsidR="00AA662C" w:rsidRPr="00F06651">
        <w:rPr>
          <w:lang w:eastAsia="ja-JP"/>
        </w:rPr>
        <w:t xml:space="preserve">ustainable </w:t>
      </w:r>
      <w:r>
        <w:rPr>
          <w:lang w:eastAsia="ja-JP"/>
        </w:rPr>
        <w:t>c</w:t>
      </w:r>
      <w:r w:rsidR="00AA662C" w:rsidRPr="00F06651">
        <w:rPr>
          <w:lang w:eastAsia="ja-JP"/>
        </w:rPr>
        <w:t>ities</w:t>
      </w:r>
      <w:r w:rsidR="001A4290">
        <w:rPr>
          <w:lang w:eastAsia="ja-JP"/>
        </w:rPr>
        <w:t xml:space="preserve"> </w:t>
      </w:r>
    </w:p>
    <w:p w14:paraId="744ECE91" w14:textId="77777777" w:rsidR="00AA662C" w:rsidRPr="00F06651" w:rsidRDefault="00AA662C" w:rsidP="00185363">
      <w:pPr>
        <w:pStyle w:val="Headingb"/>
      </w:pPr>
      <w:bookmarkStart w:id="11" w:name="_Toc397945025"/>
      <w:bookmarkStart w:id="12" w:name="_Toc369015744"/>
      <w:bookmarkStart w:id="13" w:name="_Toc351036642"/>
      <w:r w:rsidRPr="00F06651">
        <w:t>Executive Summary</w:t>
      </w:r>
      <w:bookmarkEnd w:id="11"/>
    </w:p>
    <w:p w14:paraId="0E577B87" w14:textId="07293435" w:rsidR="00AA662C" w:rsidRPr="00F06651" w:rsidRDefault="00AA662C" w:rsidP="00185363">
      <w:pPr>
        <w:rPr>
          <w:lang w:eastAsia="zh-CN"/>
        </w:rPr>
      </w:pPr>
      <w:r w:rsidRPr="00F06651">
        <w:rPr>
          <w:lang w:eastAsia="zh-CN"/>
        </w:rPr>
        <w:t xml:space="preserve">Wireless and wired networks provide the underlying connections that underpin </w:t>
      </w:r>
      <w:r w:rsidR="00A50C12">
        <w:rPr>
          <w:lang w:eastAsia="zh-CN"/>
        </w:rPr>
        <w:t>s</w:t>
      </w:r>
      <w:r w:rsidRPr="00F06651">
        <w:rPr>
          <w:lang w:eastAsia="zh-CN"/>
        </w:rPr>
        <w:t xml:space="preserve">mart </w:t>
      </w:r>
      <w:r w:rsidR="00A50C12">
        <w:rPr>
          <w:lang w:eastAsia="zh-CN"/>
        </w:rPr>
        <w:t>s</w:t>
      </w:r>
      <w:r w:rsidRPr="00F06651">
        <w:rPr>
          <w:lang w:eastAsia="zh-CN"/>
        </w:rPr>
        <w:t xml:space="preserve">ustainable </w:t>
      </w:r>
      <w:r w:rsidR="00A50C12">
        <w:rPr>
          <w:lang w:eastAsia="zh-CN"/>
        </w:rPr>
        <w:t>c</w:t>
      </w:r>
      <w:r w:rsidRPr="00F06651">
        <w:rPr>
          <w:lang w:eastAsia="zh-CN"/>
        </w:rPr>
        <w:t xml:space="preserve">ities (SSC). The design and deployment of wireless networks must ensure compliance with </w:t>
      </w:r>
      <w:r w:rsidR="00A50C12">
        <w:rPr>
          <w:lang w:eastAsia="zh-CN"/>
        </w:rPr>
        <w:t xml:space="preserve">the </w:t>
      </w:r>
      <w:r w:rsidRPr="00F06651">
        <w:rPr>
          <w:lang w:eastAsia="zh-CN"/>
        </w:rPr>
        <w:t xml:space="preserve">required quality of service as well as </w:t>
      </w:r>
      <w:r w:rsidR="00A50C12">
        <w:rPr>
          <w:lang w:eastAsia="zh-CN"/>
        </w:rPr>
        <w:t xml:space="preserve">with the </w:t>
      </w:r>
      <w:r w:rsidRPr="00F06651">
        <w:rPr>
          <w:lang w:eastAsia="zh-CN"/>
        </w:rPr>
        <w:t>standards and regulations on human exposure to radio frequency (RF) electromagnetic fields.</w:t>
      </w:r>
    </w:p>
    <w:p w14:paraId="4D2A9E6B" w14:textId="19DEA965" w:rsidR="00AA662C" w:rsidRPr="00F06651" w:rsidRDefault="00AA662C" w:rsidP="00185363">
      <w:pPr>
        <w:rPr>
          <w:lang w:eastAsia="zh-CN"/>
        </w:rPr>
      </w:pPr>
      <w:r w:rsidRPr="00F06651">
        <w:rPr>
          <w:lang w:eastAsia="zh-CN"/>
        </w:rPr>
        <w:t xml:space="preserve">This </w:t>
      </w:r>
      <w:r w:rsidR="00A50C12">
        <w:rPr>
          <w:lang w:eastAsia="zh-CN"/>
        </w:rPr>
        <w:t>Technical R</w:t>
      </w:r>
      <w:r w:rsidRPr="00F06651">
        <w:rPr>
          <w:lang w:eastAsia="zh-CN"/>
        </w:rPr>
        <w:t>eport details the electromagnetic field (EMF)</w:t>
      </w:r>
      <w:r w:rsidR="00600E72">
        <w:rPr>
          <w:rStyle w:val="FootnoteReference"/>
          <w:lang w:eastAsia="zh-CN"/>
        </w:rPr>
        <w:footnoteReference w:id="1"/>
      </w:r>
      <w:r w:rsidRPr="00F06651">
        <w:rPr>
          <w:lang w:eastAsia="zh-CN"/>
        </w:rPr>
        <w:t xml:space="preserve"> considerations in </w:t>
      </w:r>
      <w:r w:rsidR="00A50C12">
        <w:rPr>
          <w:lang w:eastAsia="zh-CN"/>
        </w:rPr>
        <w:t>s</w:t>
      </w:r>
      <w:r w:rsidRPr="00F06651">
        <w:rPr>
          <w:lang w:eastAsia="zh-CN"/>
        </w:rPr>
        <w:t xml:space="preserve">mart </w:t>
      </w:r>
      <w:r w:rsidR="00A50C12">
        <w:rPr>
          <w:lang w:eastAsia="zh-CN"/>
        </w:rPr>
        <w:t>s</w:t>
      </w:r>
      <w:r w:rsidRPr="00F06651">
        <w:rPr>
          <w:lang w:eastAsia="zh-CN"/>
        </w:rPr>
        <w:t xml:space="preserve">ustainable </w:t>
      </w:r>
      <w:r w:rsidR="00A50C12">
        <w:rPr>
          <w:lang w:eastAsia="zh-CN"/>
        </w:rPr>
        <w:t>c</w:t>
      </w:r>
      <w:r w:rsidRPr="00F06651">
        <w:rPr>
          <w:lang w:eastAsia="zh-CN"/>
        </w:rPr>
        <w:t>ities to ensure that the networks and connected devices operate safely and efficiently. Efficient deployment of wireless infrastructure will reduce the transmitted RF power in providing services and improve the efficiency of ICTs.</w:t>
      </w:r>
    </w:p>
    <w:p w14:paraId="770C476F" w14:textId="5FCAEF72" w:rsidR="00AA662C" w:rsidRPr="00F06651" w:rsidRDefault="00AA662C" w:rsidP="00185363">
      <w:pPr>
        <w:rPr>
          <w:lang w:eastAsia="zh-CN"/>
        </w:rPr>
      </w:pPr>
      <w:r w:rsidRPr="00F06651">
        <w:rPr>
          <w:lang w:eastAsia="zh-CN"/>
        </w:rPr>
        <w:t xml:space="preserve">The key audience </w:t>
      </w:r>
      <w:r w:rsidR="00014C13">
        <w:rPr>
          <w:lang w:eastAsia="zh-CN"/>
        </w:rPr>
        <w:t>of</w:t>
      </w:r>
      <w:r w:rsidRPr="00F06651">
        <w:rPr>
          <w:lang w:eastAsia="zh-CN"/>
        </w:rPr>
        <w:t xml:space="preserve"> this </w:t>
      </w:r>
      <w:r w:rsidR="00014C13">
        <w:rPr>
          <w:lang w:eastAsia="zh-CN"/>
        </w:rPr>
        <w:t>Technical R</w:t>
      </w:r>
      <w:r w:rsidRPr="00F06651">
        <w:rPr>
          <w:lang w:eastAsia="zh-CN"/>
        </w:rPr>
        <w:t>eport includes city officials, town planners, urban developers, infrastructure providers, network operators and the public.</w:t>
      </w:r>
    </w:p>
    <w:p w14:paraId="2D1D61FD" w14:textId="77777777" w:rsidR="00AA662C" w:rsidRPr="00F06651" w:rsidRDefault="00AA662C" w:rsidP="00715790">
      <w:pPr>
        <w:rPr>
          <w:lang w:eastAsia="zh-CN"/>
        </w:rPr>
      </w:pPr>
      <w:r w:rsidRPr="00F06651">
        <w:rPr>
          <w:lang w:eastAsia="zh-CN"/>
        </w:rPr>
        <w:t xml:space="preserve">This </w:t>
      </w:r>
      <w:r w:rsidR="00014C13">
        <w:rPr>
          <w:lang w:eastAsia="zh-CN"/>
        </w:rPr>
        <w:t xml:space="preserve">Technical </w:t>
      </w:r>
      <w:r w:rsidR="00715790">
        <w:rPr>
          <w:lang w:eastAsia="zh-CN"/>
        </w:rPr>
        <w:t>R</w:t>
      </w:r>
      <w:r w:rsidRPr="00F06651">
        <w:rPr>
          <w:lang w:eastAsia="zh-CN"/>
        </w:rPr>
        <w:t xml:space="preserve">eport comprises the following key sections: </w:t>
      </w:r>
    </w:p>
    <w:p w14:paraId="5B44F9B4" w14:textId="43D0DFE7" w:rsidR="00715790" w:rsidRDefault="00185363" w:rsidP="007246FE">
      <w:pPr>
        <w:pStyle w:val="enumlev1"/>
      </w:pPr>
      <w:r w:rsidRPr="00185363">
        <w:rPr>
          <w:bCs/>
        </w:rPr>
        <w:t>–</w:t>
      </w:r>
      <w:r>
        <w:rPr>
          <w:b/>
        </w:rPr>
        <w:tab/>
      </w:r>
      <w:r w:rsidR="00AA662C" w:rsidRPr="00F06651">
        <w:rPr>
          <w:b/>
        </w:rPr>
        <w:t xml:space="preserve">ICTs and EMF </w:t>
      </w:r>
      <w:r w:rsidR="007246FE" w:rsidRPr="007246FE">
        <w:rPr>
          <w:bCs/>
        </w:rPr>
        <w:t>–</w:t>
      </w:r>
      <w:r w:rsidR="00AA662C" w:rsidRPr="00F06651">
        <w:rPr>
          <w:b/>
        </w:rPr>
        <w:t xml:space="preserve"> </w:t>
      </w:r>
      <w:r w:rsidR="001E426F">
        <w:t>Provides</w:t>
      </w:r>
      <w:r w:rsidR="00AA662C" w:rsidRPr="00F06651">
        <w:t xml:space="preserve"> a summary of how wireless networks support ICTs in the community, providing services that include smart metering, remote health care and medical monitoring, smart cars, mobile education, and smart homes and buildings. </w:t>
      </w:r>
    </w:p>
    <w:p w14:paraId="002C6395" w14:textId="597B0FC1" w:rsidR="00AA662C" w:rsidRPr="00F06651" w:rsidRDefault="00715790" w:rsidP="007246FE">
      <w:pPr>
        <w:pStyle w:val="enumlev1"/>
      </w:pPr>
      <w:r w:rsidRPr="00185363">
        <w:rPr>
          <w:bCs/>
        </w:rPr>
        <w:t>–</w:t>
      </w:r>
      <w:r>
        <w:rPr>
          <w:b/>
        </w:rPr>
        <w:tab/>
      </w:r>
      <w:r w:rsidR="00AA662C" w:rsidRPr="00F06651">
        <w:rPr>
          <w:b/>
        </w:rPr>
        <w:t xml:space="preserve">EMF and </w:t>
      </w:r>
      <w:r w:rsidR="00014C13">
        <w:rPr>
          <w:b/>
        </w:rPr>
        <w:t>h</w:t>
      </w:r>
      <w:r w:rsidR="00AA662C" w:rsidRPr="00F06651">
        <w:rPr>
          <w:b/>
        </w:rPr>
        <w:t>ealth</w:t>
      </w:r>
      <w:r w:rsidR="00AA662C" w:rsidRPr="00F06651">
        <w:t xml:space="preserve"> – </w:t>
      </w:r>
      <w:r w:rsidR="00014C13">
        <w:t>P</w:t>
      </w:r>
      <w:r w:rsidR="00AA662C" w:rsidRPr="00F06651">
        <w:t>rovides an overview of the extensive research into EMF and health, and the conclusions from the World Health Organization</w:t>
      </w:r>
      <w:r w:rsidR="00014C13">
        <w:t xml:space="preserve"> (WHO)</w:t>
      </w:r>
      <w:r w:rsidR="00AA662C" w:rsidRPr="00F06651">
        <w:t>.</w:t>
      </w:r>
    </w:p>
    <w:p w14:paraId="41F501E7" w14:textId="12400206" w:rsidR="00AA662C" w:rsidRPr="00F06651" w:rsidRDefault="00185363" w:rsidP="00185363">
      <w:pPr>
        <w:pStyle w:val="enumlev1"/>
      </w:pPr>
      <w:r w:rsidRPr="00185363">
        <w:rPr>
          <w:bCs/>
        </w:rPr>
        <w:t>–</w:t>
      </w:r>
      <w:r>
        <w:rPr>
          <w:b/>
        </w:rPr>
        <w:tab/>
      </w:r>
      <w:r w:rsidR="00AA662C" w:rsidRPr="00F06651">
        <w:rPr>
          <w:b/>
        </w:rPr>
        <w:t xml:space="preserve">EMF </w:t>
      </w:r>
      <w:r w:rsidR="00014C13">
        <w:rPr>
          <w:b/>
        </w:rPr>
        <w:t>e</w:t>
      </w:r>
      <w:r w:rsidR="00AA662C" w:rsidRPr="00F06651">
        <w:rPr>
          <w:b/>
        </w:rPr>
        <w:t xml:space="preserve">xposure </w:t>
      </w:r>
      <w:r w:rsidR="00014C13">
        <w:rPr>
          <w:b/>
        </w:rPr>
        <w:t>l</w:t>
      </w:r>
      <w:r w:rsidR="00AA662C" w:rsidRPr="00F06651">
        <w:rPr>
          <w:b/>
        </w:rPr>
        <w:t>imits</w:t>
      </w:r>
      <w:r w:rsidR="00AA662C" w:rsidRPr="00F06651">
        <w:t xml:space="preserve"> – </w:t>
      </w:r>
      <w:r w:rsidR="00014C13">
        <w:t>P</w:t>
      </w:r>
      <w:r w:rsidR="00AA662C" w:rsidRPr="00F06651">
        <w:t xml:space="preserve">rovides a summary of the international EMF exposure limits developed by the International Commission on Non-Ionizing Radiation Protection (ICNIRP) along with information on </w:t>
      </w:r>
      <w:r w:rsidR="00014C13">
        <w:t xml:space="preserve">the </w:t>
      </w:r>
      <w:r w:rsidR="00AA662C" w:rsidRPr="00F06651">
        <w:t>application of the limits to workers and the general public.</w:t>
      </w:r>
    </w:p>
    <w:p w14:paraId="6F56CC4A" w14:textId="563A3CAA" w:rsidR="00AA662C" w:rsidRPr="00F06651" w:rsidRDefault="00185363" w:rsidP="00185363">
      <w:pPr>
        <w:pStyle w:val="enumlev1"/>
      </w:pPr>
      <w:r w:rsidRPr="00185363">
        <w:rPr>
          <w:bCs/>
        </w:rPr>
        <w:t>–</w:t>
      </w:r>
      <w:r>
        <w:rPr>
          <w:b/>
        </w:rPr>
        <w:tab/>
      </w:r>
      <w:r w:rsidR="00AA662C" w:rsidRPr="00F06651">
        <w:rPr>
          <w:b/>
        </w:rPr>
        <w:t xml:space="preserve">EMF </w:t>
      </w:r>
      <w:r w:rsidR="00014C13">
        <w:rPr>
          <w:b/>
        </w:rPr>
        <w:t>h</w:t>
      </w:r>
      <w:r w:rsidR="00AA662C" w:rsidRPr="00F06651">
        <w:rPr>
          <w:b/>
        </w:rPr>
        <w:t xml:space="preserve">ealth and </w:t>
      </w:r>
      <w:r w:rsidR="00014C13">
        <w:rPr>
          <w:b/>
        </w:rPr>
        <w:t>s</w:t>
      </w:r>
      <w:r w:rsidR="00AA662C" w:rsidRPr="00F06651">
        <w:rPr>
          <w:b/>
        </w:rPr>
        <w:t xml:space="preserve">afety </w:t>
      </w:r>
      <w:r w:rsidR="00014C13">
        <w:rPr>
          <w:b/>
        </w:rPr>
        <w:t>i</w:t>
      </w:r>
      <w:r w:rsidR="00AA662C" w:rsidRPr="00F06651">
        <w:rPr>
          <w:b/>
        </w:rPr>
        <w:t>nformation</w:t>
      </w:r>
      <w:r w:rsidR="00AA662C" w:rsidRPr="00F06651">
        <w:t xml:space="preserve"> </w:t>
      </w:r>
      <w:r w:rsidR="00715790">
        <w:t xml:space="preserve">– </w:t>
      </w:r>
      <w:r w:rsidR="00014C13">
        <w:t>P</w:t>
      </w:r>
      <w:r w:rsidR="00AA662C" w:rsidRPr="00F06651">
        <w:t>rovides an overview of the most relevant information available on the linkages between EMF exposure, health and safety that can be used to respond to the requirements of various audiences.</w:t>
      </w:r>
      <w:r w:rsidR="0049069D">
        <w:t xml:space="preserve"> </w:t>
      </w:r>
    </w:p>
    <w:p w14:paraId="6FE82525" w14:textId="5F02A8BE" w:rsidR="00AA662C" w:rsidRPr="00F06651" w:rsidRDefault="00185363" w:rsidP="00185363">
      <w:pPr>
        <w:pStyle w:val="enumlev1"/>
      </w:pPr>
      <w:r w:rsidRPr="00185363">
        <w:rPr>
          <w:bCs/>
        </w:rPr>
        <w:t>–</w:t>
      </w:r>
      <w:r>
        <w:rPr>
          <w:b/>
        </w:rPr>
        <w:tab/>
      </w:r>
      <w:r w:rsidR="00AA662C" w:rsidRPr="00F06651">
        <w:rPr>
          <w:b/>
        </w:rPr>
        <w:t xml:space="preserve">Community </w:t>
      </w:r>
      <w:r w:rsidR="00014C13">
        <w:rPr>
          <w:b/>
        </w:rPr>
        <w:t>i</w:t>
      </w:r>
      <w:r w:rsidR="00AA662C" w:rsidRPr="00F06651">
        <w:rPr>
          <w:b/>
        </w:rPr>
        <w:t xml:space="preserve">nformation </w:t>
      </w:r>
      <w:r w:rsidR="00014C13">
        <w:rPr>
          <w:b/>
        </w:rPr>
        <w:t>c</w:t>
      </w:r>
      <w:r w:rsidR="00AA662C" w:rsidRPr="00F06651">
        <w:rPr>
          <w:b/>
        </w:rPr>
        <w:t xml:space="preserve">onsultation and </w:t>
      </w:r>
      <w:r w:rsidR="00014C13">
        <w:rPr>
          <w:b/>
        </w:rPr>
        <w:t>e</w:t>
      </w:r>
      <w:r w:rsidR="00AA662C" w:rsidRPr="00F06651">
        <w:rPr>
          <w:b/>
        </w:rPr>
        <w:t>ngagement</w:t>
      </w:r>
      <w:r w:rsidR="00AA662C" w:rsidRPr="00F06651">
        <w:t xml:space="preserve"> </w:t>
      </w:r>
      <w:r w:rsidR="00014C13">
        <w:t>–</w:t>
      </w:r>
      <w:r w:rsidR="00AA662C" w:rsidRPr="00F06651">
        <w:t xml:space="preserve"> </w:t>
      </w:r>
      <w:r w:rsidR="00014C13">
        <w:t>P</w:t>
      </w:r>
      <w:r w:rsidR="00AA662C" w:rsidRPr="00F06651">
        <w:t>rovides guidance on community engagement, consultation and risk communications in order to increase public and policymaker awareness, and foster better-informed discussions and citizen engagement in this field.</w:t>
      </w:r>
    </w:p>
    <w:p w14:paraId="37E5FCCB" w14:textId="57113871" w:rsidR="00AA662C" w:rsidRPr="00F06651" w:rsidRDefault="00185363" w:rsidP="00185363">
      <w:pPr>
        <w:pStyle w:val="enumlev1"/>
      </w:pPr>
      <w:r w:rsidRPr="00185363">
        <w:rPr>
          <w:bCs/>
        </w:rPr>
        <w:t>–</w:t>
      </w:r>
      <w:r>
        <w:rPr>
          <w:b/>
        </w:rPr>
        <w:tab/>
      </w:r>
      <w:r w:rsidR="00AA662C" w:rsidRPr="00F06651">
        <w:rPr>
          <w:b/>
        </w:rPr>
        <w:t xml:space="preserve">Wireless ICT </w:t>
      </w:r>
      <w:r w:rsidR="00014C13">
        <w:rPr>
          <w:b/>
        </w:rPr>
        <w:t>n</w:t>
      </w:r>
      <w:r w:rsidR="00AA662C" w:rsidRPr="00F06651">
        <w:rPr>
          <w:b/>
        </w:rPr>
        <w:t xml:space="preserve">etwork </w:t>
      </w:r>
      <w:r w:rsidR="00014C13">
        <w:rPr>
          <w:b/>
        </w:rPr>
        <w:t>i</w:t>
      </w:r>
      <w:r w:rsidR="00AA662C" w:rsidRPr="00F06651">
        <w:rPr>
          <w:b/>
        </w:rPr>
        <w:t>nfrastructure</w:t>
      </w:r>
      <w:r w:rsidR="00AA662C" w:rsidRPr="00F06651">
        <w:t xml:space="preserve"> – </w:t>
      </w:r>
      <w:r w:rsidR="00014C13">
        <w:t>P</w:t>
      </w:r>
      <w:r w:rsidR="00AA662C" w:rsidRPr="00F06651">
        <w:t xml:space="preserve">rovides an overview of the infrastructure elements that form a wireless network, and explains the role </w:t>
      </w:r>
      <w:r w:rsidR="00600E72">
        <w:t>of</w:t>
      </w:r>
      <w:r w:rsidR="00AA662C" w:rsidRPr="00F06651">
        <w:t xml:space="preserve"> these different elements.</w:t>
      </w:r>
      <w:r w:rsidR="0049069D">
        <w:t xml:space="preserve"> </w:t>
      </w:r>
    </w:p>
    <w:p w14:paraId="0D1FD76F" w14:textId="6DFD3FB5" w:rsidR="00AA662C" w:rsidRPr="00F06651" w:rsidRDefault="00185363" w:rsidP="00715790">
      <w:pPr>
        <w:pStyle w:val="enumlev1"/>
      </w:pPr>
      <w:r w:rsidRPr="00185363">
        <w:rPr>
          <w:bCs/>
        </w:rPr>
        <w:t>–</w:t>
      </w:r>
      <w:r>
        <w:rPr>
          <w:b/>
        </w:rPr>
        <w:tab/>
      </w:r>
      <w:r w:rsidR="00AA662C" w:rsidRPr="00F06651">
        <w:rPr>
          <w:b/>
        </w:rPr>
        <w:t xml:space="preserve">ICT </w:t>
      </w:r>
      <w:r w:rsidR="00014C13">
        <w:rPr>
          <w:b/>
        </w:rPr>
        <w:t>w</w:t>
      </w:r>
      <w:r w:rsidR="00AA662C" w:rsidRPr="00F06651">
        <w:rPr>
          <w:b/>
        </w:rPr>
        <w:t xml:space="preserve">ireless </w:t>
      </w:r>
      <w:r w:rsidR="00014C13">
        <w:rPr>
          <w:b/>
        </w:rPr>
        <w:t>t</w:t>
      </w:r>
      <w:r w:rsidR="00AA662C" w:rsidRPr="00F06651">
        <w:rPr>
          <w:b/>
        </w:rPr>
        <w:t>echnologies</w:t>
      </w:r>
      <w:r w:rsidR="0049069D">
        <w:t xml:space="preserve"> </w:t>
      </w:r>
      <w:r w:rsidR="00715790">
        <w:t>–</w:t>
      </w:r>
      <w:r w:rsidR="00AA662C" w:rsidRPr="00F06651">
        <w:t xml:space="preserve"> </w:t>
      </w:r>
      <w:r w:rsidR="00014C13">
        <w:t>P</w:t>
      </w:r>
      <w:r w:rsidR="00AA662C" w:rsidRPr="00F06651">
        <w:t xml:space="preserve">rovides a summary of the various wireless technologies including 3G and 4G mobile telecommunications, </w:t>
      </w:r>
      <w:r w:rsidR="001601E7">
        <w:t>worldwide interoperability for microwave access (</w:t>
      </w:r>
      <w:r w:rsidR="00AA662C" w:rsidRPr="00F06651">
        <w:t>WiMax</w:t>
      </w:r>
      <w:r w:rsidR="001601E7">
        <w:t>)</w:t>
      </w:r>
      <w:r w:rsidR="00AA662C" w:rsidRPr="00F06651">
        <w:t xml:space="preserve">, </w:t>
      </w:r>
      <w:r w:rsidR="001601E7">
        <w:t>wireless fidelity (</w:t>
      </w:r>
      <w:r w:rsidR="00AA662C" w:rsidRPr="00F06651">
        <w:t>Wi-Fi</w:t>
      </w:r>
      <w:r w:rsidR="001601E7">
        <w:t>)</w:t>
      </w:r>
      <w:r w:rsidR="00AA662C" w:rsidRPr="00F06651">
        <w:t xml:space="preserve">, Bluetooth, </w:t>
      </w:r>
      <w:r w:rsidR="001601E7">
        <w:t>digital enhanced cordless telecommunication (</w:t>
      </w:r>
      <w:r w:rsidR="00AA662C" w:rsidRPr="00F06651">
        <w:t>DECT</w:t>
      </w:r>
      <w:r w:rsidR="001601E7">
        <w:t>)</w:t>
      </w:r>
      <w:r w:rsidR="00AA662C" w:rsidRPr="00F06651">
        <w:t xml:space="preserve">, and the backhaul systems that connect the radio sites to the core telecommunications network and </w:t>
      </w:r>
      <w:r w:rsidR="00014C13">
        <w:t>the I</w:t>
      </w:r>
      <w:r w:rsidR="00AA662C" w:rsidRPr="00F06651">
        <w:t>nternet.</w:t>
      </w:r>
    </w:p>
    <w:p w14:paraId="19986F14" w14:textId="2781E43D" w:rsidR="00AA662C" w:rsidRPr="00F06651" w:rsidRDefault="00185363" w:rsidP="00185363">
      <w:pPr>
        <w:pStyle w:val="enumlev1"/>
      </w:pPr>
      <w:r w:rsidRPr="00185363">
        <w:rPr>
          <w:bCs/>
        </w:rPr>
        <w:t>–</w:t>
      </w:r>
      <w:r>
        <w:rPr>
          <w:b/>
        </w:rPr>
        <w:tab/>
      </w:r>
      <w:r w:rsidR="00AA662C" w:rsidRPr="00F06651">
        <w:rPr>
          <w:b/>
        </w:rPr>
        <w:t>ICT antenna siting approval requirements</w:t>
      </w:r>
      <w:r w:rsidR="00AA662C" w:rsidRPr="00F06651">
        <w:t xml:space="preserve"> – </w:t>
      </w:r>
      <w:r w:rsidR="00014C13">
        <w:t>P</w:t>
      </w:r>
      <w:r w:rsidR="00AA662C" w:rsidRPr="00F06651">
        <w:t>rovides guidance on good practice policy for planning rules for ICT infrastructure.</w:t>
      </w:r>
    </w:p>
    <w:p w14:paraId="07EA1D1F" w14:textId="382008F0" w:rsidR="00AA662C" w:rsidRPr="00F06651" w:rsidRDefault="00AA662C" w:rsidP="00185363">
      <w:pPr>
        <w:rPr>
          <w:rFonts w:ascii="Calibri" w:eastAsia="SimSun" w:hAnsi="Calibri" w:cs="Arial"/>
          <w:sz w:val="22"/>
          <w:szCs w:val="22"/>
          <w:lang w:eastAsia="zh-CN"/>
        </w:rPr>
      </w:pPr>
      <w:r w:rsidRPr="00F06651">
        <w:rPr>
          <w:rFonts w:eastAsia="Times New Roman"/>
          <w:szCs w:val="24"/>
          <w:lang w:eastAsia="zh-CN"/>
        </w:rPr>
        <w:t>Th</w:t>
      </w:r>
      <w:r w:rsidR="00983747">
        <w:rPr>
          <w:rFonts w:eastAsia="Times New Roman"/>
          <w:szCs w:val="24"/>
          <w:lang w:eastAsia="zh-CN"/>
        </w:rPr>
        <w:t>is</w:t>
      </w:r>
      <w:r w:rsidRPr="00F06651">
        <w:rPr>
          <w:rFonts w:eastAsia="Times New Roman"/>
          <w:szCs w:val="24"/>
          <w:lang w:eastAsia="zh-CN"/>
        </w:rPr>
        <w:t xml:space="preserve"> </w:t>
      </w:r>
      <w:r w:rsidR="00983747">
        <w:rPr>
          <w:rFonts w:eastAsia="Times New Roman"/>
          <w:szCs w:val="24"/>
          <w:lang w:eastAsia="zh-CN"/>
        </w:rPr>
        <w:t xml:space="preserve">Technical </w:t>
      </w:r>
      <w:r w:rsidR="00715790">
        <w:rPr>
          <w:rFonts w:eastAsia="Times New Roman"/>
          <w:szCs w:val="24"/>
          <w:lang w:eastAsia="zh-CN"/>
        </w:rPr>
        <w:t>R</w:t>
      </w:r>
      <w:r w:rsidRPr="00185363">
        <w:t>eport concludes by providing city officials and decision makers with a ‘check</w:t>
      </w:r>
      <w:r w:rsidR="00D47DC8">
        <w:t>-</w:t>
      </w:r>
      <w:r w:rsidRPr="00185363">
        <w:t>list’ that includes the key EMF-related aspects that need to be considered during the design and implementation of SSC, in order to ensure that its operation complies with EMF standards, and operate</w:t>
      </w:r>
      <w:r w:rsidRPr="00F06651">
        <w:rPr>
          <w:rFonts w:eastAsia="Times New Roman"/>
          <w:szCs w:val="24"/>
          <w:lang w:eastAsia="zh-CN"/>
        </w:rPr>
        <w:t xml:space="preserve"> efficiently and safely.</w:t>
      </w:r>
    </w:p>
    <w:p w14:paraId="3B6BF359" w14:textId="77777777" w:rsidR="00AA662C" w:rsidRPr="00F06651" w:rsidRDefault="00AA662C" w:rsidP="00773B30">
      <w:pPr>
        <w:pStyle w:val="Heading1"/>
      </w:pPr>
      <w:bookmarkStart w:id="14" w:name="_Toc397945026"/>
      <w:bookmarkStart w:id="15" w:name="_Toc400020852"/>
      <w:bookmarkStart w:id="16" w:name="_Toc400106120"/>
      <w:r w:rsidRPr="00F06651">
        <w:lastRenderedPageBreak/>
        <w:t>1</w:t>
      </w:r>
      <w:r w:rsidRPr="00F06651">
        <w:tab/>
        <w:t>Introduction</w:t>
      </w:r>
      <w:bookmarkEnd w:id="14"/>
      <w:bookmarkEnd w:id="15"/>
      <w:bookmarkEnd w:id="16"/>
    </w:p>
    <w:p w14:paraId="376362F1" w14:textId="39F9A92F" w:rsidR="00AA662C" w:rsidRPr="00F06651" w:rsidRDefault="00AA662C" w:rsidP="00185363">
      <w:pPr>
        <w:rPr>
          <w:lang w:eastAsia="zh-CN"/>
        </w:rPr>
      </w:pPr>
      <w:r w:rsidRPr="00F06651">
        <w:rPr>
          <w:lang w:eastAsia="zh-CN"/>
        </w:rPr>
        <w:t xml:space="preserve">Connected devices, distributed sensors and Internet technologies are enabling </w:t>
      </w:r>
      <w:r w:rsidR="007B5D60">
        <w:rPr>
          <w:lang w:eastAsia="zh-CN"/>
        </w:rPr>
        <w:t>s</w:t>
      </w:r>
      <w:r w:rsidRPr="00F06651">
        <w:rPr>
          <w:lang w:eastAsia="zh-CN"/>
        </w:rPr>
        <w:t xml:space="preserve">mart </w:t>
      </w:r>
      <w:r w:rsidR="007B5D60">
        <w:rPr>
          <w:lang w:eastAsia="zh-CN"/>
        </w:rPr>
        <w:t>s</w:t>
      </w:r>
      <w:r w:rsidRPr="00F06651">
        <w:rPr>
          <w:lang w:eastAsia="zh-CN"/>
        </w:rPr>
        <w:t xml:space="preserve">ustainable </w:t>
      </w:r>
      <w:r w:rsidR="007B5D60">
        <w:rPr>
          <w:lang w:eastAsia="zh-CN"/>
        </w:rPr>
        <w:t>c</w:t>
      </w:r>
      <w:r w:rsidRPr="00F06651">
        <w:rPr>
          <w:lang w:eastAsia="zh-CN"/>
        </w:rPr>
        <w:t xml:space="preserve">ities (SSC) to capture valuable data, deploy new services and enhance existing services. The use of these tools can contribute to improving the effectiveness of city management, generating new growth opportunities for local businesses, improving sustainability and raising the quality of citizens’ lives, among other benefits. Wireless technologies and services are playing a pivotal role in enabling </w:t>
      </w:r>
      <w:r w:rsidR="00BE004B">
        <w:rPr>
          <w:lang w:eastAsia="zh-CN"/>
        </w:rPr>
        <w:t>s</w:t>
      </w:r>
      <w:r w:rsidRPr="00F06651">
        <w:rPr>
          <w:lang w:eastAsia="zh-CN"/>
        </w:rPr>
        <w:t xml:space="preserve">mart </w:t>
      </w:r>
      <w:r w:rsidR="00BE004B">
        <w:rPr>
          <w:lang w:eastAsia="zh-CN"/>
        </w:rPr>
        <w:t>s</w:t>
      </w:r>
      <w:r w:rsidRPr="00F06651">
        <w:rPr>
          <w:lang w:eastAsia="zh-CN"/>
        </w:rPr>
        <w:t xml:space="preserve">ustainable </w:t>
      </w:r>
      <w:r w:rsidR="00BE004B">
        <w:rPr>
          <w:lang w:eastAsia="zh-CN"/>
        </w:rPr>
        <w:t>c</w:t>
      </w:r>
      <w:r w:rsidRPr="00F06651">
        <w:rPr>
          <w:lang w:eastAsia="zh-CN"/>
        </w:rPr>
        <w:t>ities around the world.</w:t>
      </w:r>
    </w:p>
    <w:p w14:paraId="7AD78792" w14:textId="10BA6E9D" w:rsidR="00AA662C" w:rsidRPr="00F06651" w:rsidRDefault="00AA662C" w:rsidP="00185363">
      <w:pPr>
        <w:rPr>
          <w:lang w:eastAsia="zh-CN"/>
        </w:rPr>
      </w:pPr>
      <w:r w:rsidRPr="00F06651">
        <w:rPr>
          <w:lang w:eastAsia="zh-CN"/>
        </w:rPr>
        <w:t xml:space="preserve">Wireless and wired networks provide the underlying connections that underpin </w:t>
      </w:r>
      <w:r w:rsidR="00BE004B">
        <w:rPr>
          <w:lang w:eastAsia="zh-CN"/>
        </w:rPr>
        <w:t>s</w:t>
      </w:r>
      <w:r w:rsidRPr="00F06651">
        <w:rPr>
          <w:lang w:eastAsia="zh-CN"/>
        </w:rPr>
        <w:t xml:space="preserve">mart </w:t>
      </w:r>
      <w:r w:rsidR="00BE004B">
        <w:rPr>
          <w:lang w:eastAsia="zh-CN"/>
        </w:rPr>
        <w:t>s</w:t>
      </w:r>
      <w:r w:rsidRPr="00F06651">
        <w:rPr>
          <w:lang w:eastAsia="zh-CN"/>
        </w:rPr>
        <w:t xml:space="preserve">ustainable </w:t>
      </w:r>
      <w:r w:rsidR="00BE004B">
        <w:rPr>
          <w:lang w:eastAsia="zh-CN"/>
        </w:rPr>
        <w:t>c</w:t>
      </w:r>
      <w:r w:rsidRPr="00F06651">
        <w:rPr>
          <w:lang w:eastAsia="zh-CN"/>
        </w:rPr>
        <w:t xml:space="preserve">ities. The design and deployment of wireless networks must ensure compliance with </w:t>
      </w:r>
      <w:r w:rsidR="00BE004B">
        <w:rPr>
          <w:lang w:eastAsia="zh-CN"/>
        </w:rPr>
        <w:t xml:space="preserve">the </w:t>
      </w:r>
      <w:r w:rsidRPr="00F06651">
        <w:rPr>
          <w:lang w:eastAsia="zh-CN"/>
        </w:rPr>
        <w:t xml:space="preserve">required quality of service as well as </w:t>
      </w:r>
      <w:r w:rsidR="00BE004B">
        <w:rPr>
          <w:lang w:eastAsia="zh-CN"/>
        </w:rPr>
        <w:t xml:space="preserve">with the </w:t>
      </w:r>
      <w:r w:rsidRPr="00F06651">
        <w:rPr>
          <w:lang w:eastAsia="zh-CN"/>
        </w:rPr>
        <w:t xml:space="preserve">standards and regulations on human exposure to radio frequency (RF) electromagnetic fields (EMFs). Efficient deployment of wireless infrastructure will reduce the transmitted RF power in providing services and support the maximum efficiency for ICTs. </w:t>
      </w:r>
    </w:p>
    <w:p w14:paraId="3978EBF1" w14:textId="77777777" w:rsidR="00AA662C" w:rsidRPr="00F06651" w:rsidRDefault="00AA662C" w:rsidP="00185363">
      <w:pPr>
        <w:pStyle w:val="Heading2"/>
      </w:pPr>
      <w:bookmarkStart w:id="17" w:name="_Toc397945027"/>
      <w:bookmarkStart w:id="18" w:name="_Toc400020853"/>
      <w:bookmarkStart w:id="19" w:name="_Toc400106121"/>
      <w:r w:rsidRPr="00F06651">
        <w:t>1.1</w:t>
      </w:r>
      <w:r w:rsidRPr="00F06651">
        <w:tab/>
        <w:t>Scope</w:t>
      </w:r>
      <w:bookmarkEnd w:id="17"/>
      <w:bookmarkEnd w:id="18"/>
      <w:bookmarkEnd w:id="19"/>
    </w:p>
    <w:p w14:paraId="6F0058C9" w14:textId="05EEED62" w:rsidR="00AA662C" w:rsidRPr="00F06651" w:rsidRDefault="00AA662C" w:rsidP="00185363">
      <w:pPr>
        <w:rPr>
          <w:lang w:eastAsia="zh-CN"/>
        </w:rPr>
      </w:pPr>
      <w:bookmarkStart w:id="20" w:name="_Toc389052037"/>
      <w:bookmarkStart w:id="21" w:name="_Toc389052628"/>
      <w:r w:rsidRPr="00F06651">
        <w:rPr>
          <w:lang w:eastAsia="zh-CN"/>
        </w:rPr>
        <w:t xml:space="preserve">This Technical Report details the EMF considerations in </w:t>
      </w:r>
      <w:r w:rsidR="00BE004B">
        <w:rPr>
          <w:lang w:eastAsia="zh-CN"/>
        </w:rPr>
        <w:t>s</w:t>
      </w:r>
      <w:r w:rsidRPr="00F06651">
        <w:rPr>
          <w:lang w:eastAsia="zh-CN"/>
        </w:rPr>
        <w:t xml:space="preserve">mart </w:t>
      </w:r>
      <w:r w:rsidR="00BE004B">
        <w:rPr>
          <w:lang w:eastAsia="zh-CN"/>
        </w:rPr>
        <w:t>s</w:t>
      </w:r>
      <w:r w:rsidRPr="00F06651">
        <w:rPr>
          <w:lang w:eastAsia="zh-CN"/>
        </w:rPr>
        <w:t xml:space="preserve">ustainable </w:t>
      </w:r>
      <w:r w:rsidR="00BE004B">
        <w:rPr>
          <w:lang w:eastAsia="zh-CN"/>
        </w:rPr>
        <w:t>c</w:t>
      </w:r>
      <w:r w:rsidRPr="00F06651">
        <w:rPr>
          <w:lang w:eastAsia="zh-CN"/>
        </w:rPr>
        <w:t>ities to ensure that the networks and connected devices operate safely and efficiently. The recommendations in this Technical Report are based on existing ITU and WHO technical and policy recommendations.</w:t>
      </w:r>
      <w:r w:rsidR="005B73E3">
        <w:rPr>
          <w:lang w:eastAsia="zh-CN"/>
        </w:rPr>
        <w:t xml:space="preserve"> </w:t>
      </w:r>
      <w:r w:rsidR="005B73E3" w:rsidRPr="005B73E3">
        <w:rPr>
          <w:lang w:eastAsia="zh-CN"/>
        </w:rPr>
        <w:t>Supplement 1 to Recommendation ITU-T K.91 includes a Guide on Electromagnetic Fields and Health that provides further information suitable for all stakeholders</w:t>
      </w:r>
      <w:r w:rsidRPr="00F06651">
        <w:rPr>
          <w:lang w:eastAsia="zh-CN"/>
        </w:rPr>
        <w:t>.</w:t>
      </w:r>
    </w:p>
    <w:p w14:paraId="7B5B07DC" w14:textId="3A158AFD" w:rsidR="00AA662C" w:rsidRDefault="00AA662C" w:rsidP="00185363">
      <w:pPr>
        <w:rPr>
          <w:lang w:eastAsia="zh-CN"/>
        </w:rPr>
      </w:pPr>
      <w:r w:rsidRPr="00F06651">
        <w:rPr>
          <w:lang w:eastAsia="zh-CN"/>
        </w:rPr>
        <w:t xml:space="preserve">The target audiences </w:t>
      </w:r>
      <w:r w:rsidR="00FD666C">
        <w:rPr>
          <w:lang w:eastAsia="zh-CN"/>
        </w:rPr>
        <w:t>of</w:t>
      </w:r>
      <w:r w:rsidRPr="00F06651">
        <w:rPr>
          <w:lang w:eastAsia="zh-CN"/>
        </w:rPr>
        <w:t xml:space="preserve"> this Technical Report include:</w:t>
      </w:r>
    </w:p>
    <w:p w14:paraId="6E49720A" w14:textId="6781E333" w:rsidR="00356B85" w:rsidRPr="00356B85" w:rsidRDefault="00356B85" w:rsidP="00356B85">
      <w:pPr>
        <w:rPr>
          <w:lang w:val="en-US" w:eastAsia="zh-CN"/>
        </w:rPr>
      </w:pPr>
      <w:bookmarkStart w:id="22" w:name="_Toc389052039"/>
      <w:bookmarkStart w:id="23" w:name="_Toc389052630"/>
      <w:bookmarkEnd w:id="20"/>
      <w:bookmarkEnd w:id="21"/>
      <w:r w:rsidRPr="00356B85">
        <w:rPr>
          <w:lang w:val="en-US" w:eastAsia="zh-CN"/>
        </w:rPr>
        <w:t>•</w:t>
      </w:r>
      <w:r w:rsidRPr="00356B85">
        <w:rPr>
          <w:lang w:val="en-US" w:eastAsia="zh-CN"/>
        </w:rPr>
        <w:tab/>
        <w:t xml:space="preserve">City </w:t>
      </w:r>
      <w:r w:rsidR="00FD666C">
        <w:rPr>
          <w:lang w:val="en-US" w:eastAsia="zh-CN"/>
        </w:rPr>
        <w:t>o</w:t>
      </w:r>
      <w:r w:rsidRPr="00356B85">
        <w:rPr>
          <w:lang w:val="en-US" w:eastAsia="zh-CN"/>
        </w:rPr>
        <w:t>fficials</w:t>
      </w:r>
    </w:p>
    <w:p w14:paraId="12A8D1DC" w14:textId="77777777" w:rsidR="00356B85" w:rsidRPr="00356B85" w:rsidRDefault="00356B85" w:rsidP="00356B85">
      <w:pPr>
        <w:rPr>
          <w:lang w:val="en-US" w:eastAsia="zh-CN"/>
        </w:rPr>
      </w:pPr>
      <w:r w:rsidRPr="00356B85">
        <w:rPr>
          <w:lang w:val="en-US" w:eastAsia="zh-CN"/>
        </w:rPr>
        <w:t>•</w:t>
      </w:r>
      <w:r w:rsidRPr="00356B85">
        <w:rPr>
          <w:lang w:val="en-US" w:eastAsia="zh-CN"/>
        </w:rPr>
        <w:tab/>
        <w:t>Town planner</w:t>
      </w:r>
      <w:r w:rsidR="00FD666C">
        <w:rPr>
          <w:lang w:val="en-US" w:eastAsia="zh-CN"/>
        </w:rPr>
        <w:t>s</w:t>
      </w:r>
    </w:p>
    <w:p w14:paraId="7187B1DF" w14:textId="77777777" w:rsidR="00356B85" w:rsidRPr="00356B85" w:rsidRDefault="00356B85" w:rsidP="00356B85">
      <w:pPr>
        <w:rPr>
          <w:lang w:val="en-US" w:eastAsia="zh-CN"/>
        </w:rPr>
      </w:pPr>
      <w:r w:rsidRPr="00356B85">
        <w:rPr>
          <w:lang w:val="en-US" w:eastAsia="zh-CN"/>
        </w:rPr>
        <w:t>•</w:t>
      </w:r>
      <w:r w:rsidRPr="00356B85">
        <w:rPr>
          <w:lang w:val="en-US" w:eastAsia="zh-CN"/>
        </w:rPr>
        <w:tab/>
        <w:t>Urban developers</w:t>
      </w:r>
    </w:p>
    <w:p w14:paraId="7DBFA6C1" w14:textId="77777777" w:rsidR="00356B85" w:rsidRPr="00356B85" w:rsidRDefault="00356B85" w:rsidP="00356B85">
      <w:pPr>
        <w:rPr>
          <w:lang w:val="en-US" w:eastAsia="zh-CN"/>
        </w:rPr>
      </w:pPr>
      <w:r w:rsidRPr="00356B85">
        <w:rPr>
          <w:lang w:val="en-US" w:eastAsia="zh-CN"/>
        </w:rPr>
        <w:t>•</w:t>
      </w:r>
      <w:r w:rsidRPr="00356B85">
        <w:rPr>
          <w:lang w:val="en-US" w:eastAsia="zh-CN"/>
        </w:rPr>
        <w:tab/>
        <w:t>Infrastructure providers</w:t>
      </w:r>
    </w:p>
    <w:p w14:paraId="3C6D25F0" w14:textId="77777777" w:rsidR="00356B85" w:rsidRPr="00356B85" w:rsidRDefault="00356B85" w:rsidP="00356B85">
      <w:pPr>
        <w:rPr>
          <w:lang w:val="en-US" w:eastAsia="zh-CN"/>
        </w:rPr>
      </w:pPr>
      <w:r w:rsidRPr="00356B85">
        <w:rPr>
          <w:lang w:val="en-US" w:eastAsia="zh-CN"/>
        </w:rPr>
        <w:t>•</w:t>
      </w:r>
      <w:r w:rsidRPr="00356B85">
        <w:rPr>
          <w:lang w:val="en-US" w:eastAsia="zh-CN"/>
        </w:rPr>
        <w:tab/>
        <w:t>Network operators</w:t>
      </w:r>
    </w:p>
    <w:p w14:paraId="42552A59" w14:textId="7CF60CD1" w:rsidR="00356B85" w:rsidRDefault="00356B85" w:rsidP="00356B85">
      <w:pPr>
        <w:rPr>
          <w:lang w:val="en-US" w:eastAsia="zh-CN"/>
        </w:rPr>
      </w:pPr>
      <w:r w:rsidRPr="00356B85">
        <w:rPr>
          <w:lang w:val="en-US" w:eastAsia="zh-CN"/>
        </w:rPr>
        <w:t>•</w:t>
      </w:r>
      <w:r w:rsidRPr="00356B85">
        <w:rPr>
          <w:lang w:val="en-US" w:eastAsia="zh-CN"/>
        </w:rPr>
        <w:tab/>
      </w:r>
      <w:r w:rsidR="00FD666C">
        <w:rPr>
          <w:lang w:val="en-US" w:eastAsia="zh-CN"/>
        </w:rPr>
        <w:t>The p</w:t>
      </w:r>
      <w:r w:rsidRPr="00356B85">
        <w:rPr>
          <w:lang w:val="en-US" w:eastAsia="zh-CN"/>
        </w:rPr>
        <w:t>ublic</w:t>
      </w:r>
    </w:p>
    <w:p w14:paraId="58468115" w14:textId="0656A058" w:rsidR="00AA662C" w:rsidRPr="00185363" w:rsidRDefault="00AA662C" w:rsidP="00356B85">
      <w:pPr>
        <w:rPr>
          <w:lang w:eastAsia="zh-CN"/>
        </w:rPr>
      </w:pPr>
      <w:r w:rsidRPr="00F06651">
        <w:rPr>
          <w:lang w:eastAsia="zh-CN"/>
        </w:rPr>
        <w:t>This Te</w:t>
      </w:r>
      <w:r w:rsidRPr="00185363">
        <w:rPr>
          <w:lang w:eastAsia="zh-CN"/>
        </w:rPr>
        <w:t xml:space="preserve">chnical Report provides guidance on </w:t>
      </w:r>
      <w:r w:rsidR="00FD666C">
        <w:rPr>
          <w:lang w:eastAsia="zh-CN"/>
        </w:rPr>
        <w:t xml:space="preserve">the </w:t>
      </w:r>
      <w:r w:rsidRPr="00185363">
        <w:rPr>
          <w:lang w:eastAsia="zh-CN"/>
        </w:rPr>
        <w:t>implementation of good polic</w:t>
      </w:r>
      <w:r w:rsidR="00FD666C">
        <w:rPr>
          <w:lang w:eastAsia="zh-CN"/>
        </w:rPr>
        <w:t>ies</w:t>
      </w:r>
      <w:r w:rsidRPr="00185363">
        <w:rPr>
          <w:lang w:eastAsia="zh-CN"/>
        </w:rPr>
        <w:t xml:space="preserve"> for wireless networks and promotes the efficient deployment of smart sustainable cit</w:t>
      </w:r>
      <w:r w:rsidR="00FD666C">
        <w:rPr>
          <w:lang w:eastAsia="zh-CN"/>
        </w:rPr>
        <w:t>i</w:t>
      </w:r>
      <w:r w:rsidRPr="00185363">
        <w:rPr>
          <w:lang w:eastAsia="zh-CN"/>
        </w:rPr>
        <w:t>es strategies.</w:t>
      </w:r>
      <w:r w:rsidR="0049069D">
        <w:rPr>
          <w:lang w:eastAsia="zh-CN"/>
        </w:rPr>
        <w:t xml:space="preserve"> </w:t>
      </w:r>
    </w:p>
    <w:p w14:paraId="23D2D9EC" w14:textId="77777777" w:rsidR="00AA662C" w:rsidRPr="00185363" w:rsidRDefault="00AA662C" w:rsidP="00715790">
      <w:pPr>
        <w:rPr>
          <w:lang w:eastAsia="zh-CN"/>
        </w:rPr>
      </w:pPr>
      <w:r w:rsidRPr="00185363">
        <w:rPr>
          <w:lang w:eastAsia="zh-CN"/>
        </w:rPr>
        <w:t xml:space="preserve">This </w:t>
      </w:r>
      <w:r w:rsidR="00FD666C">
        <w:rPr>
          <w:lang w:eastAsia="zh-CN"/>
        </w:rPr>
        <w:t xml:space="preserve">Technical </w:t>
      </w:r>
      <w:r w:rsidR="00715790">
        <w:rPr>
          <w:lang w:eastAsia="zh-CN"/>
        </w:rPr>
        <w:t>R</w:t>
      </w:r>
      <w:r w:rsidRPr="00185363">
        <w:rPr>
          <w:lang w:eastAsia="zh-CN"/>
        </w:rPr>
        <w:t>eport features a ‘Smart Sustainable City EMF Check</w:t>
      </w:r>
      <w:r w:rsidR="00D47DC8">
        <w:rPr>
          <w:lang w:eastAsia="zh-CN"/>
        </w:rPr>
        <w:t>-</w:t>
      </w:r>
      <w:r w:rsidRPr="00185363">
        <w:rPr>
          <w:lang w:eastAsia="zh-CN"/>
        </w:rPr>
        <w:t>list’ designed to provide city officials and planners with a clear and easy-to-use reference, in order to ensure the efficient operation of smart city designs while complying with EMF safety standards (refer to Annex 1 for the check</w:t>
      </w:r>
      <w:r w:rsidR="00D47DC8">
        <w:rPr>
          <w:lang w:eastAsia="zh-CN"/>
        </w:rPr>
        <w:t>-</w:t>
      </w:r>
      <w:r w:rsidRPr="00185363">
        <w:rPr>
          <w:lang w:eastAsia="zh-CN"/>
        </w:rPr>
        <w:t>list).</w:t>
      </w:r>
    </w:p>
    <w:p w14:paraId="6AFEFDA9" w14:textId="77777777" w:rsidR="00AA662C" w:rsidRPr="00185363" w:rsidRDefault="00AA662C" w:rsidP="00185363">
      <w:pPr>
        <w:rPr>
          <w:bCs/>
          <w:kern w:val="36"/>
          <w:lang w:eastAsia="en-AU"/>
        </w:rPr>
      </w:pPr>
      <w:r w:rsidRPr="00185363">
        <w:rPr>
          <w:lang w:eastAsia="zh-CN"/>
        </w:rPr>
        <w:t>This Technical Report is not intended as a substitute for national EMF and wireless antenna siting requirements</w:t>
      </w:r>
      <w:r w:rsidRPr="00185363">
        <w:rPr>
          <w:bCs/>
          <w:kern w:val="36"/>
          <w:lang w:eastAsia="en-AU"/>
        </w:rPr>
        <w:t>.</w:t>
      </w:r>
      <w:bookmarkEnd w:id="22"/>
      <w:bookmarkEnd w:id="23"/>
      <w:r w:rsidRPr="00185363">
        <w:rPr>
          <w:bCs/>
          <w:kern w:val="36"/>
          <w:lang w:eastAsia="en-AU"/>
        </w:rPr>
        <w:t xml:space="preserve"> </w:t>
      </w:r>
    </w:p>
    <w:p w14:paraId="53562ECF" w14:textId="1B7765C6" w:rsidR="00AA662C" w:rsidRPr="00F06651" w:rsidRDefault="00AA662C" w:rsidP="00185363">
      <w:pPr>
        <w:rPr>
          <w:bCs/>
          <w:kern w:val="36"/>
          <w:lang w:eastAsia="en-AU"/>
        </w:rPr>
      </w:pPr>
      <w:r w:rsidRPr="00185363">
        <w:rPr>
          <w:lang w:eastAsia="zh-CN"/>
        </w:rPr>
        <w:t>Guidanc</w:t>
      </w:r>
      <w:r w:rsidRPr="00F06651">
        <w:rPr>
          <w:lang w:eastAsia="zh-CN"/>
        </w:rPr>
        <w:t xml:space="preserve">e on terms and definitions in relation to smart sustainable cities can be found in related publications and </w:t>
      </w:r>
      <w:r w:rsidR="004C37E7">
        <w:rPr>
          <w:lang w:eastAsia="zh-CN"/>
        </w:rPr>
        <w:t xml:space="preserve">Technical Reports from the ITU-T </w:t>
      </w:r>
      <w:r w:rsidRPr="00F06651">
        <w:rPr>
          <w:lang w:eastAsia="zh-CN"/>
        </w:rPr>
        <w:t>Focus Group on Smart Sustainable Cities.</w:t>
      </w:r>
      <w:r w:rsidR="001C2372">
        <w:rPr>
          <w:lang w:eastAsia="zh-CN"/>
        </w:rPr>
        <w:t xml:space="preserve"> </w:t>
      </w:r>
      <w:r w:rsidRPr="00F06651">
        <w:rPr>
          <w:lang w:eastAsia="zh-CN"/>
        </w:rPr>
        <w:t>Abb</w:t>
      </w:r>
      <w:r w:rsidR="004C37E7">
        <w:rPr>
          <w:lang w:eastAsia="zh-CN"/>
        </w:rPr>
        <w:t xml:space="preserve">reviations and acronyms </w:t>
      </w:r>
      <w:r w:rsidR="00FD666C">
        <w:rPr>
          <w:lang w:eastAsia="zh-CN"/>
        </w:rPr>
        <w:t>are</w:t>
      </w:r>
      <w:r w:rsidRPr="00F06651">
        <w:rPr>
          <w:lang w:eastAsia="zh-CN"/>
        </w:rPr>
        <w:t xml:space="preserve"> in Annex 4.</w:t>
      </w:r>
    </w:p>
    <w:p w14:paraId="2C4EA320" w14:textId="77777777" w:rsidR="00AA662C" w:rsidRDefault="00AA662C" w:rsidP="00185363">
      <w:pPr>
        <w:pStyle w:val="Heading2"/>
        <w:rPr>
          <w:rFonts w:eastAsia="SimSun"/>
          <w:bCs/>
          <w:kern w:val="36"/>
          <w:szCs w:val="24"/>
          <w:lang w:eastAsia="en-AU"/>
        </w:rPr>
      </w:pPr>
      <w:bookmarkStart w:id="24" w:name="_Toc397945028"/>
      <w:bookmarkStart w:id="25" w:name="_Toc400020854"/>
      <w:bookmarkStart w:id="26" w:name="_Toc400106122"/>
      <w:r>
        <w:rPr>
          <w:lang w:eastAsia="en-AU"/>
        </w:rPr>
        <w:t>1.2</w:t>
      </w:r>
      <w:r>
        <w:rPr>
          <w:lang w:eastAsia="en-AU"/>
        </w:rPr>
        <w:tab/>
      </w:r>
      <w:r w:rsidRPr="00F06651">
        <w:rPr>
          <w:lang w:eastAsia="en-AU"/>
        </w:rPr>
        <w:t>Background</w:t>
      </w:r>
      <w:bookmarkEnd w:id="24"/>
      <w:bookmarkEnd w:id="25"/>
      <w:bookmarkEnd w:id="26"/>
    </w:p>
    <w:p w14:paraId="5FD4D9FD" w14:textId="1C0A2624" w:rsidR="00AA662C" w:rsidRPr="00F06651" w:rsidRDefault="00AA662C" w:rsidP="00185363">
      <w:pPr>
        <w:rPr>
          <w:lang w:eastAsia="en-AU"/>
        </w:rPr>
      </w:pPr>
      <w:r w:rsidRPr="00F06651">
        <w:rPr>
          <w:lang w:eastAsia="en-AU"/>
        </w:rPr>
        <w:t xml:space="preserve">Some countries around the world have witnessed the opposition of local stakeholders to the deployment of mobile network antenna sites, and similar </w:t>
      </w:r>
      <w:r w:rsidR="00771429">
        <w:rPr>
          <w:lang w:eastAsia="en-AU"/>
        </w:rPr>
        <w:t>s</w:t>
      </w:r>
      <w:r w:rsidRPr="00F06651">
        <w:rPr>
          <w:lang w:eastAsia="en-AU"/>
        </w:rPr>
        <w:t xml:space="preserve">mart </w:t>
      </w:r>
      <w:r w:rsidR="00771429">
        <w:rPr>
          <w:lang w:eastAsia="en-AU"/>
        </w:rPr>
        <w:t>s</w:t>
      </w:r>
      <w:r w:rsidRPr="00F06651">
        <w:rPr>
          <w:lang w:eastAsia="en-AU"/>
        </w:rPr>
        <w:t xml:space="preserve">ustainable </w:t>
      </w:r>
      <w:r w:rsidR="00771429">
        <w:rPr>
          <w:lang w:eastAsia="en-AU"/>
        </w:rPr>
        <w:t>c</w:t>
      </w:r>
      <w:r w:rsidRPr="00F06651">
        <w:rPr>
          <w:lang w:eastAsia="en-AU"/>
        </w:rPr>
        <w:t xml:space="preserve">ity wireless infrastructure. This opposition may be linked to concerns about potential health risks caused by the exposure to EMF, as well as to concerns about aesthetics, impacts on property values, or issues such as privacy of information. With respect to EMF exposure, these fields are imperceptible and unknown </w:t>
      </w:r>
      <w:r w:rsidRPr="00F06651">
        <w:rPr>
          <w:lang w:eastAsia="en-AU"/>
        </w:rPr>
        <w:lastRenderedPageBreak/>
        <w:t>for the general public. This unawareness and imperceptibility can generate public distrust and rejection, which in turn can result in social conflicts and lead to delays in the deployment of new wireless technologies. In this context</w:t>
      </w:r>
      <w:r w:rsidR="00771429">
        <w:rPr>
          <w:lang w:eastAsia="en-AU"/>
        </w:rPr>
        <w:t>,</w:t>
      </w:r>
      <w:r w:rsidRPr="00F06651">
        <w:rPr>
          <w:lang w:eastAsia="en-AU"/>
        </w:rPr>
        <w:t xml:space="preserve"> city officials and elected representatives need to develop transparent policies and mechanisms for the implementation of wireless facilities.</w:t>
      </w:r>
    </w:p>
    <w:p w14:paraId="03BBB72D" w14:textId="77777777" w:rsidR="001C2372" w:rsidRDefault="001C2372">
      <w:pPr>
        <w:tabs>
          <w:tab w:val="clear" w:pos="794"/>
          <w:tab w:val="clear" w:pos="1191"/>
          <w:tab w:val="clear" w:pos="1588"/>
          <w:tab w:val="clear" w:pos="1985"/>
        </w:tabs>
        <w:overflowPunct/>
        <w:autoSpaceDE/>
        <w:autoSpaceDN/>
        <w:adjustRightInd/>
        <w:spacing w:before="0"/>
        <w:jc w:val="left"/>
        <w:textAlignment w:val="auto"/>
        <w:rPr>
          <w:rFonts w:eastAsia="Calibri"/>
          <w:b/>
          <w:szCs w:val="24"/>
        </w:rPr>
      </w:pPr>
      <w:bookmarkStart w:id="27" w:name="_Toc397945032"/>
      <w:bookmarkStart w:id="28" w:name="_Toc400020855"/>
      <w:r>
        <w:rPr>
          <w:rFonts w:eastAsia="Calibri"/>
          <w:szCs w:val="24"/>
        </w:rPr>
        <w:br w:type="page"/>
      </w:r>
    </w:p>
    <w:p w14:paraId="536EDAEA" w14:textId="77777777" w:rsidR="00AA662C" w:rsidRPr="00185363" w:rsidRDefault="00AA662C" w:rsidP="00185363">
      <w:pPr>
        <w:pStyle w:val="Heading1"/>
      </w:pPr>
      <w:bookmarkStart w:id="29" w:name="_Toc400106123"/>
      <w:r w:rsidRPr="00F06651">
        <w:rPr>
          <w:rFonts w:eastAsia="Calibri"/>
          <w:szCs w:val="24"/>
        </w:rPr>
        <w:lastRenderedPageBreak/>
        <w:t>2</w:t>
      </w:r>
      <w:r w:rsidRPr="00F06651">
        <w:rPr>
          <w:rFonts w:eastAsia="Calibri"/>
          <w:szCs w:val="24"/>
        </w:rPr>
        <w:tab/>
      </w:r>
      <w:r w:rsidRPr="00185363">
        <w:t>ICTs and EMF</w:t>
      </w:r>
      <w:bookmarkEnd w:id="27"/>
      <w:bookmarkEnd w:id="28"/>
      <w:bookmarkEnd w:id="29"/>
      <w:r w:rsidRPr="00185363">
        <w:t xml:space="preserve"> </w:t>
      </w:r>
    </w:p>
    <w:p w14:paraId="5ED12B3B" w14:textId="4763FE5A" w:rsidR="00AA662C" w:rsidRPr="00F06651" w:rsidRDefault="00AA662C" w:rsidP="00185363">
      <w:pPr>
        <w:rPr>
          <w:lang w:eastAsia="en-AU"/>
        </w:rPr>
      </w:pPr>
      <w:r w:rsidRPr="00F06651">
        <w:rPr>
          <w:lang w:eastAsia="en-AU"/>
        </w:rPr>
        <w:t xml:space="preserve">Radio communications and wireless systems are a part of everyday life in today's society. All radio communications systems </w:t>
      </w:r>
      <w:r w:rsidR="00771429">
        <w:rPr>
          <w:lang w:eastAsia="en-AU"/>
        </w:rPr>
        <w:t>use</w:t>
      </w:r>
      <w:r w:rsidRPr="00F06651">
        <w:rPr>
          <w:lang w:eastAsia="en-AU"/>
        </w:rPr>
        <w:t xml:space="preserve"> EMF in the </w:t>
      </w:r>
      <w:r w:rsidR="00771429">
        <w:rPr>
          <w:lang w:eastAsia="en-AU"/>
        </w:rPr>
        <w:t>r</w:t>
      </w:r>
      <w:r w:rsidRPr="00F06651">
        <w:rPr>
          <w:lang w:eastAsia="en-AU"/>
        </w:rPr>
        <w:t xml:space="preserve">adio </w:t>
      </w:r>
      <w:r w:rsidR="00771429">
        <w:rPr>
          <w:lang w:eastAsia="en-AU"/>
        </w:rPr>
        <w:t>f</w:t>
      </w:r>
      <w:r w:rsidRPr="00F06651">
        <w:rPr>
          <w:lang w:eastAsia="en-AU"/>
        </w:rPr>
        <w:t xml:space="preserve">requency (RF) part of the electromagnetic spectrum. </w:t>
      </w:r>
      <w:r w:rsidRPr="00F06651">
        <w:rPr>
          <w:szCs w:val="22"/>
          <w:lang w:eastAsia="zh-CN"/>
        </w:rPr>
        <w:t xml:space="preserve">Wireless networks provide vital infrastructure and the underlying connections supporting the </w:t>
      </w:r>
      <w:r w:rsidR="00771429">
        <w:rPr>
          <w:szCs w:val="22"/>
          <w:lang w:eastAsia="zh-CN"/>
        </w:rPr>
        <w:t>i</w:t>
      </w:r>
      <w:r w:rsidRPr="00F06651">
        <w:rPr>
          <w:szCs w:val="22"/>
          <w:lang w:eastAsia="zh-CN"/>
        </w:rPr>
        <w:t xml:space="preserve">nformation and </w:t>
      </w:r>
      <w:r w:rsidR="00771429">
        <w:rPr>
          <w:szCs w:val="22"/>
          <w:lang w:eastAsia="zh-CN"/>
        </w:rPr>
        <w:t>c</w:t>
      </w:r>
      <w:r w:rsidRPr="00F06651">
        <w:rPr>
          <w:szCs w:val="22"/>
          <w:lang w:eastAsia="zh-CN"/>
        </w:rPr>
        <w:t xml:space="preserve">ommunication </w:t>
      </w:r>
      <w:r w:rsidR="00771429">
        <w:rPr>
          <w:szCs w:val="22"/>
          <w:lang w:eastAsia="zh-CN"/>
        </w:rPr>
        <w:t>t</w:t>
      </w:r>
      <w:r w:rsidRPr="00F06651">
        <w:rPr>
          <w:szCs w:val="22"/>
          <w:lang w:eastAsia="zh-CN"/>
        </w:rPr>
        <w:t xml:space="preserve">echnologies (ICTs) for </w:t>
      </w:r>
      <w:r w:rsidR="00771429">
        <w:rPr>
          <w:szCs w:val="22"/>
          <w:lang w:eastAsia="zh-CN"/>
        </w:rPr>
        <w:t>s</w:t>
      </w:r>
      <w:r w:rsidRPr="00F06651">
        <w:rPr>
          <w:szCs w:val="22"/>
          <w:lang w:eastAsia="zh-CN"/>
        </w:rPr>
        <w:t xml:space="preserve">mart </w:t>
      </w:r>
      <w:r w:rsidR="00771429">
        <w:rPr>
          <w:szCs w:val="22"/>
          <w:lang w:eastAsia="zh-CN"/>
        </w:rPr>
        <w:t>s</w:t>
      </w:r>
      <w:r w:rsidRPr="00F06651">
        <w:rPr>
          <w:szCs w:val="22"/>
          <w:lang w:eastAsia="zh-CN"/>
        </w:rPr>
        <w:t xml:space="preserve">ustainable </w:t>
      </w:r>
      <w:r w:rsidR="00771429">
        <w:rPr>
          <w:szCs w:val="22"/>
          <w:lang w:eastAsia="zh-CN"/>
        </w:rPr>
        <w:t>c</w:t>
      </w:r>
      <w:r w:rsidRPr="00F06651">
        <w:rPr>
          <w:szCs w:val="22"/>
          <w:lang w:eastAsia="zh-CN"/>
        </w:rPr>
        <w:t>ities (SSC).</w:t>
      </w:r>
      <w:r w:rsidR="0049069D">
        <w:rPr>
          <w:lang w:eastAsia="en-AU"/>
        </w:rPr>
        <w:t xml:space="preserve"> </w:t>
      </w:r>
    </w:p>
    <w:p w14:paraId="197469AD" w14:textId="77777777" w:rsidR="00AA662C" w:rsidRPr="00F06651" w:rsidRDefault="00AA662C" w:rsidP="00185363">
      <w:pPr>
        <w:pStyle w:val="Heading2"/>
        <w:rPr>
          <w:rFonts w:eastAsia="Calibri"/>
          <w:szCs w:val="24"/>
          <w:lang w:eastAsia="en-AU"/>
        </w:rPr>
      </w:pPr>
      <w:bookmarkStart w:id="30" w:name="_Toc397945033"/>
      <w:bookmarkStart w:id="31" w:name="_Toc400020856"/>
      <w:bookmarkStart w:id="32" w:name="_Toc400106124"/>
      <w:r w:rsidRPr="00F06651">
        <w:rPr>
          <w:rFonts w:eastAsia="Calibri"/>
          <w:szCs w:val="24"/>
          <w:lang w:eastAsia="en-AU"/>
        </w:rPr>
        <w:t xml:space="preserve">2.1 </w:t>
      </w:r>
      <w:r w:rsidRPr="00F06651">
        <w:rPr>
          <w:rFonts w:eastAsia="Calibri"/>
          <w:szCs w:val="24"/>
          <w:lang w:eastAsia="en-AU"/>
        </w:rPr>
        <w:tab/>
      </w:r>
      <w:r w:rsidRPr="00185363">
        <w:t>How wireless networks support ICT services</w:t>
      </w:r>
      <w:bookmarkEnd w:id="30"/>
      <w:r w:rsidRPr="00185363">
        <w:t>?</w:t>
      </w:r>
      <w:bookmarkEnd w:id="31"/>
      <w:bookmarkEnd w:id="32"/>
    </w:p>
    <w:p w14:paraId="2206D343" w14:textId="62218E25" w:rsidR="00AA662C" w:rsidRPr="00F06651" w:rsidRDefault="00AA662C" w:rsidP="00185363">
      <w:pPr>
        <w:rPr>
          <w:lang w:eastAsia="zh-CN"/>
        </w:rPr>
      </w:pPr>
      <w:r w:rsidRPr="00F06651">
        <w:rPr>
          <w:lang w:eastAsia="zh-CN"/>
        </w:rPr>
        <w:t>The connected devices in our homes, businesses and communit</w:t>
      </w:r>
      <w:r w:rsidR="00771429">
        <w:rPr>
          <w:lang w:eastAsia="zh-CN"/>
        </w:rPr>
        <w:t>ies</w:t>
      </w:r>
      <w:r w:rsidRPr="00F06651">
        <w:rPr>
          <w:lang w:eastAsia="zh-CN"/>
        </w:rPr>
        <w:t xml:space="preserve"> are linked together through dedicated wireless networks. Connected devices typically operate at very low power and over short distances.</w:t>
      </w:r>
    </w:p>
    <w:p w14:paraId="7AE37AC4" w14:textId="77777777" w:rsidR="00AA662C" w:rsidRPr="00F06651" w:rsidRDefault="00AA662C" w:rsidP="00185363">
      <w:pPr>
        <w:rPr>
          <w:lang w:eastAsia="zh-CN"/>
        </w:rPr>
      </w:pPr>
      <w:r w:rsidRPr="00F06651">
        <w:rPr>
          <w:lang w:eastAsia="zh-CN"/>
        </w:rPr>
        <w:t>For example</w:t>
      </w:r>
      <w:r w:rsidR="00771429">
        <w:rPr>
          <w:lang w:eastAsia="zh-CN"/>
        </w:rPr>
        <w:t>,</w:t>
      </w:r>
      <w:r w:rsidRPr="00F06651">
        <w:rPr>
          <w:lang w:eastAsia="zh-CN"/>
        </w:rPr>
        <w:t xml:space="preserve"> the connected devices in a home can use a large number of radio access technologies, such as Wi-Fi, Bluetooth or protocols based on 434 or 868 MHz unlicensed services using </w:t>
      </w:r>
      <w:r w:rsidR="00771429">
        <w:rPr>
          <w:lang w:eastAsia="zh-CN"/>
        </w:rPr>
        <w:t>industrial, scientific, and medical (</w:t>
      </w:r>
      <w:r w:rsidRPr="00F06651">
        <w:rPr>
          <w:lang w:eastAsia="zh-CN"/>
        </w:rPr>
        <w:t>ISM</w:t>
      </w:r>
      <w:r w:rsidR="00771429">
        <w:rPr>
          <w:lang w:eastAsia="zh-CN"/>
        </w:rPr>
        <w:t>)</w:t>
      </w:r>
      <w:r w:rsidRPr="00F06651">
        <w:rPr>
          <w:lang w:eastAsia="zh-CN"/>
        </w:rPr>
        <w:t xml:space="preserve"> spectrum as well as mobile networks. </w:t>
      </w:r>
    </w:p>
    <w:p w14:paraId="03E9B1B6" w14:textId="77777777" w:rsidR="00AA662C" w:rsidRPr="00F06651" w:rsidRDefault="00AA662C" w:rsidP="00185363">
      <w:pPr>
        <w:rPr>
          <w:lang w:eastAsia="zh-CN"/>
        </w:rPr>
      </w:pPr>
      <w:r w:rsidRPr="00F06651">
        <w:rPr>
          <w:lang w:eastAsia="zh-CN"/>
        </w:rPr>
        <w:t>Connected devices in larger buildings such as hospitals, universities and schools typically use dedicated wireless systems with antennas distributed throughout the facility.</w:t>
      </w:r>
    </w:p>
    <w:p w14:paraId="37533403" w14:textId="7ACF2B57" w:rsidR="00AA662C" w:rsidRPr="00F06651" w:rsidRDefault="00AA662C" w:rsidP="00185363">
      <w:pPr>
        <w:rPr>
          <w:lang w:eastAsia="zh-CN"/>
        </w:rPr>
      </w:pPr>
      <w:r w:rsidRPr="00F06651">
        <w:rPr>
          <w:lang w:eastAsia="zh-CN"/>
        </w:rPr>
        <w:t xml:space="preserve">Other wireless systems in our communities include, among other RF sources, </w:t>
      </w:r>
      <w:r w:rsidR="0008727E">
        <w:rPr>
          <w:lang w:eastAsia="zh-CN"/>
        </w:rPr>
        <w:t>television (</w:t>
      </w:r>
      <w:r w:rsidRPr="00F06651">
        <w:rPr>
          <w:lang w:eastAsia="zh-CN"/>
        </w:rPr>
        <w:t>TV</w:t>
      </w:r>
      <w:r w:rsidR="0008727E">
        <w:rPr>
          <w:lang w:eastAsia="zh-CN"/>
        </w:rPr>
        <w:t>)</w:t>
      </w:r>
      <w:r w:rsidRPr="00F06651">
        <w:rPr>
          <w:lang w:eastAsia="zh-CN"/>
        </w:rPr>
        <w:t xml:space="preserve"> broadcast, </w:t>
      </w:r>
      <w:r w:rsidR="0008727E">
        <w:rPr>
          <w:lang w:eastAsia="zh-CN"/>
        </w:rPr>
        <w:t>amplitude modulation (</w:t>
      </w:r>
      <w:r w:rsidRPr="00F06651">
        <w:rPr>
          <w:lang w:eastAsia="zh-CN"/>
        </w:rPr>
        <w:t>AM</w:t>
      </w:r>
      <w:r w:rsidR="0008727E">
        <w:rPr>
          <w:lang w:eastAsia="zh-CN"/>
        </w:rPr>
        <w:t>)</w:t>
      </w:r>
      <w:r w:rsidRPr="00F06651">
        <w:rPr>
          <w:lang w:eastAsia="zh-CN"/>
        </w:rPr>
        <w:t xml:space="preserve"> and </w:t>
      </w:r>
      <w:r w:rsidR="0008727E">
        <w:rPr>
          <w:lang w:eastAsia="zh-CN"/>
        </w:rPr>
        <w:t>frequency modulation (</w:t>
      </w:r>
      <w:r w:rsidRPr="00F06651">
        <w:rPr>
          <w:lang w:eastAsia="zh-CN"/>
        </w:rPr>
        <w:t>FM</w:t>
      </w:r>
      <w:r w:rsidR="0008727E">
        <w:rPr>
          <w:lang w:eastAsia="zh-CN"/>
        </w:rPr>
        <w:t>)</w:t>
      </w:r>
      <w:r w:rsidRPr="00F06651">
        <w:rPr>
          <w:lang w:eastAsia="zh-CN"/>
        </w:rPr>
        <w:t xml:space="preserve"> radio broadcasting, mobile phones and their base stations, wireless broadband, paging services, cordless phones, baby monitors, emergency services (for example, police, fire, ambulance) as well as</w:t>
      </w:r>
      <w:r w:rsidR="0049069D">
        <w:rPr>
          <w:lang w:eastAsia="zh-CN"/>
        </w:rPr>
        <w:t xml:space="preserve"> </w:t>
      </w:r>
      <w:r w:rsidRPr="00F06651">
        <w:rPr>
          <w:lang w:eastAsia="zh-CN"/>
        </w:rPr>
        <w:t xml:space="preserve">rural and country communications, such as wireless local loop technologies and </w:t>
      </w:r>
      <w:r w:rsidR="0008727E">
        <w:rPr>
          <w:lang w:eastAsia="zh-CN"/>
        </w:rPr>
        <w:t>high frequency (</w:t>
      </w:r>
      <w:r w:rsidRPr="00F06651">
        <w:rPr>
          <w:lang w:eastAsia="zh-CN"/>
        </w:rPr>
        <w:t>HF</w:t>
      </w:r>
      <w:r w:rsidR="0008727E">
        <w:rPr>
          <w:lang w:eastAsia="zh-CN"/>
        </w:rPr>
        <w:t>)</w:t>
      </w:r>
      <w:r w:rsidRPr="00F06651">
        <w:rPr>
          <w:lang w:eastAsia="zh-CN"/>
        </w:rPr>
        <w:t xml:space="preserve"> </w:t>
      </w:r>
      <w:r w:rsidR="0008727E">
        <w:rPr>
          <w:lang w:eastAsia="zh-CN"/>
        </w:rPr>
        <w:t>two</w:t>
      </w:r>
      <w:r w:rsidRPr="00F06651">
        <w:rPr>
          <w:lang w:eastAsia="zh-CN"/>
        </w:rPr>
        <w:t xml:space="preserve">-way radio. Some common RF transmitter sources and their typical operating powers are shown in </w:t>
      </w:r>
      <w:r w:rsidR="0008727E">
        <w:rPr>
          <w:lang w:eastAsia="zh-CN"/>
        </w:rPr>
        <w:t>F</w:t>
      </w:r>
      <w:r w:rsidRPr="00F06651">
        <w:rPr>
          <w:lang w:eastAsia="zh-CN"/>
        </w:rPr>
        <w:t>igure</w:t>
      </w:r>
      <w:r w:rsidR="0008727E">
        <w:rPr>
          <w:lang w:eastAsia="zh-CN"/>
        </w:rPr>
        <w:t xml:space="preserve"> 1</w:t>
      </w:r>
      <w:r w:rsidRPr="00F06651">
        <w:rPr>
          <w:lang w:eastAsia="zh-CN"/>
        </w:rPr>
        <w:t>. More information is provided in Table 1 of section 2.4.</w:t>
      </w:r>
    </w:p>
    <w:p w14:paraId="0DFF26F7" w14:textId="77777777" w:rsidR="00AA662C" w:rsidRPr="00F06651" w:rsidRDefault="00AA662C" w:rsidP="00185363">
      <w:pPr>
        <w:pStyle w:val="Figure"/>
        <w:rPr>
          <w:lang w:eastAsia="zh-CN"/>
        </w:rPr>
      </w:pPr>
      <w:r w:rsidRPr="00F06651">
        <w:rPr>
          <w:noProof/>
          <w:lang w:val="en-US" w:eastAsia="zh-CN"/>
        </w:rPr>
        <w:drawing>
          <wp:inline distT="0" distB="0" distL="0" distR="0" wp14:anchorId="79A872D6" wp14:editId="4E4A81DD">
            <wp:extent cx="5833110" cy="3890959"/>
            <wp:effectExtent l="19050" t="0" r="0" b="0"/>
            <wp:docPr id="21" name="Picture 13" descr="EME_57_ITU_Graphics_1000px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7_ITU_Graphics_1000px_FIG1.jpg"/>
                    <pic:cNvPicPr/>
                  </pic:nvPicPr>
                  <pic:blipFill>
                    <a:blip r:embed="rId14" cstate="print"/>
                    <a:stretch>
                      <a:fillRect/>
                    </a:stretch>
                  </pic:blipFill>
                  <pic:spPr>
                    <a:xfrm>
                      <a:off x="0" y="0"/>
                      <a:ext cx="5830690" cy="3889345"/>
                    </a:xfrm>
                    <a:prstGeom prst="rect">
                      <a:avLst/>
                    </a:prstGeom>
                  </pic:spPr>
                </pic:pic>
              </a:graphicData>
            </a:graphic>
          </wp:inline>
        </w:drawing>
      </w:r>
    </w:p>
    <w:p w14:paraId="10869D56" w14:textId="77777777" w:rsidR="00404FDB" w:rsidRDefault="00404FDB" w:rsidP="00404FDB">
      <w:pPr>
        <w:pStyle w:val="Note"/>
        <w:jc w:val="left"/>
        <w:rPr>
          <w:b/>
          <w:lang w:eastAsia="zh-CN"/>
        </w:rPr>
      </w:pPr>
      <w:r w:rsidRPr="00F06651">
        <w:rPr>
          <w:lang w:eastAsia="zh-CN"/>
        </w:rPr>
        <w:t xml:space="preserve">NOTE </w:t>
      </w:r>
      <w:r>
        <w:rPr>
          <w:lang w:eastAsia="zh-CN"/>
        </w:rPr>
        <w:t>–</w:t>
      </w:r>
      <w:r w:rsidRPr="00F06651">
        <w:rPr>
          <w:lang w:eastAsia="zh-CN"/>
        </w:rPr>
        <w:t xml:space="preserve"> Power in watts = transmitter power into the antenna.</w:t>
      </w:r>
      <w:r>
        <w:rPr>
          <w:lang w:eastAsia="zh-CN"/>
        </w:rPr>
        <w:t xml:space="preserve"> </w:t>
      </w:r>
      <w:r>
        <w:rPr>
          <w:lang w:eastAsia="zh-CN"/>
        </w:rPr>
        <w:br/>
      </w:r>
      <w:r w:rsidR="00490886">
        <w:rPr>
          <w:sz w:val="18"/>
          <w:lang w:eastAsia="en-AU"/>
        </w:rPr>
        <w:t>Source: A</w:t>
      </w:r>
      <w:r w:rsidRPr="00356B85">
        <w:rPr>
          <w:sz w:val="18"/>
          <w:lang w:eastAsia="en-AU"/>
        </w:rPr>
        <w:t xml:space="preserve">dapted from EMF Explained, available </w:t>
      </w:r>
      <w:r>
        <w:rPr>
          <w:sz w:val="18"/>
          <w:lang w:eastAsia="en-AU"/>
        </w:rPr>
        <w:t xml:space="preserve">at </w:t>
      </w:r>
      <w:hyperlink r:id="rId15" w:history="1">
        <w:r w:rsidRPr="009942EE">
          <w:rPr>
            <w:rStyle w:val="Hyperlink"/>
            <w:sz w:val="18"/>
            <w:lang w:eastAsia="en-AU"/>
          </w:rPr>
          <w:t>http://www.emfexplained.info/?ID=25186</w:t>
        </w:r>
      </w:hyperlink>
    </w:p>
    <w:p w14:paraId="174EAA49" w14:textId="3FEA63EA" w:rsidR="00AA662C" w:rsidRPr="00F06651" w:rsidRDefault="00AA662C" w:rsidP="00811C3E">
      <w:pPr>
        <w:pStyle w:val="FigureNoTitle"/>
        <w:rPr>
          <w:lang w:eastAsia="zh-CN"/>
        </w:rPr>
      </w:pPr>
      <w:r w:rsidRPr="00F06651">
        <w:rPr>
          <w:lang w:eastAsia="zh-CN"/>
        </w:rPr>
        <w:t xml:space="preserve">Figure </w:t>
      </w:r>
      <w:r w:rsidR="000E4A5B" w:rsidRPr="00F06651">
        <w:rPr>
          <w:lang w:eastAsia="zh-CN"/>
        </w:rPr>
        <w:fldChar w:fldCharType="begin"/>
      </w:r>
      <w:r w:rsidRPr="00F06651">
        <w:rPr>
          <w:lang w:eastAsia="zh-CN"/>
        </w:rPr>
        <w:instrText xml:space="preserve"> seq figure </w:instrText>
      </w:r>
      <w:r w:rsidR="000E4A5B" w:rsidRPr="00F06651">
        <w:rPr>
          <w:lang w:eastAsia="zh-CN"/>
        </w:rPr>
        <w:fldChar w:fldCharType="separate"/>
      </w:r>
      <w:bookmarkStart w:id="33" w:name="radio_in_community"/>
      <w:bookmarkEnd w:id="33"/>
      <w:r w:rsidR="008263B5">
        <w:rPr>
          <w:noProof/>
          <w:lang w:eastAsia="zh-CN"/>
        </w:rPr>
        <w:t>1</w:t>
      </w:r>
      <w:r w:rsidR="000E4A5B" w:rsidRPr="00F06651">
        <w:rPr>
          <w:lang w:eastAsia="zh-CN"/>
        </w:rPr>
        <w:fldChar w:fldCharType="end"/>
      </w:r>
      <w:r w:rsidRPr="00F06651">
        <w:rPr>
          <w:lang w:eastAsia="zh-CN"/>
        </w:rPr>
        <w:t xml:space="preserve"> </w:t>
      </w:r>
      <w:r w:rsidR="00811C3E">
        <w:rPr>
          <w:lang w:eastAsia="zh-CN"/>
        </w:rPr>
        <w:t>–</w:t>
      </w:r>
      <w:r w:rsidRPr="00F06651">
        <w:rPr>
          <w:lang w:eastAsia="zh-CN"/>
        </w:rPr>
        <w:t xml:space="preserve"> Typical </w:t>
      </w:r>
      <w:r w:rsidR="00404FDB">
        <w:rPr>
          <w:lang w:eastAsia="zh-CN"/>
        </w:rPr>
        <w:t>r</w:t>
      </w:r>
      <w:r w:rsidRPr="00F06651">
        <w:rPr>
          <w:lang w:eastAsia="zh-CN"/>
        </w:rPr>
        <w:t xml:space="preserve">adio and </w:t>
      </w:r>
      <w:r w:rsidR="00404FDB">
        <w:rPr>
          <w:lang w:eastAsia="zh-CN"/>
        </w:rPr>
        <w:t>w</w:t>
      </w:r>
      <w:r w:rsidRPr="00F06651">
        <w:rPr>
          <w:lang w:eastAsia="zh-CN"/>
        </w:rPr>
        <w:t xml:space="preserve">ireless </w:t>
      </w:r>
      <w:r w:rsidR="00404FDB">
        <w:rPr>
          <w:lang w:eastAsia="zh-CN"/>
        </w:rPr>
        <w:t>c</w:t>
      </w:r>
      <w:r w:rsidRPr="00F06651">
        <w:rPr>
          <w:lang w:eastAsia="zh-CN"/>
        </w:rPr>
        <w:t>ommunications in the community</w:t>
      </w:r>
    </w:p>
    <w:p w14:paraId="2D8B1EED" w14:textId="536380FF" w:rsidR="00AA662C" w:rsidRPr="00F06651" w:rsidRDefault="00AA662C" w:rsidP="00185363">
      <w:pPr>
        <w:pStyle w:val="Heading2"/>
        <w:rPr>
          <w:lang w:eastAsia="en-AU"/>
        </w:rPr>
      </w:pPr>
      <w:bookmarkStart w:id="34" w:name="_Toc397945034"/>
      <w:bookmarkStart w:id="35" w:name="_Toc400020857"/>
      <w:bookmarkStart w:id="36" w:name="_Toc400106125"/>
      <w:r>
        <w:rPr>
          <w:lang w:eastAsia="en-AU"/>
        </w:rPr>
        <w:lastRenderedPageBreak/>
        <w:t>2.2</w:t>
      </w:r>
      <w:r>
        <w:rPr>
          <w:lang w:eastAsia="en-AU"/>
        </w:rPr>
        <w:tab/>
      </w:r>
      <w:r w:rsidRPr="00F06651">
        <w:rPr>
          <w:lang w:eastAsia="en-AU"/>
        </w:rPr>
        <w:t xml:space="preserve">Examples of ICT </w:t>
      </w:r>
      <w:r w:rsidR="00A37578">
        <w:rPr>
          <w:lang w:eastAsia="en-AU"/>
        </w:rPr>
        <w:t>s</w:t>
      </w:r>
      <w:r w:rsidRPr="00F06651">
        <w:rPr>
          <w:lang w:eastAsia="en-AU"/>
        </w:rPr>
        <w:t>ystems connected by wireless networks</w:t>
      </w:r>
      <w:bookmarkEnd w:id="34"/>
      <w:bookmarkEnd w:id="35"/>
      <w:bookmarkEnd w:id="36"/>
    </w:p>
    <w:p w14:paraId="4D2E46C9" w14:textId="77777777" w:rsidR="00AA662C" w:rsidRPr="00F06651" w:rsidRDefault="00AA662C" w:rsidP="00185363">
      <w:pPr>
        <w:rPr>
          <w:rFonts w:ascii="Calibri" w:hAnsi="Calibri"/>
          <w:lang w:eastAsia="zh-CN"/>
        </w:rPr>
      </w:pPr>
      <w:r w:rsidRPr="00F06651">
        <w:rPr>
          <w:lang w:eastAsia="zh-CN"/>
        </w:rPr>
        <w:t xml:space="preserve">This section describes some of the SSC applications that can be supported by wireless networks. </w:t>
      </w:r>
    </w:p>
    <w:p w14:paraId="035E5AF3" w14:textId="77777777" w:rsidR="00AA662C" w:rsidRPr="00F06651" w:rsidRDefault="00185363" w:rsidP="00185363">
      <w:pPr>
        <w:pStyle w:val="Heading3"/>
        <w:rPr>
          <w:rFonts w:ascii="Calibri" w:hAnsi="Calibri" w:cs="Arial"/>
          <w:sz w:val="22"/>
          <w:lang w:eastAsia="en-AU"/>
        </w:rPr>
      </w:pPr>
      <w:r>
        <w:rPr>
          <w:lang w:eastAsia="en-AU"/>
        </w:rPr>
        <w:t>2.2.1</w:t>
      </w:r>
      <w:r>
        <w:rPr>
          <w:lang w:eastAsia="en-AU"/>
        </w:rPr>
        <w:tab/>
      </w:r>
      <w:r w:rsidR="00AA662C" w:rsidRPr="00F06651">
        <w:rPr>
          <w:lang w:eastAsia="en-AU"/>
        </w:rPr>
        <w:t>Smart metering and power grids</w:t>
      </w:r>
    </w:p>
    <w:p w14:paraId="55D3CC28" w14:textId="77777777" w:rsidR="00AA662C" w:rsidRPr="00F06651" w:rsidRDefault="00AA662C" w:rsidP="00185363">
      <w:pPr>
        <w:rPr>
          <w:lang w:eastAsia="zh-CN"/>
        </w:rPr>
      </w:pPr>
      <w:r w:rsidRPr="00F06651">
        <w:rPr>
          <w:lang w:eastAsia="zh-CN"/>
        </w:rPr>
        <w:t>Smart metering infrastructure of the power grid enables the continuous monitoring of electricity consumption across the grid, so that the loads and distribution can be optimized and save energy. To monitor consumption, the electricity meters are connected to a wireless device at the customer premises, which communicates back to the main network control centre. The electricity network sub</w:t>
      </w:r>
      <w:r w:rsidR="00A37578">
        <w:rPr>
          <w:lang w:eastAsia="zh-CN"/>
        </w:rPr>
        <w:t>-</w:t>
      </w:r>
      <w:r w:rsidRPr="00F06651">
        <w:rPr>
          <w:lang w:eastAsia="zh-CN"/>
        </w:rPr>
        <w:t xml:space="preserve"> stations may also be connected to the main control centre through a wireless connection. Wireless connections can also be used for other services such as gas or water consumption meters.</w:t>
      </w:r>
    </w:p>
    <w:p w14:paraId="394BF6FE" w14:textId="2B58AB3A" w:rsidR="00AA662C" w:rsidRPr="00F06651" w:rsidRDefault="00AA662C" w:rsidP="00185363">
      <w:pPr>
        <w:rPr>
          <w:lang w:eastAsia="zh-CN"/>
        </w:rPr>
      </w:pPr>
      <w:r w:rsidRPr="00F06651">
        <w:rPr>
          <w:lang w:eastAsia="zh-CN"/>
        </w:rPr>
        <w:t>Wireless technologies that are used for smart metering include cellular, ZigBee, Wireless M-Bus, WiMax and other mesh radio technologies. Some meters include more than one transmitter. For example, a 900 MHz band transmitter for connection to the monitoring network and a 2.4 GHz transmitter module for connection to wirelessly enabled equipment in the home. Figure 2 shows how data from smart meters can be transferred via a long-term evolution (LTE) wireless network to a server that is accessible by the end consumer over the Internet. This arrangement can provide information on power usage, billing and may facilitate remote access for home automation or to turn-off services such as air-conditioning that is not required. Analysis by Ericsson (2013) of the solution shown in Figure 2 found that there was a net positive effect on greenhouse gas (GHG) emissions at around 1% energy savings in the home (1</w:t>
      </w:r>
      <w:r w:rsidR="00A37578">
        <w:rPr>
          <w:lang w:eastAsia="zh-CN"/>
        </w:rPr>
        <w:t>%</w:t>
      </w:r>
      <w:r w:rsidRPr="00F06651">
        <w:rPr>
          <w:lang w:eastAsia="zh-CN"/>
        </w:rPr>
        <w:t xml:space="preserve"> corresponds to a savings potential of about 80 kg of CO</w:t>
      </w:r>
      <w:r w:rsidRPr="00F06651">
        <w:rPr>
          <w:vertAlign w:val="subscript"/>
          <w:lang w:eastAsia="zh-CN"/>
        </w:rPr>
        <w:t>2</w:t>
      </w:r>
      <w:r w:rsidRPr="00F06651">
        <w:rPr>
          <w:lang w:eastAsia="zh-CN"/>
        </w:rPr>
        <w:t>e in Australia).</w:t>
      </w:r>
    </w:p>
    <w:p w14:paraId="324F4DA9" w14:textId="77777777" w:rsidR="00AA662C" w:rsidRPr="00F06651" w:rsidRDefault="00AA662C" w:rsidP="00185363">
      <w:pPr>
        <w:pStyle w:val="Figure"/>
        <w:rPr>
          <w:lang w:eastAsia="en-AU"/>
        </w:rPr>
      </w:pPr>
      <w:r w:rsidRPr="00F06651">
        <w:rPr>
          <w:noProof/>
          <w:lang w:val="en-US" w:eastAsia="zh-CN"/>
        </w:rPr>
        <w:drawing>
          <wp:inline distT="0" distB="0" distL="0" distR="0" wp14:anchorId="1B64DA86" wp14:editId="071FF4FD">
            <wp:extent cx="5547182" cy="356754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555231" cy="3572721"/>
                    </a:xfrm>
                    <a:prstGeom prst="rect">
                      <a:avLst/>
                    </a:prstGeom>
                    <a:noFill/>
                    <a:ln w="9525">
                      <a:noFill/>
                      <a:miter lim="800000"/>
                      <a:headEnd/>
                      <a:tailEnd/>
                    </a:ln>
                  </pic:spPr>
                </pic:pic>
              </a:graphicData>
            </a:graphic>
          </wp:inline>
        </w:drawing>
      </w:r>
      <w:r w:rsidRPr="00F06651">
        <w:rPr>
          <w:lang w:eastAsia="en-AU"/>
        </w:rPr>
        <w:t xml:space="preserve"> </w:t>
      </w:r>
    </w:p>
    <w:p w14:paraId="276308A4" w14:textId="77777777" w:rsidR="00A37578" w:rsidRPr="00F06651" w:rsidRDefault="00A37578" w:rsidP="00A37578">
      <w:pPr>
        <w:pStyle w:val="Figurelegend"/>
        <w:rPr>
          <w:lang w:eastAsia="en-AU"/>
        </w:rPr>
      </w:pPr>
      <w:r w:rsidRPr="00F06651">
        <w:rPr>
          <w:lang w:eastAsia="en-AU"/>
        </w:rPr>
        <w:t>Source</w:t>
      </w:r>
      <w:r>
        <w:rPr>
          <w:lang w:eastAsia="en-AU"/>
        </w:rPr>
        <w:t xml:space="preserve"> </w:t>
      </w:r>
      <w:r w:rsidRPr="00F06651">
        <w:rPr>
          <w:lang w:eastAsia="en-AU"/>
        </w:rPr>
        <w:t>Ericsson (2013)</w:t>
      </w:r>
    </w:p>
    <w:p w14:paraId="1D4F308E" w14:textId="363FB9A1" w:rsidR="00FA190F" w:rsidRDefault="00AA662C" w:rsidP="00811C3E">
      <w:pPr>
        <w:pStyle w:val="FigureNoTitle"/>
        <w:rPr>
          <w:lang w:eastAsia="en-AU"/>
        </w:rPr>
      </w:pPr>
      <w:r w:rsidRPr="00F06651">
        <w:rPr>
          <w:lang w:eastAsia="en-AU"/>
        </w:rPr>
        <w:t xml:space="preserve">Figure </w:t>
      </w:r>
      <w:r w:rsidR="00C37C93">
        <w:rPr>
          <w:noProof/>
          <w:lang w:eastAsia="en-AU"/>
        </w:rPr>
        <w:t>2</w:t>
      </w:r>
      <w:r w:rsidRPr="00F06651">
        <w:rPr>
          <w:lang w:eastAsia="en-AU"/>
        </w:rPr>
        <w:t xml:space="preserve"> </w:t>
      </w:r>
      <w:r w:rsidR="00811C3E">
        <w:rPr>
          <w:lang w:eastAsia="en-AU"/>
        </w:rPr>
        <w:t>–</w:t>
      </w:r>
      <w:r w:rsidRPr="00F06651">
        <w:rPr>
          <w:lang w:eastAsia="en-AU"/>
        </w:rPr>
        <w:t xml:space="preserve"> Smart metering solution using LTE </w:t>
      </w:r>
      <w:r w:rsidR="00A37578">
        <w:rPr>
          <w:lang w:eastAsia="en-AU"/>
        </w:rPr>
        <w:t>w</w:t>
      </w:r>
      <w:r w:rsidRPr="00F06651">
        <w:rPr>
          <w:lang w:eastAsia="en-AU"/>
        </w:rPr>
        <w:t xml:space="preserve">ireless </w:t>
      </w:r>
      <w:r w:rsidR="00A37578">
        <w:rPr>
          <w:lang w:eastAsia="en-AU"/>
        </w:rPr>
        <w:t>n</w:t>
      </w:r>
      <w:r w:rsidRPr="00F06651">
        <w:rPr>
          <w:lang w:eastAsia="en-AU"/>
        </w:rPr>
        <w:t>etwork</w:t>
      </w:r>
    </w:p>
    <w:p w14:paraId="4DB01AAE" w14:textId="77777777" w:rsidR="001C2372" w:rsidRDefault="001C2372">
      <w:pPr>
        <w:tabs>
          <w:tab w:val="clear" w:pos="794"/>
          <w:tab w:val="clear" w:pos="1191"/>
          <w:tab w:val="clear" w:pos="1588"/>
          <w:tab w:val="clear" w:pos="1985"/>
        </w:tabs>
        <w:overflowPunct/>
        <w:autoSpaceDE/>
        <w:autoSpaceDN/>
        <w:adjustRightInd/>
        <w:spacing w:before="0"/>
        <w:jc w:val="left"/>
        <w:textAlignment w:val="auto"/>
        <w:rPr>
          <w:b/>
          <w:lang w:eastAsia="en-AU"/>
        </w:rPr>
      </w:pPr>
      <w:r>
        <w:rPr>
          <w:lang w:eastAsia="en-AU"/>
        </w:rPr>
        <w:br w:type="page"/>
      </w:r>
    </w:p>
    <w:p w14:paraId="77FC5AEE" w14:textId="77777777" w:rsidR="00AA662C" w:rsidRPr="00F06651" w:rsidRDefault="00185363" w:rsidP="00185363">
      <w:pPr>
        <w:pStyle w:val="Heading3"/>
        <w:rPr>
          <w:rFonts w:ascii="Calibri" w:hAnsi="Calibri" w:cs="Arial"/>
          <w:sz w:val="22"/>
          <w:lang w:eastAsia="en-AU"/>
        </w:rPr>
      </w:pPr>
      <w:r>
        <w:rPr>
          <w:lang w:eastAsia="en-AU"/>
        </w:rPr>
        <w:lastRenderedPageBreak/>
        <w:t>2.2.2</w:t>
      </w:r>
      <w:r>
        <w:rPr>
          <w:lang w:eastAsia="en-AU"/>
        </w:rPr>
        <w:tab/>
      </w:r>
      <w:r w:rsidR="00AA662C" w:rsidRPr="005D2487">
        <w:rPr>
          <w:lang w:eastAsia="en-AU"/>
        </w:rPr>
        <w:t>Remote health</w:t>
      </w:r>
      <w:r w:rsidR="00AA662C" w:rsidRPr="00F06651">
        <w:rPr>
          <w:lang w:eastAsia="en-AU"/>
        </w:rPr>
        <w:t xml:space="preserve"> care and medical monitoring</w:t>
      </w:r>
    </w:p>
    <w:p w14:paraId="27394583" w14:textId="77777777" w:rsidR="00AA662C" w:rsidRPr="00F06651" w:rsidRDefault="00AA662C" w:rsidP="00185363">
      <w:pPr>
        <w:rPr>
          <w:lang w:eastAsia="zh-CN"/>
        </w:rPr>
      </w:pPr>
      <w:r w:rsidRPr="00F06651">
        <w:rPr>
          <w:lang w:eastAsia="zh-CN"/>
        </w:rPr>
        <w:t>Health services and patient care use an extensive range of medical devices and monitoring probes. Within a hospital, dedicated wireless networks inside the buildings and facilities provide the connection for these devices.</w:t>
      </w:r>
    </w:p>
    <w:p w14:paraId="5B2C7F8A" w14:textId="30A5D2F6" w:rsidR="00AA662C" w:rsidRPr="00F06651" w:rsidRDefault="00AA662C" w:rsidP="00185363">
      <w:pPr>
        <w:rPr>
          <w:lang w:eastAsia="zh-CN"/>
        </w:rPr>
      </w:pPr>
      <w:r w:rsidRPr="00F06651">
        <w:rPr>
          <w:lang w:eastAsia="zh-CN"/>
        </w:rPr>
        <w:t xml:space="preserve">Remote monitoring and connection for medical devices is possible in the wider community through the use of public mobile and wireless networks as well as domestic Wi-Fi networks. A newly formed partnership between ITU and WHO constitutes a relevant example of the use of mobile technology to improve </w:t>
      </w:r>
      <w:r w:rsidR="005D2487">
        <w:rPr>
          <w:lang w:eastAsia="zh-CN"/>
        </w:rPr>
        <w:t>n</w:t>
      </w:r>
      <w:r w:rsidRPr="00F06651">
        <w:rPr>
          <w:lang w:eastAsia="zh-CN"/>
        </w:rPr>
        <w:t xml:space="preserve">on-communicable </w:t>
      </w:r>
      <w:r w:rsidR="005D2487">
        <w:rPr>
          <w:lang w:eastAsia="zh-CN"/>
        </w:rPr>
        <w:t>d</w:t>
      </w:r>
      <w:r w:rsidRPr="00F06651">
        <w:rPr>
          <w:lang w:eastAsia="zh-CN"/>
        </w:rPr>
        <w:t xml:space="preserve">isease (NCDs) prevention and treatment. Mobile solutions used as part of this initiative are primarily </w:t>
      </w:r>
      <w:r w:rsidR="00667DFD">
        <w:rPr>
          <w:lang w:eastAsia="zh-CN"/>
        </w:rPr>
        <w:t>short message service (</w:t>
      </w:r>
      <w:r w:rsidRPr="00F06651">
        <w:rPr>
          <w:lang w:eastAsia="zh-CN"/>
        </w:rPr>
        <w:t>SMS</w:t>
      </w:r>
      <w:r w:rsidR="00667DFD">
        <w:rPr>
          <w:lang w:eastAsia="zh-CN"/>
        </w:rPr>
        <w:t>)</w:t>
      </w:r>
      <w:r w:rsidRPr="00F06651">
        <w:rPr>
          <w:lang w:eastAsia="zh-CN"/>
        </w:rPr>
        <w:t xml:space="preserve"> or apps based, and will include a range of services such as mAwareness, mTraining, mBehavioural change, mSurveillance, mTreatment, mDisease management and mScreening, among others. This enables significant benefits through extended and remote medical care for broad sectors of the population.</w:t>
      </w:r>
    </w:p>
    <w:p w14:paraId="5525BFE0" w14:textId="77777777" w:rsidR="00AA662C" w:rsidRPr="00F06651" w:rsidRDefault="00AA662C" w:rsidP="00185363">
      <w:pPr>
        <w:pStyle w:val="Figure"/>
        <w:rPr>
          <w:kern w:val="36"/>
          <w:szCs w:val="24"/>
          <w:lang w:eastAsia="en-AU"/>
        </w:rPr>
      </w:pPr>
      <w:r w:rsidRPr="00F06651">
        <w:rPr>
          <w:noProof/>
          <w:lang w:val="en-US" w:eastAsia="zh-CN"/>
        </w:rPr>
        <w:drawing>
          <wp:inline distT="0" distB="0" distL="0" distR="0" wp14:anchorId="70064B20" wp14:editId="3C7CF3D3">
            <wp:extent cx="4682138" cy="3124200"/>
            <wp:effectExtent l="19050" t="0" r="4162" b="0"/>
            <wp:docPr id="27" name="Picture 27" descr="http://www.itu.int/en/ITU-D/ICT-Applications/PublishingImages/mhealth-main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tu.int/en/ITU-D/ICT-Applications/PublishingImages/mhealth-main_im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5259" cy="3126283"/>
                    </a:xfrm>
                    <a:prstGeom prst="rect">
                      <a:avLst/>
                    </a:prstGeom>
                    <a:noFill/>
                    <a:ln>
                      <a:noFill/>
                    </a:ln>
                  </pic:spPr>
                </pic:pic>
              </a:graphicData>
            </a:graphic>
          </wp:inline>
        </w:drawing>
      </w:r>
    </w:p>
    <w:p w14:paraId="243EE00D" w14:textId="77777777" w:rsidR="001E426F" w:rsidRPr="002E4045" w:rsidRDefault="000E4A5B" w:rsidP="002E4045">
      <w:pPr>
        <w:pStyle w:val="Figurelegend"/>
        <w:rPr>
          <w:rStyle w:val="Hyperlink"/>
          <w:b/>
          <w:bCs/>
          <w:lang w:val="fr-CH" w:eastAsia="zh-CN"/>
        </w:rPr>
      </w:pPr>
      <w:r w:rsidRPr="002E4045">
        <w:rPr>
          <w:rStyle w:val="Hyperlink"/>
          <w:lang w:val="fr-CH"/>
        </w:rPr>
        <w:t xml:space="preserve">Source: </w:t>
      </w:r>
      <w:hyperlink r:id="rId18" w:history="1">
        <w:r w:rsidRPr="002E4045">
          <w:rPr>
            <w:rStyle w:val="Hyperlink"/>
            <w:bCs/>
            <w:lang w:val="fr-CH" w:eastAsia="zh-CN"/>
          </w:rPr>
          <w:t>http://www.itu.int/en/ITU-D/ICT-Applications/eHEALTH/Pages/Be_Healthy.aspx</w:t>
        </w:r>
      </w:hyperlink>
    </w:p>
    <w:p w14:paraId="1B2606E0" w14:textId="26E95D31" w:rsidR="00185363" w:rsidRDefault="00AA662C" w:rsidP="00185363">
      <w:pPr>
        <w:pStyle w:val="FigureNotitle0"/>
        <w:rPr>
          <w:lang w:eastAsia="zh-CN"/>
        </w:rPr>
      </w:pPr>
      <w:r w:rsidRPr="00F06651">
        <w:rPr>
          <w:lang w:eastAsia="zh-CN"/>
        </w:rPr>
        <w:t xml:space="preserve">Figure </w:t>
      </w:r>
      <w:r w:rsidR="00C37C93">
        <w:rPr>
          <w:noProof/>
          <w:lang w:eastAsia="zh-CN"/>
        </w:rPr>
        <w:t>3</w:t>
      </w:r>
      <w:r w:rsidRPr="00F06651">
        <w:rPr>
          <w:lang w:eastAsia="zh-CN"/>
        </w:rPr>
        <w:t xml:space="preserve"> </w:t>
      </w:r>
      <w:r w:rsidR="00E36757">
        <w:rPr>
          <w:lang w:eastAsia="zh-CN"/>
        </w:rPr>
        <w:t>–</w:t>
      </w:r>
      <w:r w:rsidRPr="00F06651">
        <w:rPr>
          <w:lang w:eastAsia="zh-CN"/>
        </w:rPr>
        <w:t xml:space="preserve"> ITU-WHO </w:t>
      </w:r>
      <w:r w:rsidR="00E36757">
        <w:rPr>
          <w:lang w:eastAsia="zh-CN"/>
        </w:rPr>
        <w:t>m</w:t>
      </w:r>
      <w:r w:rsidRPr="00F06651">
        <w:rPr>
          <w:lang w:eastAsia="zh-CN"/>
        </w:rPr>
        <w:t xml:space="preserve">obile </w:t>
      </w:r>
      <w:r w:rsidR="00E36757">
        <w:rPr>
          <w:lang w:eastAsia="zh-CN"/>
        </w:rPr>
        <w:t>h</w:t>
      </w:r>
      <w:r w:rsidRPr="00F06651">
        <w:rPr>
          <w:lang w:eastAsia="zh-CN"/>
        </w:rPr>
        <w:t xml:space="preserve">ealth for </w:t>
      </w:r>
      <w:r w:rsidR="00E36757">
        <w:rPr>
          <w:lang w:eastAsia="zh-CN"/>
        </w:rPr>
        <w:t>n</w:t>
      </w:r>
      <w:r w:rsidRPr="00F06651">
        <w:rPr>
          <w:lang w:eastAsia="zh-CN"/>
        </w:rPr>
        <w:t>on-</w:t>
      </w:r>
      <w:r w:rsidR="00E36757">
        <w:rPr>
          <w:lang w:eastAsia="zh-CN"/>
        </w:rPr>
        <w:t>c</w:t>
      </w:r>
      <w:r w:rsidRPr="00F06651">
        <w:rPr>
          <w:lang w:eastAsia="zh-CN"/>
        </w:rPr>
        <w:t xml:space="preserve">ommunicable </w:t>
      </w:r>
      <w:r w:rsidR="00E36757">
        <w:rPr>
          <w:lang w:eastAsia="zh-CN"/>
        </w:rPr>
        <w:t>d</w:t>
      </w:r>
      <w:r w:rsidRPr="00F06651">
        <w:rPr>
          <w:lang w:eastAsia="zh-CN"/>
        </w:rPr>
        <w:t xml:space="preserve">isease (NCDs) </w:t>
      </w:r>
      <w:r w:rsidR="00E36757">
        <w:rPr>
          <w:lang w:eastAsia="zh-CN"/>
        </w:rPr>
        <w:t>i</w:t>
      </w:r>
      <w:r w:rsidRPr="00F06651">
        <w:rPr>
          <w:lang w:eastAsia="zh-CN"/>
        </w:rPr>
        <w:t>nitiative</w:t>
      </w:r>
    </w:p>
    <w:p w14:paraId="1CE2830A" w14:textId="649B06F9" w:rsidR="00AA662C" w:rsidRPr="002E4045" w:rsidRDefault="00AA662C" w:rsidP="00185363">
      <w:pPr>
        <w:pStyle w:val="Figurelegend"/>
        <w:rPr>
          <w:rFonts w:eastAsia="SimSun"/>
          <w:bCs/>
          <w:kern w:val="36"/>
          <w:sz w:val="22"/>
          <w:szCs w:val="24"/>
          <w:highlight w:val="yellow"/>
          <w:lang w:val="en-US" w:eastAsia="en-AU"/>
        </w:rPr>
      </w:pPr>
    </w:p>
    <w:p w14:paraId="38C9CAEF" w14:textId="77777777" w:rsidR="00EF0912" w:rsidRPr="002E4045" w:rsidRDefault="000E4A5B">
      <w:pPr>
        <w:tabs>
          <w:tab w:val="clear" w:pos="794"/>
          <w:tab w:val="clear" w:pos="1191"/>
          <w:tab w:val="clear" w:pos="1588"/>
          <w:tab w:val="clear" w:pos="1985"/>
        </w:tabs>
        <w:overflowPunct/>
        <w:autoSpaceDE/>
        <w:autoSpaceDN/>
        <w:adjustRightInd/>
        <w:spacing w:before="0"/>
        <w:jc w:val="left"/>
        <w:textAlignment w:val="auto"/>
        <w:rPr>
          <w:b/>
          <w:lang w:val="en-US" w:eastAsia="en-AU"/>
        </w:rPr>
      </w:pPr>
      <w:r w:rsidRPr="002E4045">
        <w:rPr>
          <w:lang w:val="en-US" w:eastAsia="en-AU"/>
        </w:rPr>
        <w:br w:type="page"/>
      </w:r>
    </w:p>
    <w:p w14:paraId="307B046C" w14:textId="77777777" w:rsidR="00AA662C" w:rsidRPr="00F06651" w:rsidRDefault="00185363" w:rsidP="00185363">
      <w:pPr>
        <w:pStyle w:val="Heading3"/>
        <w:rPr>
          <w:rFonts w:ascii="Calibri" w:hAnsi="Calibri" w:cs="Arial"/>
          <w:sz w:val="22"/>
          <w:lang w:eastAsia="en-AU"/>
        </w:rPr>
      </w:pPr>
      <w:r>
        <w:rPr>
          <w:lang w:eastAsia="en-AU"/>
        </w:rPr>
        <w:lastRenderedPageBreak/>
        <w:t>2.2.3</w:t>
      </w:r>
      <w:r>
        <w:rPr>
          <w:lang w:eastAsia="en-AU"/>
        </w:rPr>
        <w:tab/>
      </w:r>
      <w:r w:rsidR="00AA662C" w:rsidRPr="00F06651">
        <w:rPr>
          <w:lang w:eastAsia="en-AU"/>
        </w:rPr>
        <w:t>Smart connected cars</w:t>
      </w:r>
    </w:p>
    <w:p w14:paraId="7A6575A7" w14:textId="77777777" w:rsidR="00AA662C" w:rsidRPr="00F06651" w:rsidRDefault="00AA662C" w:rsidP="00185363">
      <w:pPr>
        <w:rPr>
          <w:lang w:eastAsia="zh-CN"/>
        </w:rPr>
      </w:pPr>
      <w:r w:rsidRPr="00F06651">
        <w:rPr>
          <w:lang w:eastAsia="zh-CN"/>
        </w:rPr>
        <w:t>Smart connected cars offer a range of sophisticated technology advances in navigation, security, driver and vehicle safety, servicing and maintenance.</w:t>
      </w:r>
      <w:r w:rsidR="0049069D">
        <w:rPr>
          <w:lang w:eastAsia="zh-CN"/>
        </w:rPr>
        <w:t xml:space="preserve"> </w:t>
      </w:r>
      <w:r w:rsidRPr="00F06651">
        <w:rPr>
          <w:lang w:eastAsia="zh-CN"/>
        </w:rPr>
        <w:t>Smart cars utilize mobile networks for external connectivity, as well as Wi-Fi and Bluetooth for internal links.</w:t>
      </w:r>
      <w:r w:rsidR="0049069D">
        <w:rPr>
          <w:lang w:eastAsia="zh-CN"/>
        </w:rPr>
        <w:t xml:space="preserve"> </w:t>
      </w:r>
      <w:r w:rsidRPr="00F06651">
        <w:rPr>
          <w:lang w:eastAsia="zh-CN"/>
        </w:rPr>
        <w:t xml:space="preserve">The effectiveness of connected cars in a smart city depends largely on </w:t>
      </w:r>
      <w:r w:rsidR="00226AE2">
        <w:rPr>
          <w:lang w:eastAsia="zh-CN"/>
        </w:rPr>
        <w:t xml:space="preserve">the </w:t>
      </w:r>
      <w:r w:rsidRPr="00F06651">
        <w:rPr>
          <w:lang w:eastAsia="zh-CN"/>
        </w:rPr>
        <w:t xml:space="preserve">coverage and on the capacity of the supporting mobile networks. Smart navigation, based on </w:t>
      </w:r>
      <w:r w:rsidR="00226AE2">
        <w:rPr>
          <w:lang w:eastAsia="zh-CN"/>
        </w:rPr>
        <w:t>global positioning system (</w:t>
      </w:r>
      <w:r w:rsidRPr="00F06651">
        <w:rPr>
          <w:lang w:eastAsia="zh-CN"/>
        </w:rPr>
        <w:t>GPS</w:t>
      </w:r>
      <w:r w:rsidR="00226AE2">
        <w:rPr>
          <w:lang w:eastAsia="zh-CN"/>
        </w:rPr>
        <w:t>)</w:t>
      </w:r>
      <w:r w:rsidRPr="00F06651">
        <w:rPr>
          <w:lang w:eastAsia="zh-CN"/>
        </w:rPr>
        <w:t xml:space="preserve"> location and central traffic information (such as Waze</w:t>
      </w:r>
      <w:r w:rsidRPr="00F06651">
        <w:rPr>
          <w:vertAlign w:val="superscript"/>
          <w:lang w:eastAsia="zh-CN"/>
        </w:rPr>
        <w:footnoteReference w:id="2"/>
      </w:r>
      <w:r w:rsidRPr="00F06651">
        <w:rPr>
          <w:lang w:eastAsia="zh-CN"/>
        </w:rPr>
        <w:t>), save time and greenhouse gas (GHG) emissions. Short-range devices such as transport and traffic telematics (TTT), road tolling, automatic meter reading (AMR), street lamp control and railway applications, are among the technologies that characterize the operation of SSC.</w:t>
      </w:r>
    </w:p>
    <w:p w14:paraId="215F8061" w14:textId="61A8E429" w:rsidR="00AA662C" w:rsidRPr="00F06651" w:rsidRDefault="00AA662C" w:rsidP="00185363">
      <w:pPr>
        <w:rPr>
          <w:lang w:eastAsia="zh-CN"/>
        </w:rPr>
      </w:pPr>
      <w:r w:rsidRPr="00F06651">
        <w:rPr>
          <w:lang w:eastAsia="zh-CN"/>
        </w:rPr>
        <w:t>Within this context, Figure 4 illustrates the way in which smart connected cars are interlinked with a series of mobile-based functionalities (for example, temperature management, battery monitoring, technical maintenance, navigation), ultimately contributing to more efficient mobility.</w:t>
      </w:r>
    </w:p>
    <w:p w14:paraId="67CCD4B0" w14:textId="77777777" w:rsidR="00AA662C" w:rsidRPr="00F06651" w:rsidRDefault="00AA662C" w:rsidP="00185363">
      <w:pPr>
        <w:pStyle w:val="Figure"/>
        <w:rPr>
          <w:bCs/>
          <w:kern w:val="36"/>
          <w:szCs w:val="24"/>
          <w:highlight w:val="yellow"/>
          <w:lang w:eastAsia="en-AU"/>
        </w:rPr>
      </w:pPr>
      <w:r w:rsidRPr="00F06651">
        <w:rPr>
          <w:noProof/>
          <w:lang w:val="en-US" w:eastAsia="zh-CN"/>
        </w:rPr>
        <w:drawing>
          <wp:inline distT="0" distB="0" distL="0" distR="0" wp14:anchorId="20A2C065" wp14:editId="1EBB94E5">
            <wp:extent cx="6120130" cy="4082415"/>
            <wp:effectExtent l="19050" t="0" r="0" b="0"/>
            <wp:docPr id="30" name="Picture 39" descr="EME_57_ITU_Graphics_1000px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7_ITU_Graphics_1000px_FIG4.jpg"/>
                    <pic:cNvPicPr/>
                  </pic:nvPicPr>
                  <pic:blipFill>
                    <a:blip r:embed="rId19" cstate="print"/>
                    <a:stretch>
                      <a:fillRect/>
                    </a:stretch>
                  </pic:blipFill>
                  <pic:spPr>
                    <a:xfrm>
                      <a:off x="0" y="0"/>
                      <a:ext cx="6120130" cy="4082415"/>
                    </a:xfrm>
                    <a:prstGeom prst="rect">
                      <a:avLst/>
                    </a:prstGeom>
                  </pic:spPr>
                </pic:pic>
              </a:graphicData>
            </a:graphic>
          </wp:inline>
        </w:drawing>
      </w:r>
    </w:p>
    <w:p w14:paraId="380860C5" w14:textId="2745DE0D" w:rsidR="00226AE2" w:rsidRPr="00F06651" w:rsidRDefault="00226AE2" w:rsidP="00226AE2">
      <w:pPr>
        <w:pStyle w:val="Figurelegend"/>
        <w:rPr>
          <w:lang w:eastAsia="en-AU"/>
        </w:rPr>
      </w:pPr>
      <w:r w:rsidRPr="00F06651">
        <w:rPr>
          <w:lang w:eastAsia="en-AU"/>
        </w:rPr>
        <w:t xml:space="preserve">Source: </w:t>
      </w:r>
      <w:r w:rsidR="00490886">
        <w:rPr>
          <w:lang w:eastAsia="en-AU"/>
        </w:rPr>
        <w:t>A</w:t>
      </w:r>
      <w:r>
        <w:rPr>
          <w:lang w:eastAsia="en-AU"/>
        </w:rPr>
        <w:t xml:space="preserve">dapted from </w:t>
      </w:r>
      <w:r w:rsidRPr="00F06651">
        <w:rPr>
          <w:lang w:eastAsia="en-AU"/>
        </w:rPr>
        <w:t>ITU (2014)</w:t>
      </w:r>
      <w:r>
        <w:rPr>
          <w:lang w:eastAsia="en-AU"/>
        </w:rPr>
        <w:t xml:space="preserve">: </w:t>
      </w:r>
      <w:hyperlink r:id="rId20" w:history="1">
        <w:r w:rsidRPr="00F06651">
          <w:rPr>
            <w:rStyle w:val="Hyperlink"/>
            <w:bCs/>
            <w:lang w:eastAsia="en-AU"/>
          </w:rPr>
          <w:t>http://www.itu.int/en/fnc/2014/Documents/S5P3_St%c3%a9phane_Petti.ppt</w:t>
        </w:r>
      </w:hyperlink>
    </w:p>
    <w:p w14:paraId="34753092" w14:textId="77777777" w:rsidR="00185363" w:rsidRDefault="00AA662C" w:rsidP="00185363">
      <w:pPr>
        <w:pStyle w:val="FigureNoTitle"/>
        <w:rPr>
          <w:lang w:eastAsia="en-AU"/>
        </w:rPr>
      </w:pPr>
      <w:r w:rsidRPr="00F06651">
        <w:rPr>
          <w:lang w:eastAsia="en-AU"/>
        </w:rPr>
        <w:t xml:space="preserve">Figure </w:t>
      </w:r>
      <w:bookmarkStart w:id="37" w:name="connected_car"/>
      <w:bookmarkEnd w:id="37"/>
      <w:r w:rsidR="00C37C93">
        <w:rPr>
          <w:noProof/>
          <w:lang w:eastAsia="en-AU"/>
        </w:rPr>
        <w:t>4</w:t>
      </w:r>
      <w:r w:rsidRPr="00F06651">
        <w:rPr>
          <w:lang w:eastAsia="en-AU"/>
        </w:rPr>
        <w:t xml:space="preserve"> </w:t>
      </w:r>
      <w:r w:rsidR="0049069D">
        <w:rPr>
          <w:lang w:eastAsia="en-AU"/>
        </w:rPr>
        <w:t>–</w:t>
      </w:r>
      <w:r w:rsidRPr="00F06651">
        <w:rPr>
          <w:lang w:eastAsia="en-AU"/>
        </w:rPr>
        <w:t xml:space="preserve"> A view of connected car services for a more comfortable and efficient mobility</w:t>
      </w:r>
    </w:p>
    <w:p w14:paraId="21D5372E" w14:textId="77777777" w:rsidR="00EF0912" w:rsidRDefault="00EF0912">
      <w:pPr>
        <w:tabs>
          <w:tab w:val="clear" w:pos="794"/>
          <w:tab w:val="clear" w:pos="1191"/>
          <w:tab w:val="clear" w:pos="1588"/>
          <w:tab w:val="clear" w:pos="1985"/>
        </w:tabs>
        <w:overflowPunct/>
        <w:autoSpaceDE/>
        <w:autoSpaceDN/>
        <w:adjustRightInd/>
        <w:spacing w:before="0"/>
        <w:jc w:val="left"/>
        <w:textAlignment w:val="auto"/>
        <w:rPr>
          <w:b/>
          <w:highlight w:val="yellow"/>
          <w:lang w:eastAsia="en-AU"/>
        </w:rPr>
      </w:pPr>
      <w:r>
        <w:rPr>
          <w:highlight w:val="yellow"/>
          <w:lang w:eastAsia="en-AU"/>
        </w:rPr>
        <w:br w:type="page"/>
      </w:r>
    </w:p>
    <w:p w14:paraId="0BB2B07D" w14:textId="77777777" w:rsidR="00AA662C" w:rsidRPr="00F06651" w:rsidRDefault="00185363" w:rsidP="00185363">
      <w:pPr>
        <w:pStyle w:val="Heading3"/>
        <w:rPr>
          <w:rFonts w:ascii="Calibri" w:hAnsi="Calibri" w:cs="Arial"/>
          <w:sz w:val="22"/>
          <w:lang w:eastAsia="en-AU"/>
        </w:rPr>
      </w:pPr>
      <w:r>
        <w:rPr>
          <w:lang w:eastAsia="en-AU"/>
        </w:rPr>
        <w:lastRenderedPageBreak/>
        <w:t>2.2.4</w:t>
      </w:r>
      <w:r>
        <w:rPr>
          <w:lang w:eastAsia="en-AU"/>
        </w:rPr>
        <w:tab/>
      </w:r>
      <w:r w:rsidR="00AA662C" w:rsidRPr="00F06651">
        <w:rPr>
          <w:lang w:eastAsia="en-AU"/>
        </w:rPr>
        <w:t>Fleet management</w:t>
      </w:r>
    </w:p>
    <w:p w14:paraId="6129578B" w14:textId="21C6B3EE" w:rsidR="00AA662C" w:rsidRDefault="00AA662C" w:rsidP="00185363">
      <w:pPr>
        <w:rPr>
          <w:bCs/>
          <w:kern w:val="36"/>
          <w:lang w:eastAsia="en-AU"/>
        </w:rPr>
      </w:pPr>
      <w:r w:rsidRPr="00F06651">
        <w:rPr>
          <w:lang w:eastAsia="zh-CN"/>
        </w:rPr>
        <w:t>Wireless tracking devices fitted to vehicles can strengthen the efficiency of fleet logistic operations, while reducing energy consumption and GHG emissions. These tracking devices can feed data to centrali</w:t>
      </w:r>
      <w:r w:rsidR="005B3508">
        <w:rPr>
          <w:lang w:eastAsia="zh-CN"/>
        </w:rPr>
        <w:t>z</w:t>
      </w:r>
      <w:r w:rsidRPr="00F06651">
        <w:rPr>
          <w:lang w:eastAsia="zh-CN"/>
        </w:rPr>
        <w:t>ed fleet management software or to other vehicles in the fleet. In addition to location, they can also be used to remotely monitor loading capacities, enabling vehicle loading optimi</w:t>
      </w:r>
      <w:r w:rsidR="00226AE2">
        <w:rPr>
          <w:lang w:eastAsia="zh-CN"/>
        </w:rPr>
        <w:t>z</w:t>
      </w:r>
      <w:r w:rsidRPr="00F06651">
        <w:rPr>
          <w:lang w:eastAsia="zh-CN"/>
        </w:rPr>
        <w:t>ation. For example, the vehicle’s route can then be adjusted to make use of spare capacity. Further benefits can arise in SSC where wireless devices can be used in applications such as traffic volume monitoring, connected road signs and traffic light synchroni</w:t>
      </w:r>
      <w:r w:rsidR="00226AE2">
        <w:rPr>
          <w:lang w:eastAsia="zh-CN"/>
        </w:rPr>
        <w:t>z</w:t>
      </w:r>
      <w:r w:rsidRPr="00F06651">
        <w:rPr>
          <w:lang w:eastAsia="zh-CN"/>
        </w:rPr>
        <w:t xml:space="preserve">ation. Such wireless devices are part of the </w:t>
      </w:r>
      <w:r w:rsidR="00226AE2">
        <w:rPr>
          <w:lang w:eastAsia="zh-CN"/>
        </w:rPr>
        <w:t>i</w:t>
      </w:r>
      <w:r w:rsidRPr="00F06651">
        <w:rPr>
          <w:lang w:eastAsia="zh-CN"/>
        </w:rPr>
        <w:t xml:space="preserve">ntelligent </w:t>
      </w:r>
      <w:r w:rsidR="00226AE2">
        <w:rPr>
          <w:lang w:eastAsia="zh-CN"/>
        </w:rPr>
        <w:t>t</w:t>
      </w:r>
      <w:r w:rsidRPr="00F06651">
        <w:rPr>
          <w:lang w:eastAsia="zh-CN"/>
        </w:rPr>
        <w:t xml:space="preserve">raffic </w:t>
      </w:r>
      <w:r w:rsidR="00226AE2">
        <w:rPr>
          <w:lang w:eastAsia="zh-CN"/>
        </w:rPr>
        <w:t>c</w:t>
      </w:r>
      <w:r w:rsidRPr="00F06651">
        <w:rPr>
          <w:lang w:eastAsia="zh-CN"/>
        </w:rPr>
        <w:t xml:space="preserve">ontrol (ITC) system. The impact of GHG </w:t>
      </w:r>
      <w:r w:rsidRPr="00F06651">
        <w:rPr>
          <w:bCs/>
          <w:kern w:val="36"/>
          <w:lang w:eastAsia="en-AU"/>
        </w:rPr>
        <w:t>savings of smart transportation and logistics, and smart grids and smart meters, have been estimated for different regions around the world, as illustrated in Figure 5.</w:t>
      </w:r>
    </w:p>
    <w:p w14:paraId="0A1048D0" w14:textId="77777777" w:rsidR="00AA662C" w:rsidRPr="00F06651" w:rsidRDefault="00ED243B" w:rsidP="00ED243B">
      <w:pPr>
        <w:rPr>
          <w:bCs/>
          <w:kern w:val="36"/>
          <w:lang w:eastAsia="en-AU"/>
        </w:rPr>
      </w:pPr>
      <w:r>
        <w:rPr>
          <w:noProof/>
          <w:lang w:val="en-US" w:eastAsia="zh-CN"/>
        </w:rPr>
        <w:drawing>
          <wp:inline distT="0" distB="0" distL="0" distR="0" wp14:anchorId="1D4BE37E" wp14:editId="03632B80">
            <wp:extent cx="6067425" cy="37992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5.png"/>
                    <pic:cNvPicPr/>
                  </pic:nvPicPr>
                  <pic:blipFill rotWithShape="1">
                    <a:blip r:embed="rId21" cstate="print">
                      <a:extLst>
                        <a:ext uri="{28A0092B-C50C-407E-A947-70E740481C1C}">
                          <a14:useLocalDpi xmlns:a14="http://schemas.microsoft.com/office/drawing/2010/main" val="0"/>
                        </a:ext>
                      </a:extLst>
                    </a:blip>
                    <a:srcRect l="9337" r="21618" b="38849"/>
                    <a:stretch/>
                  </pic:blipFill>
                  <pic:spPr bwMode="auto">
                    <a:xfrm>
                      <a:off x="0" y="0"/>
                      <a:ext cx="6065156" cy="3797875"/>
                    </a:xfrm>
                    <a:prstGeom prst="rect">
                      <a:avLst/>
                    </a:prstGeom>
                    <a:ln>
                      <a:noFill/>
                    </a:ln>
                    <a:extLst>
                      <a:ext uri="{53640926-AAD7-44D8-BBD7-CCE9431645EC}">
                        <a14:shadowObscured xmlns:a14="http://schemas.microsoft.com/office/drawing/2010/main"/>
                      </a:ext>
                    </a:extLst>
                  </pic:spPr>
                </pic:pic>
              </a:graphicData>
            </a:graphic>
          </wp:inline>
        </w:drawing>
      </w:r>
    </w:p>
    <w:p w14:paraId="2DC61AD2" w14:textId="77777777" w:rsidR="00226AE2" w:rsidRPr="00185363" w:rsidRDefault="00226AE2" w:rsidP="00226AE2">
      <w:pPr>
        <w:pStyle w:val="Figurelegend"/>
        <w:rPr>
          <w:lang w:val="fr-CH" w:eastAsia="en-AU"/>
        </w:rPr>
      </w:pPr>
      <w:r w:rsidRPr="00185363">
        <w:rPr>
          <w:lang w:val="fr-CH" w:eastAsia="en-AU"/>
        </w:rPr>
        <w:t>Source: GSMA, Mobile’s Green Manifesto (2012)</w:t>
      </w:r>
      <w:r>
        <w:rPr>
          <w:lang w:val="fr-CH" w:eastAsia="en-AU"/>
        </w:rPr>
        <w:t>.</w:t>
      </w:r>
    </w:p>
    <w:p w14:paraId="23FFBA2A" w14:textId="77777777" w:rsidR="00185363" w:rsidRDefault="00AA662C" w:rsidP="00185363">
      <w:pPr>
        <w:pStyle w:val="FigureNoTitle"/>
        <w:rPr>
          <w:lang w:eastAsia="en-AU"/>
        </w:rPr>
      </w:pPr>
      <w:r w:rsidRPr="00F06651">
        <w:rPr>
          <w:lang w:eastAsia="en-AU"/>
        </w:rPr>
        <w:t xml:space="preserve">Figure </w:t>
      </w:r>
      <w:bookmarkStart w:id="38" w:name="ghg_save_gsma"/>
      <w:bookmarkEnd w:id="38"/>
      <w:r w:rsidR="00C37C93">
        <w:rPr>
          <w:noProof/>
          <w:lang w:eastAsia="en-AU"/>
        </w:rPr>
        <w:t>5</w:t>
      </w:r>
      <w:r w:rsidRPr="00F06651">
        <w:rPr>
          <w:lang w:eastAsia="en-AU"/>
        </w:rPr>
        <w:t xml:space="preserve"> </w:t>
      </w:r>
      <w:r w:rsidR="0049069D">
        <w:rPr>
          <w:lang w:eastAsia="en-AU"/>
        </w:rPr>
        <w:t>–</w:t>
      </w:r>
      <w:r w:rsidRPr="00F06651">
        <w:rPr>
          <w:lang w:eastAsia="en-AU"/>
        </w:rPr>
        <w:t xml:space="preserve"> Estimated GHG savings in smart transportation and logistics, and smart grids and smart meters, MtCO</w:t>
      </w:r>
      <w:r w:rsidRPr="00F06651">
        <w:rPr>
          <w:vertAlign w:val="subscript"/>
          <w:lang w:eastAsia="en-AU"/>
        </w:rPr>
        <w:t>2</w:t>
      </w:r>
      <w:r w:rsidRPr="00F06651">
        <w:rPr>
          <w:lang w:eastAsia="en-AU"/>
        </w:rPr>
        <w:t>e, 2011</w:t>
      </w:r>
    </w:p>
    <w:p w14:paraId="1C7BE454" w14:textId="77777777" w:rsidR="00EF0912" w:rsidRPr="002E4045" w:rsidRDefault="000E4A5B">
      <w:pPr>
        <w:tabs>
          <w:tab w:val="clear" w:pos="794"/>
          <w:tab w:val="clear" w:pos="1191"/>
          <w:tab w:val="clear" w:pos="1588"/>
          <w:tab w:val="clear" w:pos="1985"/>
        </w:tabs>
        <w:overflowPunct/>
        <w:autoSpaceDE/>
        <w:autoSpaceDN/>
        <w:adjustRightInd/>
        <w:spacing w:before="0"/>
        <w:jc w:val="left"/>
        <w:textAlignment w:val="auto"/>
        <w:rPr>
          <w:b/>
          <w:lang w:val="en-US" w:eastAsia="en-AU"/>
        </w:rPr>
      </w:pPr>
      <w:r w:rsidRPr="002E4045">
        <w:rPr>
          <w:lang w:val="en-US" w:eastAsia="en-AU"/>
        </w:rPr>
        <w:br w:type="page"/>
      </w:r>
    </w:p>
    <w:p w14:paraId="57F32D47" w14:textId="77777777" w:rsidR="00AA662C" w:rsidRPr="00F06651" w:rsidRDefault="00185363" w:rsidP="00185363">
      <w:pPr>
        <w:pStyle w:val="Heading3"/>
        <w:rPr>
          <w:rFonts w:ascii="Calibri" w:hAnsi="Calibri" w:cs="Arial"/>
          <w:sz w:val="22"/>
          <w:lang w:eastAsia="en-AU"/>
        </w:rPr>
      </w:pPr>
      <w:r>
        <w:rPr>
          <w:lang w:eastAsia="en-AU"/>
        </w:rPr>
        <w:lastRenderedPageBreak/>
        <w:t>2.2.5</w:t>
      </w:r>
      <w:r>
        <w:rPr>
          <w:lang w:eastAsia="en-AU"/>
        </w:rPr>
        <w:tab/>
      </w:r>
      <w:r w:rsidR="00AA662C" w:rsidRPr="00F06651">
        <w:rPr>
          <w:lang w:eastAsia="en-AU"/>
        </w:rPr>
        <w:t>Mobile networks connecting ICTs</w:t>
      </w:r>
    </w:p>
    <w:p w14:paraId="271CD091" w14:textId="5EF17A37" w:rsidR="00AA662C" w:rsidRPr="00F06651" w:rsidRDefault="00AA662C" w:rsidP="00185363">
      <w:pPr>
        <w:rPr>
          <w:lang w:eastAsia="zh-CN"/>
        </w:rPr>
      </w:pPr>
      <w:r w:rsidRPr="00F06651">
        <w:rPr>
          <w:lang w:eastAsia="zh-CN"/>
        </w:rPr>
        <w:t>Mobile networks are increasingly utili</w:t>
      </w:r>
      <w:r w:rsidR="00A17594">
        <w:rPr>
          <w:lang w:eastAsia="zh-CN"/>
        </w:rPr>
        <w:t>z</w:t>
      </w:r>
      <w:r w:rsidRPr="00F06651">
        <w:rPr>
          <w:lang w:eastAsia="zh-CN"/>
        </w:rPr>
        <w:t>ed as a core network to connect ICT systems and devices. As they continue to evolve and cater for increased data speeds, capacity, and coverage, these networks become an ideal solution for many ICT applications.</w:t>
      </w:r>
    </w:p>
    <w:p w14:paraId="177A0100" w14:textId="77777777" w:rsidR="00AA662C" w:rsidRPr="00F06651" w:rsidRDefault="00AA662C" w:rsidP="00185363">
      <w:pPr>
        <w:rPr>
          <w:lang w:eastAsia="zh-CN"/>
        </w:rPr>
      </w:pPr>
      <w:r w:rsidRPr="00F06651">
        <w:rPr>
          <w:lang w:eastAsia="zh-CN"/>
        </w:rPr>
        <w:t xml:space="preserve">With careful planning, mobile networks can provide cities with very cost effective and efficient connectivity solutions for ICT systems. Increasing deployments of fourth generation (4G) and higher speed technologies, they are being used in </w:t>
      </w:r>
      <w:r w:rsidR="004657D6">
        <w:rPr>
          <w:lang w:eastAsia="zh-CN"/>
        </w:rPr>
        <w:t xml:space="preserve">the </w:t>
      </w:r>
      <w:r w:rsidRPr="00F06651">
        <w:rPr>
          <w:lang w:eastAsia="zh-CN"/>
        </w:rPr>
        <w:t xml:space="preserve">support of multiple ICT solutions, whilst providing mobile services to communities. Figure 6 shows how mobile networks connect both people and things and thereby support SSC applications, for example, smart energy, smart education, </w:t>
      </w:r>
      <w:r w:rsidR="004657D6">
        <w:rPr>
          <w:lang w:eastAsia="zh-CN"/>
        </w:rPr>
        <w:t xml:space="preserve">and </w:t>
      </w:r>
      <w:r w:rsidRPr="00F06651">
        <w:rPr>
          <w:lang w:eastAsia="zh-CN"/>
        </w:rPr>
        <w:t>smart health</w:t>
      </w:r>
      <w:r w:rsidR="004657D6">
        <w:rPr>
          <w:lang w:eastAsia="zh-CN"/>
        </w:rPr>
        <w:t xml:space="preserve"> </w:t>
      </w:r>
      <w:r w:rsidRPr="00F06651">
        <w:rPr>
          <w:lang w:eastAsia="zh-CN"/>
        </w:rPr>
        <w:t>care.</w:t>
      </w:r>
    </w:p>
    <w:p w14:paraId="3E852AED" w14:textId="77777777" w:rsidR="00AA662C" w:rsidRPr="00185363" w:rsidRDefault="00AA662C" w:rsidP="00185363">
      <w:pPr>
        <w:pStyle w:val="Figure"/>
        <w:rPr>
          <w:noProof/>
          <w:lang w:val="en-US" w:eastAsia="zh-CN"/>
        </w:rPr>
      </w:pPr>
      <w:r w:rsidRPr="00185363">
        <w:rPr>
          <w:noProof/>
          <w:lang w:val="en-US" w:eastAsia="zh-CN"/>
        </w:rPr>
        <w:drawing>
          <wp:inline distT="0" distB="0" distL="0" distR="0" wp14:anchorId="0E886EFF" wp14:editId="2316E788">
            <wp:extent cx="5901690" cy="3936705"/>
            <wp:effectExtent l="19050" t="0" r="3810" b="0"/>
            <wp:docPr id="33" name="Picture 17" descr="EME_57_ITU_Graphics_1000px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7_ITU_Graphics_1000px_FIG6.jpg"/>
                    <pic:cNvPicPr/>
                  </pic:nvPicPr>
                  <pic:blipFill>
                    <a:blip r:embed="rId22" cstate="print"/>
                    <a:stretch>
                      <a:fillRect/>
                    </a:stretch>
                  </pic:blipFill>
                  <pic:spPr>
                    <a:xfrm>
                      <a:off x="0" y="0"/>
                      <a:ext cx="5899242" cy="3935072"/>
                    </a:xfrm>
                    <a:prstGeom prst="rect">
                      <a:avLst/>
                    </a:prstGeom>
                  </pic:spPr>
                </pic:pic>
              </a:graphicData>
            </a:graphic>
          </wp:inline>
        </w:drawing>
      </w:r>
    </w:p>
    <w:p w14:paraId="15CC9C58" w14:textId="70EA7821" w:rsidR="004657D6" w:rsidRPr="00F06651" w:rsidRDefault="004657D6" w:rsidP="004657D6">
      <w:pPr>
        <w:pStyle w:val="Figurelegend"/>
        <w:rPr>
          <w:lang w:eastAsia="en-AU"/>
        </w:rPr>
      </w:pPr>
      <w:r w:rsidRPr="00F06651">
        <w:rPr>
          <w:lang w:eastAsia="en-AU"/>
        </w:rPr>
        <w:t xml:space="preserve">Source: </w:t>
      </w:r>
      <w:r w:rsidR="00490886">
        <w:rPr>
          <w:lang w:eastAsia="en-AU"/>
        </w:rPr>
        <w:t>A</w:t>
      </w:r>
      <w:r w:rsidRPr="00F06651">
        <w:rPr>
          <w:lang w:eastAsia="en-AU"/>
        </w:rPr>
        <w:t>dapted from GSMA (2013)</w:t>
      </w:r>
      <w:r>
        <w:rPr>
          <w:lang w:eastAsia="en-AU"/>
        </w:rPr>
        <w:t>.</w:t>
      </w:r>
    </w:p>
    <w:p w14:paraId="65969211" w14:textId="77777777" w:rsidR="00185363" w:rsidRDefault="00AA662C" w:rsidP="00185363">
      <w:pPr>
        <w:pStyle w:val="FigureNoTitle"/>
        <w:rPr>
          <w:lang w:eastAsia="en-AU"/>
        </w:rPr>
      </w:pPr>
      <w:r w:rsidRPr="00F06651">
        <w:rPr>
          <w:lang w:eastAsia="en-AU"/>
        </w:rPr>
        <w:t xml:space="preserve">Figure </w:t>
      </w:r>
      <w:bookmarkStart w:id="39" w:name="connected_device_app_gsma"/>
      <w:bookmarkEnd w:id="39"/>
      <w:r w:rsidR="00C37C93">
        <w:rPr>
          <w:noProof/>
          <w:lang w:eastAsia="en-AU"/>
        </w:rPr>
        <w:t>6</w:t>
      </w:r>
      <w:r w:rsidRPr="00F06651">
        <w:rPr>
          <w:lang w:eastAsia="en-AU"/>
        </w:rPr>
        <w:t xml:space="preserve"> </w:t>
      </w:r>
      <w:r w:rsidR="0049069D">
        <w:rPr>
          <w:lang w:eastAsia="en-AU"/>
        </w:rPr>
        <w:t>–</w:t>
      </w:r>
      <w:r w:rsidRPr="00F06651">
        <w:rPr>
          <w:lang w:eastAsia="en-AU"/>
        </w:rPr>
        <w:t xml:space="preserve"> Examples of connected devices and applications through a mobile network</w:t>
      </w:r>
    </w:p>
    <w:p w14:paraId="14A0D18F" w14:textId="77777777" w:rsidR="00AA662C" w:rsidRPr="00F06651" w:rsidRDefault="00185363" w:rsidP="00185363">
      <w:pPr>
        <w:pStyle w:val="Heading3"/>
        <w:rPr>
          <w:rFonts w:ascii="Calibri" w:hAnsi="Calibri" w:cs="Arial"/>
          <w:sz w:val="22"/>
          <w:lang w:eastAsia="en-AU"/>
        </w:rPr>
      </w:pPr>
      <w:r>
        <w:rPr>
          <w:lang w:eastAsia="en-AU"/>
        </w:rPr>
        <w:t>2.2.6</w:t>
      </w:r>
      <w:r>
        <w:rPr>
          <w:lang w:eastAsia="en-AU"/>
        </w:rPr>
        <w:tab/>
      </w:r>
      <w:r w:rsidR="004C37E7">
        <w:rPr>
          <w:lang w:eastAsia="en-AU"/>
        </w:rPr>
        <w:t>Mobile e</w:t>
      </w:r>
      <w:r w:rsidR="00AA662C" w:rsidRPr="00F06651">
        <w:rPr>
          <w:lang w:eastAsia="en-AU"/>
        </w:rPr>
        <w:t>ducation (mEducation)</w:t>
      </w:r>
    </w:p>
    <w:p w14:paraId="78940FEC" w14:textId="6E0F7642" w:rsidR="00AA662C" w:rsidRPr="00F06651" w:rsidRDefault="00AA662C" w:rsidP="00185363">
      <w:pPr>
        <w:rPr>
          <w:lang w:eastAsia="zh-CN"/>
        </w:rPr>
      </w:pPr>
      <w:r w:rsidRPr="00F06651">
        <w:rPr>
          <w:lang w:eastAsia="zh-CN"/>
        </w:rPr>
        <w:t xml:space="preserve">Mobile education (mEducation) provides students, teachers, and all stakeholders interested or involved in capacity building with the ability to learn anywhere, </w:t>
      </w:r>
      <w:r w:rsidR="000D2032">
        <w:rPr>
          <w:lang w:eastAsia="zh-CN"/>
        </w:rPr>
        <w:t xml:space="preserve">and </w:t>
      </w:r>
      <w:r w:rsidRPr="00F06651">
        <w:rPr>
          <w:lang w:eastAsia="zh-CN"/>
        </w:rPr>
        <w:t>anytime</w:t>
      </w:r>
      <w:r w:rsidR="000D2032">
        <w:rPr>
          <w:lang w:eastAsia="zh-CN"/>
        </w:rPr>
        <w:t>.</w:t>
      </w:r>
      <w:r w:rsidRPr="00F06651">
        <w:rPr>
          <w:lang w:eastAsia="zh-CN"/>
        </w:rPr>
        <w:t xml:space="preserve"> </w:t>
      </w:r>
      <w:r w:rsidR="000D2032">
        <w:rPr>
          <w:lang w:eastAsia="zh-CN"/>
        </w:rPr>
        <w:t>mEducation</w:t>
      </w:r>
      <w:r w:rsidRPr="00F06651">
        <w:rPr>
          <w:lang w:eastAsia="zh-CN"/>
        </w:rPr>
        <w:t xml:space="preserve"> </w:t>
      </w:r>
      <w:r w:rsidR="000D2032">
        <w:rPr>
          <w:lang w:eastAsia="zh-CN"/>
        </w:rPr>
        <w:t xml:space="preserve">makes </w:t>
      </w:r>
      <w:r w:rsidRPr="00F06651">
        <w:rPr>
          <w:lang w:eastAsia="zh-CN"/>
        </w:rPr>
        <w:t>educational content available over mobile networks to devices such as tablets, smart phones and feature phones. Traditional learning is being transformed by non-traditional mobile technology environments that are beginning to shape the future of education. mEducation represents a powerful shift in the way in which education is delivered and accessed, as well as in the way content is created, adapted and appropriated by the end user. Beyond the supply of new learning mechanisms, mEducation enhances teaching and assessment</w:t>
      </w:r>
      <w:r w:rsidR="00D430E9">
        <w:rPr>
          <w:lang w:eastAsia="zh-CN"/>
        </w:rPr>
        <w:t>,</w:t>
      </w:r>
      <w:r w:rsidRPr="00F06651">
        <w:rPr>
          <w:lang w:eastAsia="zh-CN"/>
        </w:rPr>
        <w:t xml:space="preserve"> and facilitates educational administration and management via mobile technologies that are increasingly available.</w:t>
      </w:r>
    </w:p>
    <w:p w14:paraId="6333BAAE" w14:textId="77777777" w:rsidR="00AA662C" w:rsidRDefault="00AA662C" w:rsidP="00185363">
      <w:pPr>
        <w:rPr>
          <w:lang w:eastAsia="zh-CN"/>
        </w:rPr>
      </w:pPr>
      <w:r w:rsidRPr="00F06651">
        <w:rPr>
          <w:lang w:eastAsia="zh-CN"/>
        </w:rPr>
        <w:t>Figure 7 provides an example of how mobile devices can increase access to learning opportunities by allowing increased flexibility and diversity in the access to and use of educational program</w:t>
      </w:r>
      <w:r w:rsidR="00D430E9">
        <w:rPr>
          <w:lang w:eastAsia="zh-CN"/>
        </w:rPr>
        <w:t>me</w:t>
      </w:r>
      <w:r w:rsidRPr="00F06651">
        <w:rPr>
          <w:lang w:eastAsia="zh-CN"/>
        </w:rPr>
        <w:t>s.</w:t>
      </w:r>
    </w:p>
    <w:p w14:paraId="528D9F6B" w14:textId="77777777" w:rsidR="00DC0049" w:rsidRDefault="00DC0049" w:rsidP="00185363">
      <w:pPr>
        <w:rPr>
          <w:lang w:eastAsia="zh-CN"/>
        </w:rPr>
      </w:pPr>
      <w:r>
        <w:rPr>
          <w:noProof/>
          <w:lang w:val="en-US" w:eastAsia="zh-CN"/>
        </w:rPr>
        <w:lastRenderedPageBreak/>
        <w:drawing>
          <wp:inline distT="0" distB="0" distL="0" distR="0" wp14:anchorId="40BD1D67" wp14:editId="321DDFD2">
            <wp:extent cx="6120765" cy="4076700"/>
            <wp:effectExtent l="19050" t="0" r="0" b="0"/>
            <wp:docPr id="3" name="Picture 2" descr="EME_58_ITU_Graphics_1000px_FIG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8_ITU_Graphics_1000px_FIG7.1.jpg"/>
                    <pic:cNvPicPr/>
                  </pic:nvPicPr>
                  <pic:blipFill>
                    <a:blip r:embed="rId23" cstate="print"/>
                    <a:stretch>
                      <a:fillRect/>
                    </a:stretch>
                  </pic:blipFill>
                  <pic:spPr>
                    <a:xfrm>
                      <a:off x="0" y="0"/>
                      <a:ext cx="6120765" cy="4076700"/>
                    </a:xfrm>
                    <a:prstGeom prst="rect">
                      <a:avLst/>
                    </a:prstGeom>
                  </pic:spPr>
                </pic:pic>
              </a:graphicData>
            </a:graphic>
          </wp:inline>
        </w:drawing>
      </w:r>
    </w:p>
    <w:p w14:paraId="1E29AF87" w14:textId="77777777" w:rsidR="00DC0049" w:rsidRDefault="00DC0049" w:rsidP="00185363">
      <w:pPr>
        <w:rPr>
          <w:lang w:eastAsia="zh-CN"/>
        </w:rPr>
      </w:pPr>
      <w:r>
        <w:rPr>
          <w:noProof/>
          <w:lang w:val="en-US" w:eastAsia="zh-CN"/>
        </w:rPr>
        <w:drawing>
          <wp:inline distT="0" distB="0" distL="0" distR="0" wp14:anchorId="3F20483E" wp14:editId="54803AE7">
            <wp:extent cx="6120765" cy="4076700"/>
            <wp:effectExtent l="19050" t="0" r="0" b="0"/>
            <wp:docPr id="4" name="Picture 3" descr="EME_58_ITU_Graphics_1000px_FIG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8_ITU_Graphics_1000px_FIG7.2.jpg"/>
                    <pic:cNvPicPr/>
                  </pic:nvPicPr>
                  <pic:blipFill>
                    <a:blip r:embed="rId24" cstate="print"/>
                    <a:stretch>
                      <a:fillRect/>
                    </a:stretch>
                  </pic:blipFill>
                  <pic:spPr>
                    <a:xfrm>
                      <a:off x="0" y="0"/>
                      <a:ext cx="6120765" cy="4076700"/>
                    </a:xfrm>
                    <a:prstGeom prst="rect">
                      <a:avLst/>
                    </a:prstGeom>
                  </pic:spPr>
                </pic:pic>
              </a:graphicData>
            </a:graphic>
          </wp:inline>
        </w:drawing>
      </w:r>
    </w:p>
    <w:p w14:paraId="403F97D9" w14:textId="77777777" w:rsidR="00DC0049" w:rsidRDefault="00DC0049" w:rsidP="00185363">
      <w:pPr>
        <w:rPr>
          <w:lang w:eastAsia="zh-CN"/>
        </w:rPr>
      </w:pPr>
    </w:p>
    <w:p w14:paraId="62B13673" w14:textId="77777777" w:rsidR="00DC0049" w:rsidRDefault="00DC0049" w:rsidP="00185363">
      <w:pPr>
        <w:rPr>
          <w:lang w:eastAsia="zh-CN"/>
        </w:rPr>
      </w:pPr>
    </w:p>
    <w:p w14:paraId="4382B2B8" w14:textId="77777777" w:rsidR="00DC0049" w:rsidRDefault="00DC0049" w:rsidP="00185363">
      <w:pPr>
        <w:rPr>
          <w:lang w:eastAsia="zh-CN"/>
        </w:rPr>
      </w:pPr>
      <w:r>
        <w:rPr>
          <w:noProof/>
          <w:lang w:val="en-US" w:eastAsia="zh-CN"/>
        </w:rPr>
        <w:lastRenderedPageBreak/>
        <w:drawing>
          <wp:inline distT="0" distB="0" distL="0" distR="0" wp14:anchorId="56609B97" wp14:editId="533DCA5E">
            <wp:extent cx="6120765" cy="4076700"/>
            <wp:effectExtent l="19050" t="0" r="0" b="0"/>
            <wp:docPr id="5" name="Picture 4" descr="EME_58_ITU_Graphics_1000px_FIG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8_ITU_Graphics_1000px_FIG7.3.jpg"/>
                    <pic:cNvPicPr/>
                  </pic:nvPicPr>
                  <pic:blipFill>
                    <a:blip r:embed="rId25" cstate="print"/>
                    <a:stretch>
                      <a:fillRect/>
                    </a:stretch>
                  </pic:blipFill>
                  <pic:spPr>
                    <a:xfrm>
                      <a:off x="0" y="0"/>
                      <a:ext cx="6120765" cy="4076700"/>
                    </a:xfrm>
                    <a:prstGeom prst="rect">
                      <a:avLst/>
                    </a:prstGeom>
                  </pic:spPr>
                </pic:pic>
              </a:graphicData>
            </a:graphic>
          </wp:inline>
        </w:drawing>
      </w:r>
    </w:p>
    <w:p w14:paraId="080F07A0" w14:textId="77777777" w:rsidR="00DC0049" w:rsidRDefault="00DC0049" w:rsidP="00185363">
      <w:pPr>
        <w:rPr>
          <w:lang w:eastAsia="zh-CN"/>
        </w:rPr>
      </w:pPr>
      <w:r>
        <w:rPr>
          <w:noProof/>
          <w:lang w:val="en-US" w:eastAsia="zh-CN"/>
        </w:rPr>
        <w:drawing>
          <wp:inline distT="0" distB="0" distL="0" distR="0" wp14:anchorId="0489622D" wp14:editId="25880CA6">
            <wp:extent cx="6120765" cy="4076700"/>
            <wp:effectExtent l="19050" t="0" r="0" b="0"/>
            <wp:docPr id="6" name="Picture 5" descr="EME_58_ITU_Graphics_1000px_FIG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8_ITU_Graphics_1000px_FIG7.4.jpg"/>
                    <pic:cNvPicPr/>
                  </pic:nvPicPr>
                  <pic:blipFill>
                    <a:blip r:embed="rId26" cstate="print"/>
                    <a:stretch>
                      <a:fillRect/>
                    </a:stretch>
                  </pic:blipFill>
                  <pic:spPr>
                    <a:xfrm>
                      <a:off x="0" y="0"/>
                      <a:ext cx="6120765" cy="4076700"/>
                    </a:xfrm>
                    <a:prstGeom prst="rect">
                      <a:avLst/>
                    </a:prstGeom>
                  </pic:spPr>
                </pic:pic>
              </a:graphicData>
            </a:graphic>
          </wp:inline>
        </w:drawing>
      </w:r>
    </w:p>
    <w:p w14:paraId="43A4433E" w14:textId="77777777" w:rsidR="00DC0049" w:rsidRDefault="00DC0049" w:rsidP="00185363">
      <w:pPr>
        <w:rPr>
          <w:lang w:eastAsia="zh-CN"/>
        </w:rPr>
      </w:pPr>
    </w:p>
    <w:p w14:paraId="0FB46B42" w14:textId="77777777" w:rsidR="00DC0049" w:rsidRDefault="00DC0049" w:rsidP="00185363">
      <w:pPr>
        <w:rPr>
          <w:lang w:eastAsia="zh-CN"/>
        </w:rPr>
      </w:pPr>
    </w:p>
    <w:p w14:paraId="17836C44" w14:textId="77777777" w:rsidR="00DC0049" w:rsidRDefault="00DC0049" w:rsidP="00185363">
      <w:pPr>
        <w:rPr>
          <w:lang w:eastAsia="zh-CN"/>
        </w:rPr>
      </w:pPr>
      <w:r>
        <w:rPr>
          <w:noProof/>
          <w:lang w:val="en-US" w:eastAsia="zh-CN"/>
        </w:rPr>
        <w:lastRenderedPageBreak/>
        <w:drawing>
          <wp:inline distT="0" distB="0" distL="0" distR="0" wp14:anchorId="6F5A0DE6" wp14:editId="6CD42956">
            <wp:extent cx="6120765" cy="4076700"/>
            <wp:effectExtent l="19050" t="0" r="0" b="0"/>
            <wp:docPr id="7" name="Picture 6" descr="EME_58_ITU_Graphics_1000px_FIG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8_ITU_Graphics_1000px_FIG7.5.jpg"/>
                    <pic:cNvPicPr/>
                  </pic:nvPicPr>
                  <pic:blipFill>
                    <a:blip r:embed="rId27" cstate="print"/>
                    <a:stretch>
                      <a:fillRect/>
                    </a:stretch>
                  </pic:blipFill>
                  <pic:spPr>
                    <a:xfrm>
                      <a:off x="0" y="0"/>
                      <a:ext cx="6120765" cy="4076700"/>
                    </a:xfrm>
                    <a:prstGeom prst="rect">
                      <a:avLst/>
                    </a:prstGeom>
                  </pic:spPr>
                </pic:pic>
              </a:graphicData>
            </a:graphic>
          </wp:inline>
        </w:drawing>
      </w:r>
    </w:p>
    <w:p w14:paraId="27DD2367" w14:textId="77777777" w:rsidR="00AA662C" w:rsidRPr="00185363" w:rsidRDefault="00DC0049" w:rsidP="00BE191B">
      <w:pPr>
        <w:rPr>
          <w:noProof/>
          <w:lang w:val="en-US" w:eastAsia="zh-CN"/>
        </w:rPr>
      </w:pPr>
      <w:r>
        <w:rPr>
          <w:noProof/>
          <w:lang w:val="en-US" w:eastAsia="zh-CN"/>
        </w:rPr>
        <w:drawing>
          <wp:inline distT="0" distB="0" distL="0" distR="0" wp14:anchorId="2242C0F4" wp14:editId="75F11C17">
            <wp:extent cx="6120765" cy="4076700"/>
            <wp:effectExtent l="19050" t="0" r="0" b="0"/>
            <wp:docPr id="8" name="Picture 7" descr="EME_58_ITU_Graphics_1000px_FIG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8_ITU_Graphics_1000px_FIG7.6.jpg"/>
                    <pic:cNvPicPr/>
                  </pic:nvPicPr>
                  <pic:blipFill>
                    <a:blip r:embed="rId28" cstate="print"/>
                    <a:stretch>
                      <a:fillRect/>
                    </a:stretch>
                  </pic:blipFill>
                  <pic:spPr>
                    <a:xfrm>
                      <a:off x="0" y="0"/>
                      <a:ext cx="6120765" cy="4076700"/>
                    </a:xfrm>
                    <a:prstGeom prst="rect">
                      <a:avLst/>
                    </a:prstGeom>
                  </pic:spPr>
                </pic:pic>
              </a:graphicData>
            </a:graphic>
          </wp:inline>
        </w:drawing>
      </w:r>
    </w:p>
    <w:p w14:paraId="69A3F0D2" w14:textId="6238ADF2" w:rsidR="00A17594" w:rsidRPr="00BE191B" w:rsidRDefault="000E4A5B" w:rsidP="00A17594">
      <w:pPr>
        <w:pStyle w:val="FigureNoTitle"/>
        <w:spacing w:before="0"/>
        <w:jc w:val="left"/>
        <w:rPr>
          <w:b w:val="0"/>
          <w:sz w:val="18"/>
          <w:lang w:eastAsia="en-AU"/>
        </w:rPr>
      </w:pPr>
      <w:r w:rsidRPr="002E4045">
        <w:rPr>
          <w:b w:val="0"/>
          <w:sz w:val="18"/>
          <w:lang w:val="fr-CH" w:eastAsia="en-AU"/>
        </w:rPr>
        <w:t>Source: Adapted from GSMA, Orange, Universitat Oberta de Catalunya.</w:t>
      </w:r>
      <w:r w:rsidRPr="002E4045">
        <w:rPr>
          <w:b w:val="0"/>
          <w:sz w:val="18"/>
          <w:lang w:val="fr-CH" w:eastAsia="en-AU"/>
        </w:rPr>
        <w:br/>
      </w:r>
      <w:r w:rsidR="00A17594" w:rsidRPr="00BE191B">
        <w:rPr>
          <w:b w:val="0"/>
          <w:sz w:val="18"/>
          <w:lang w:eastAsia="en-AU"/>
        </w:rPr>
        <w:t>Case study: University goes portable with tablet technology (2012</w:t>
      </w:r>
      <w:r w:rsidR="00A17594">
        <w:rPr>
          <w:b w:val="0"/>
          <w:sz w:val="18"/>
          <w:lang w:eastAsia="en-AU"/>
        </w:rPr>
        <w:t>.</w:t>
      </w:r>
      <w:r w:rsidR="00A17594" w:rsidRPr="00BE191B">
        <w:rPr>
          <w:b w:val="0"/>
          <w:sz w:val="18"/>
          <w:lang w:eastAsia="en-AU"/>
        </w:rPr>
        <w:t>)</w:t>
      </w:r>
    </w:p>
    <w:p w14:paraId="515A904A" w14:textId="33761360" w:rsidR="00BE191B" w:rsidRDefault="00AA662C" w:rsidP="00BE191B">
      <w:pPr>
        <w:pStyle w:val="FigureNoTitle"/>
        <w:spacing w:after="0"/>
        <w:rPr>
          <w:lang w:eastAsia="en-AU"/>
        </w:rPr>
      </w:pPr>
      <w:r w:rsidRPr="00F06651">
        <w:rPr>
          <w:lang w:eastAsia="en-AU"/>
        </w:rPr>
        <w:t xml:space="preserve">Figure </w:t>
      </w:r>
      <w:bookmarkStart w:id="40" w:name="connected_device_learn_spain"/>
      <w:bookmarkEnd w:id="40"/>
      <w:r w:rsidR="00C37C93">
        <w:rPr>
          <w:noProof/>
          <w:lang w:eastAsia="en-AU"/>
        </w:rPr>
        <w:t>7</w:t>
      </w:r>
      <w:r w:rsidRPr="00F06651">
        <w:rPr>
          <w:lang w:eastAsia="en-AU"/>
        </w:rPr>
        <w:t xml:space="preserve"> </w:t>
      </w:r>
      <w:r w:rsidR="0049069D">
        <w:rPr>
          <w:lang w:eastAsia="en-AU"/>
        </w:rPr>
        <w:t>–</w:t>
      </w:r>
      <w:r w:rsidRPr="00F06651">
        <w:rPr>
          <w:lang w:eastAsia="en-AU"/>
        </w:rPr>
        <w:t xml:space="preserve"> </w:t>
      </w:r>
      <w:r w:rsidR="00084E38">
        <w:rPr>
          <w:lang w:eastAsia="en-AU"/>
        </w:rPr>
        <w:t xml:space="preserve">Storyboard </w:t>
      </w:r>
      <w:r w:rsidR="00A17594">
        <w:rPr>
          <w:lang w:eastAsia="en-AU"/>
        </w:rPr>
        <w:t>e</w:t>
      </w:r>
      <w:r w:rsidRPr="00F06651">
        <w:rPr>
          <w:lang w:eastAsia="en-AU"/>
        </w:rPr>
        <w:t>xample of mobile devices increasing access to learning</w:t>
      </w:r>
    </w:p>
    <w:p w14:paraId="2D92431F" w14:textId="77777777" w:rsidR="00AA662C" w:rsidRPr="00F06651" w:rsidRDefault="00185363" w:rsidP="00185363">
      <w:pPr>
        <w:pStyle w:val="Heading3"/>
        <w:rPr>
          <w:rFonts w:ascii="Calibri" w:hAnsi="Calibri" w:cs="Arial"/>
          <w:sz w:val="22"/>
          <w:lang w:eastAsia="en-AU"/>
        </w:rPr>
      </w:pPr>
      <w:r>
        <w:rPr>
          <w:lang w:eastAsia="en-AU"/>
        </w:rPr>
        <w:lastRenderedPageBreak/>
        <w:t>2.2.7</w:t>
      </w:r>
      <w:r>
        <w:rPr>
          <w:lang w:eastAsia="en-AU"/>
        </w:rPr>
        <w:tab/>
      </w:r>
      <w:r w:rsidR="00AA662C" w:rsidRPr="00F06651">
        <w:rPr>
          <w:lang w:eastAsia="en-AU"/>
        </w:rPr>
        <w:t>Smart buildings and smart houses</w:t>
      </w:r>
    </w:p>
    <w:p w14:paraId="5F25C491" w14:textId="53D22A62" w:rsidR="00AA662C" w:rsidRPr="00F06651" w:rsidRDefault="00AA662C" w:rsidP="00185363">
      <w:pPr>
        <w:rPr>
          <w:lang w:eastAsia="zh-CN"/>
        </w:rPr>
      </w:pPr>
      <w:r w:rsidRPr="00F06651">
        <w:rPr>
          <w:lang w:eastAsia="zh-CN"/>
        </w:rPr>
        <w:t>Mobile connectivity can enable emission reductions in buildings by increasing automation and control, for example</w:t>
      </w:r>
      <w:r w:rsidR="008422F1">
        <w:rPr>
          <w:lang w:eastAsia="zh-CN"/>
        </w:rPr>
        <w:t>,</w:t>
      </w:r>
      <w:r w:rsidRPr="00F06651">
        <w:rPr>
          <w:lang w:eastAsia="zh-CN"/>
        </w:rPr>
        <w:t xml:space="preserve"> in building management systems, heating, ventilation and air conditioning (HVAC) and lighting. Mobile technology can enable users to control building technologies remotely, for example</w:t>
      </w:r>
      <w:r w:rsidR="008422F1">
        <w:rPr>
          <w:lang w:eastAsia="zh-CN"/>
        </w:rPr>
        <w:t>,</w:t>
      </w:r>
      <w:r w:rsidRPr="00F06651">
        <w:rPr>
          <w:lang w:eastAsia="zh-CN"/>
        </w:rPr>
        <w:t xml:space="preserve"> by adjusting HVAC settings from a mobile device. Mobile </w:t>
      </w:r>
      <w:r w:rsidR="008422F1">
        <w:rPr>
          <w:lang w:eastAsia="zh-CN"/>
        </w:rPr>
        <w:t>machine-to-machine (</w:t>
      </w:r>
      <w:r w:rsidRPr="00F06651">
        <w:rPr>
          <w:lang w:eastAsia="zh-CN"/>
        </w:rPr>
        <w:t>M2M</w:t>
      </w:r>
      <w:r w:rsidR="008422F1">
        <w:rPr>
          <w:lang w:eastAsia="zh-CN"/>
        </w:rPr>
        <w:t>)</w:t>
      </w:r>
      <w:r w:rsidRPr="00F06651">
        <w:rPr>
          <w:lang w:eastAsia="zh-CN"/>
        </w:rPr>
        <w:t xml:space="preserve"> devices can be embedded in HVAC, lighting and other appliances across a building, either as the main means of communication with access points or as a back-up facility to short-range M2M communication in the case of critical systems. A recent report by GSMA (2012) suggests that potential reductions in GHG emissions from smart buildings are estimated to be in the range of 30 MtCO</w:t>
      </w:r>
      <w:r w:rsidRPr="00F06651">
        <w:rPr>
          <w:sz w:val="22"/>
          <w:vertAlign w:val="subscript"/>
          <w:lang w:eastAsia="zh-CN"/>
        </w:rPr>
        <w:t>2</w:t>
      </w:r>
      <w:r w:rsidRPr="00F06651">
        <w:rPr>
          <w:vertAlign w:val="subscript"/>
          <w:lang w:eastAsia="zh-CN"/>
        </w:rPr>
        <w:t>e</w:t>
      </w:r>
      <w:r w:rsidRPr="00F06651">
        <w:rPr>
          <w:lang w:eastAsia="zh-CN"/>
        </w:rPr>
        <w:t xml:space="preserve"> by 2020.</w:t>
      </w:r>
    </w:p>
    <w:p w14:paraId="46F2D361" w14:textId="593482D3" w:rsidR="00AA662C" w:rsidRPr="00F06651" w:rsidRDefault="00AA662C" w:rsidP="00185363">
      <w:pPr>
        <w:rPr>
          <w:lang w:eastAsia="zh-CN"/>
        </w:rPr>
      </w:pPr>
      <w:r w:rsidRPr="00F06651">
        <w:rPr>
          <w:lang w:eastAsia="zh-CN"/>
        </w:rPr>
        <w:t>Short</w:t>
      </w:r>
      <w:r w:rsidR="008422F1">
        <w:rPr>
          <w:lang w:eastAsia="zh-CN"/>
        </w:rPr>
        <w:t xml:space="preserve"> </w:t>
      </w:r>
      <w:r w:rsidRPr="00F06651">
        <w:rPr>
          <w:lang w:eastAsia="zh-CN"/>
        </w:rPr>
        <w:t xml:space="preserve">range devices (SRDs) enable smart houses. Technologies such as Z-Wave provide indoor network of remote controls, </w:t>
      </w:r>
      <w:r w:rsidR="008422F1">
        <w:rPr>
          <w:lang w:eastAsia="zh-CN"/>
        </w:rPr>
        <w:t xml:space="preserve">smart </w:t>
      </w:r>
      <w:r w:rsidRPr="00F06651">
        <w:rPr>
          <w:lang w:eastAsia="zh-CN"/>
        </w:rPr>
        <w:t>smoke alarms and security sensors.</w:t>
      </w:r>
      <w:r w:rsidR="0049069D">
        <w:rPr>
          <w:lang w:eastAsia="zh-CN"/>
        </w:rPr>
        <w:t xml:space="preserve"> </w:t>
      </w:r>
      <w:r w:rsidRPr="00F06651">
        <w:rPr>
          <w:lang w:eastAsia="zh-CN"/>
        </w:rPr>
        <w:t>Figure 8 illustrates an example of SRDs enabling an intelligent house by enabling automation and monitoring of temperature, appliances, electricity, and so on.</w:t>
      </w:r>
    </w:p>
    <w:p w14:paraId="6CA40EDF" w14:textId="77777777" w:rsidR="00AA662C" w:rsidRPr="00F06651" w:rsidRDefault="00AA662C" w:rsidP="00185363">
      <w:pPr>
        <w:pStyle w:val="Figure"/>
        <w:rPr>
          <w:bCs/>
          <w:kern w:val="36"/>
          <w:szCs w:val="24"/>
          <w:lang w:eastAsia="en-AU"/>
        </w:rPr>
      </w:pPr>
      <w:r w:rsidRPr="00F06651">
        <w:rPr>
          <w:noProof/>
          <w:lang w:val="en-US" w:eastAsia="zh-CN"/>
        </w:rPr>
        <w:drawing>
          <wp:inline distT="0" distB="0" distL="0" distR="0" wp14:anchorId="3DCF9B30" wp14:editId="60814B97">
            <wp:extent cx="3813135" cy="3095269"/>
            <wp:effectExtent l="19050" t="0" r="0" b="0"/>
            <wp:docPr id="39" name="Picture 5" descr="C:\Users\HaimM\Desktop\Documents\Book\FILES FOR BOOK\z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descr="C:\Users\HaimM\Desktop\Documents\Book\FILES FOR BOOK\zwave.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409" r="8867" b="9098"/>
                    <a:stretch/>
                  </pic:blipFill>
                  <pic:spPr bwMode="auto">
                    <a:xfrm>
                      <a:off x="0" y="0"/>
                      <a:ext cx="3823186" cy="3103428"/>
                    </a:xfrm>
                    <a:prstGeom prst="rect">
                      <a:avLst/>
                    </a:prstGeom>
                    <a:noFill/>
                    <a:extLst/>
                  </pic:spPr>
                </pic:pic>
              </a:graphicData>
            </a:graphic>
          </wp:inline>
        </w:drawing>
      </w:r>
    </w:p>
    <w:p w14:paraId="6CDB6AA9" w14:textId="1776668D" w:rsidR="008422F1" w:rsidRPr="005B73E3" w:rsidRDefault="008422F1" w:rsidP="008422F1">
      <w:pPr>
        <w:pStyle w:val="Figurelegend"/>
        <w:rPr>
          <w:szCs w:val="18"/>
          <w:lang w:eastAsia="en-AU"/>
        </w:rPr>
      </w:pPr>
      <w:r w:rsidRPr="00F06651">
        <w:rPr>
          <w:lang w:eastAsia="en-AU"/>
        </w:rPr>
        <w:t>Source: ITU Workshop on Short Ran</w:t>
      </w:r>
      <w:r>
        <w:rPr>
          <w:lang w:eastAsia="en-AU"/>
        </w:rPr>
        <w:t xml:space="preserve">ge Devices and Ultra Wide Band’, </w:t>
      </w:r>
      <w:r w:rsidRPr="00F06651">
        <w:rPr>
          <w:lang w:eastAsia="en-AU"/>
        </w:rPr>
        <w:t>Geneva</w:t>
      </w:r>
      <w:r>
        <w:rPr>
          <w:lang w:eastAsia="en-AU"/>
        </w:rPr>
        <w:t xml:space="preserve">, </w:t>
      </w:r>
      <w:r w:rsidRPr="00F06651">
        <w:rPr>
          <w:lang w:eastAsia="en-AU"/>
        </w:rPr>
        <w:t>3 June 2014</w:t>
      </w:r>
      <w:r>
        <w:rPr>
          <w:lang w:eastAsia="en-AU"/>
        </w:rPr>
        <w:t>, available at</w:t>
      </w:r>
      <w:r w:rsidRPr="005B73E3">
        <w:rPr>
          <w:szCs w:val="18"/>
          <w:lang w:eastAsia="en-AU"/>
        </w:rPr>
        <w:t xml:space="preserve"> </w:t>
      </w:r>
      <w:r w:rsidRPr="009832BB">
        <w:rPr>
          <w:szCs w:val="18"/>
          <w:lang w:val="en-US"/>
        </w:rPr>
        <w:t>http://www.itu.int/en/ITU-R/study-groups/workshops/RWP1B-SRD-UWB-14/Presentations/International,%20regional%20and%20national%20regulation%20of%20SRDs.pdf</w:t>
      </w:r>
    </w:p>
    <w:p w14:paraId="3897B3BB" w14:textId="4E8BC838" w:rsidR="00185363" w:rsidRDefault="00AA662C" w:rsidP="0049069D">
      <w:pPr>
        <w:pStyle w:val="FigureNoTitle"/>
        <w:rPr>
          <w:lang w:eastAsia="en-AU"/>
        </w:rPr>
      </w:pPr>
      <w:r w:rsidRPr="00F06651">
        <w:rPr>
          <w:lang w:eastAsia="en-AU"/>
        </w:rPr>
        <w:t xml:space="preserve">Figure </w:t>
      </w:r>
      <w:bookmarkStart w:id="41" w:name="srd_intelligent_house"/>
      <w:bookmarkEnd w:id="41"/>
      <w:r w:rsidR="00C37C93">
        <w:rPr>
          <w:noProof/>
          <w:lang w:eastAsia="en-AU"/>
        </w:rPr>
        <w:t>8</w:t>
      </w:r>
      <w:r w:rsidRPr="00F06651">
        <w:rPr>
          <w:lang w:eastAsia="en-AU"/>
        </w:rPr>
        <w:t xml:space="preserve"> </w:t>
      </w:r>
      <w:r w:rsidR="0049069D">
        <w:rPr>
          <w:lang w:eastAsia="en-AU"/>
        </w:rPr>
        <w:t>–</w:t>
      </w:r>
      <w:r w:rsidRPr="00F06651">
        <w:rPr>
          <w:lang w:eastAsia="en-AU"/>
        </w:rPr>
        <w:t xml:space="preserve"> Short</w:t>
      </w:r>
      <w:r w:rsidR="008422F1">
        <w:rPr>
          <w:lang w:eastAsia="en-AU"/>
        </w:rPr>
        <w:t xml:space="preserve"> </w:t>
      </w:r>
      <w:r w:rsidRPr="00F06651">
        <w:rPr>
          <w:lang w:eastAsia="en-AU"/>
        </w:rPr>
        <w:t>range devices enabling smart and intelligent house</w:t>
      </w:r>
    </w:p>
    <w:p w14:paraId="0394204C" w14:textId="77777777" w:rsidR="00AA662C" w:rsidRPr="00F06651" w:rsidRDefault="00AA662C" w:rsidP="00185363">
      <w:pPr>
        <w:pStyle w:val="Heading2"/>
        <w:rPr>
          <w:lang w:eastAsia="en-AU"/>
        </w:rPr>
      </w:pPr>
      <w:bookmarkStart w:id="42" w:name="_Toc397945035"/>
      <w:bookmarkStart w:id="43" w:name="_Toc400020858"/>
      <w:bookmarkStart w:id="44" w:name="_Toc400106126"/>
      <w:r>
        <w:rPr>
          <w:lang w:eastAsia="en-AU"/>
        </w:rPr>
        <w:t>2.3</w:t>
      </w:r>
      <w:r>
        <w:rPr>
          <w:lang w:eastAsia="en-AU"/>
        </w:rPr>
        <w:tab/>
      </w:r>
      <w:r w:rsidRPr="00F06651">
        <w:rPr>
          <w:lang w:eastAsia="en-AU"/>
        </w:rPr>
        <w:t>Importance of wireless network connectivity</w:t>
      </w:r>
      <w:bookmarkEnd w:id="42"/>
      <w:bookmarkEnd w:id="43"/>
      <w:bookmarkEnd w:id="44"/>
      <w:r w:rsidRPr="00F06651">
        <w:rPr>
          <w:lang w:eastAsia="en-AU"/>
        </w:rPr>
        <w:t xml:space="preserve"> </w:t>
      </w:r>
    </w:p>
    <w:p w14:paraId="64A7BDD4" w14:textId="5625B293" w:rsidR="00AA662C" w:rsidRPr="00F06651" w:rsidRDefault="00AA662C" w:rsidP="00185363">
      <w:pPr>
        <w:rPr>
          <w:lang w:eastAsia="zh-CN"/>
        </w:rPr>
      </w:pPr>
      <w:r w:rsidRPr="00F06651">
        <w:rPr>
          <w:lang w:eastAsia="zh-CN"/>
        </w:rPr>
        <w:t>As the analysis and the examples presented thus far suggest wireless networks provide essential connection of devices in SSC. Without network connection, the devices cannot communicate and operate correctly. The design and location of the antenna sites in a wireless network underpins the entire operation of SSC. The base stations of mobile networks need to be located in close proximity to the devices in order to ensure connection and improved efficiency in their operation. The connected devices operate at low power and have a limited operating distance. The range of the devices usually constitutes the limiting design factor when choosing the physical locations to install base stations.</w:t>
      </w:r>
      <w:r w:rsidR="0049069D">
        <w:rPr>
          <w:lang w:eastAsia="zh-CN"/>
        </w:rPr>
        <w:t xml:space="preserve"> </w:t>
      </w:r>
    </w:p>
    <w:p w14:paraId="122A4D07" w14:textId="1B8D86E9" w:rsidR="00AA662C" w:rsidRPr="00F06651" w:rsidRDefault="00AA662C" w:rsidP="00185363">
      <w:pPr>
        <w:pStyle w:val="Heading2"/>
        <w:rPr>
          <w:lang w:eastAsia="en-AU"/>
        </w:rPr>
      </w:pPr>
      <w:bookmarkStart w:id="45" w:name="_Toc397945036"/>
      <w:bookmarkStart w:id="46" w:name="_Toc400020859"/>
      <w:bookmarkStart w:id="47" w:name="_Toc400106127"/>
      <w:r>
        <w:rPr>
          <w:lang w:eastAsia="en-AU"/>
        </w:rPr>
        <w:lastRenderedPageBreak/>
        <w:t>2.4</w:t>
      </w:r>
      <w:r>
        <w:rPr>
          <w:lang w:eastAsia="en-AU"/>
        </w:rPr>
        <w:tab/>
      </w:r>
      <w:r w:rsidRPr="00F06651">
        <w:rPr>
          <w:lang w:eastAsia="en-AU"/>
        </w:rPr>
        <w:t xml:space="preserve">Wireless </w:t>
      </w:r>
      <w:r w:rsidR="007F51C3">
        <w:rPr>
          <w:lang w:eastAsia="en-AU"/>
        </w:rPr>
        <w:t>t</w:t>
      </w:r>
      <w:r w:rsidRPr="00F06651">
        <w:rPr>
          <w:lang w:eastAsia="en-AU"/>
        </w:rPr>
        <w:t xml:space="preserve">echnology </w:t>
      </w:r>
      <w:r w:rsidR="007F51C3">
        <w:rPr>
          <w:lang w:eastAsia="en-AU"/>
        </w:rPr>
        <w:t>p</w:t>
      </w:r>
      <w:r w:rsidRPr="00F06651">
        <w:rPr>
          <w:lang w:eastAsia="en-AU"/>
        </w:rPr>
        <w:t xml:space="preserve">ower and </w:t>
      </w:r>
      <w:r w:rsidR="007F51C3">
        <w:rPr>
          <w:lang w:eastAsia="en-AU"/>
        </w:rPr>
        <w:t>o</w:t>
      </w:r>
      <w:r w:rsidRPr="00F06651">
        <w:rPr>
          <w:lang w:eastAsia="en-AU"/>
        </w:rPr>
        <w:t xml:space="preserve">perating </w:t>
      </w:r>
      <w:r w:rsidR="007F51C3">
        <w:rPr>
          <w:lang w:eastAsia="en-AU"/>
        </w:rPr>
        <w:t>r</w:t>
      </w:r>
      <w:r w:rsidRPr="00F06651">
        <w:rPr>
          <w:lang w:eastAsia="en-AU"/>
        </w:rPr>
        <w:t>ange</w:t>
      </w:r>
      <w:bookmarkEnd w:id="45"/>
      <w:bookmarkEnd w:id="46"/>
      <w:bookmarkEnd w:id="47"/>
    </w:p>
    <w:p w14:paraId="7BD9C54E" w14:textId="26A43E80" w:rsidR="00AA662C" w:rsidRDefault="007F51C3" w:rsidP="00185363">
      <w:pPr>
        <w:rPr>
          <w:lang w:eastAsia="zh-CN"/>
        </w:rPr>
      </w:pPr>
      <w:r>
        <w:rPr>
          <w:lang w:eastAsia="zh-CN"/>
        </w:rPr>
        <w:t>T</w:t>
      </w:r>
      <w:r w:rsidR="00AA662C" w:rsidRPr="00F06651">
        <w:rPr>
          <w:lang w:eastAsia="zh-CN"/>
        </w:rPr>
        <w:t xml:space="preserve">able </w:t>
      </w:r>
      <w:r>
        <w:rPr>
          <w:lang w:eastAsia="zh-CN"/>
        </w:rPr>
        <w:t xml:space="preserve">1 </w:t>
      </w:r>
      <w:r w:rsidR="00AA662C" w:rsidRPr="00F06651">
        <w:rPr>
          <w:lang w:eastAsia="zh-CN"/>
        </w:rPr>
        <w:t xml:space="preserve">provides a summary of the ICT wireless technologies, including typical peak transmitter powers, </w:t>
      </w:r>
      <w:r>
        <w:rPr>
          <w:lang w:eastAsia="zh-CN"/>
        </w:rPr>
        <w:t>equivalent isotropic radiated power (</w:t>
      </w:r>
      <w:r w:rsidR="00AA662C" w:rsidRPr="00F06651">
        <w:rPr>
          <w:lang w:eastAsia="zh-CN"/>
        </w:rPr>
        <w:t>EIRP</w:t>
      </w:r>
      <w:r>
        <w:rPr>
          <w:lang w:eastAsia="zh-CN"/>
        </w:rPr>
        <w:t>)</w:t>
      </w:r>
      <w:r w:rsidR="00AA662C" w:rsidRPr="00F06651">
        <w:rPr>
          <w:lang w:eastAsia="zh-CN"/>
        </w:rPr>
        <w:t xml:space="preserve"> and operating distances. The information is relevant to city officials involved in the development of antenna siting policies or the approval of site applications. It illustrates the low powers used by wireless network technologies in comparison to broadcast services.</w:t>
      </w:r>
    </w:p>
    <w:p w14:paraId="6C733147" w14:textId="77777777" w:rsidR="003C2262" w:rsidRDefault="003C2262" w:rsidP="003C2262">
      <w:pPr>
        <w:pStyle w:val="TableNoTitle"/>
        <w:rPr>
          <w:lang w:eastAsia="zh-CN"/>
        </w:rPr>
      </w:pPr>
      <w:r w:rsidRPr="00F06651">
        <w:rPr>
          <w:kern w:val="36"/>
          <w:sz w:val="22"/>
          <w:lang w:eastAsia="en-AU"/>
        </w:rPr>
        <w:t xml:space="preserve">Table </w:t>
      </w:r>
      <w:bookmarkStart w:id="48" w:name="t_tech_rf_power"/>
      <w:bookmarkEnd w:id="48"/>
      <w:r w:rsidR="00C37C93">
        <w:rPr>
          <w:noProof/>
          <w:kern w:val="36"/>
          <w:sz w:val="22"/>
          <w:lang w:eastAsia="en-AU"/>
        </w:rPr>
        <w:t>1</w:t>
      </w:r>
      <w:r w:rsidRPr="00F06651">
        <w:rPr>
          <w:kern w:val="36"/>
          <w:sz w:val="22"/>
          <w:lang w:eastAsia="en-AU"/>
        </w:rPr>
        <w:t xml:space="preserve"> </w:t>
      </w:r>
      <w:r w:rsidR="0049069D">
        <w:rPr>
          <w:kern w:val="36"/>
          <w:sz w:val="22"/>
          <w:lang w:eastAsia="en-AU"/>
        </w:rPr>
        <w:t>–</w:t>
      </w:r>
      <w:r w:rsidRPr="00F06651">
        <w:rPr>
          <w:kern w:val="36"/>
          <w:sz w:val="22"/>
          <w:lang w:eastAsia="en-AU"/>
        </w:rPr>
        <w:t xml:space="preserve"> </w:t>
      </w:r>
      <w:r w:rsidRPr="00F06651">
        <w:rPr>
          <w:lang w:eastAsia="zh-CN"/>
        </w:rPr>
        <w:t>Summary of the ICT wireless technologies, transmitter powers and operating distances</w:t>
      </w:r>
      <w:r>
        <w:rPr>
          <w:lang w:eastAsia="zh-CN"/>
        </w:rPr>
        <w:t xml:space="preserve"> </w:t>
      </w:r>
    </w:p>
    <w:tbl>
      <w:tblPr>
        <w:tblStyle w:val="TableGrid1"/>
        <w:tblW w:w="0" w:type="auto"/>
        <w:tblInd w:w="108" w:type="dxa"/>
        <w:tblLook w:val="04A0" w:firstRow="1" w:lastRow="0" w:firstColumn="1" w:lastColumn="0" w:noHBand="0" w:noVBand="1"/>
      </w:tblPr>
      <w:tblGrid>
        <w:gridCol w:w="2256"/>
        <w:gridCol w:w="1686"/>
        <w:gridCol w:w="1682"/>
        <w:gridCol w:w="1543"/>
        <w:gridCol w:w="2354"/>
      </w:tblGrid>
      <w:tr w:rsidR="00AA662C" w:rsidRPr="00F06651" w14:paraId="2FDD0A63" w14:textId="77777777" w:rsidTr="003C2262">
        <w:tc>
          <w:tcPr>
            <w:tcW w:w="2268" w:type="dxa"/>
            <w:shd w:val="pct5" w:color="auto" w:fill="auto"/>
          </w:tcPr>
          <w:p w14:paraId="1A365905" w14:textId="77777777" w:rsidR="00AA662C" w:rsidRPr="00F06651" w:rsidRDefault="0049069D" w:rsidP="0049069D">
            <w:pPr>
              <w:pStyle w:val="Tablehead"/>
              <w:keepLines/>
              <w:rPr>
                <w:lang w:eastAsia="en-AU"/>
              </w:rPr>
            </w:pPr>
            <w:r>
              <w:rPr>
                <w:lang w:eastAsia="en-AU"/>
              </w:rPr>
              <w:t>Technology</w:t>
            </w:r>
            <w:r w:rsidR="00AA662C" w:rsidRPr="00F06651">
              <w:rPr>
                <w:lang w:eastAsia="en-AU"/>
              </w:rPr>
              <w:t>/Device</w:t>
            </w:r>
          </w:p>
        </w:tc>
        <w:tc>
          <w:tcPr>
            <w:tcW w:w="1701" w:type="dxa"/>
            <w:shd w:val="pct5" w:color="auto" w:fill="auto"/>
          </w:tcPr>
          <w:p w14:paraId="3201E1C5" w14:textId="05FE8EF1" w:rsidR="00AA662C" w:rsidRPr="00F06651" w:rsidRDefault="00AA662C" w:rsidP="003C2262">
            <w:pPr>
              <w:pStyle w:val="Tablehead"/>
              <w:keepLines/>
              <w:rPr>
                <w:lang w:eastAsia="en-AU"/>
              </w:rPr>
            </w:pPr>
            <w:r w:rsidRPr="00F06651">
              <w:rPr>
                <w:lang w:eastAsia="en-AU"/>
              </w:rPr>
              <w:t xml:space="preserve">Transmitter </w:t>
            </w:r>
            <w:r w:rsidR="007F51C3">
              <w:rPr>
                <w:lang w:eastAsia="en-AU"/>
              </w:rPr>
              <w:t>p</w:t>
            </w:r>
            <w:r w:rsidRPr="00F06651">
              <w:rPr>
                <w:lang w:eastAsia="en-AU"/>
              </w:rPr>
              <w:t>ower</w:t>
            </w:r>
          </w:p>
        </w:tc>
        <w:tc>
          <w:tcPr>
            <w:tcW w:w="1701" w:type="dxa"/>
            <w:shd w:val="pct5" w:color="auto" w:fill="auto"/>
          </w:tcPr>
          <w:p w14:paraId="0D3F0AF3" w14:textId="77777777" w:rsidR="00AA662C" w:rsidRPr="00F06651" w:rsidRDefault="00AA662C" w:rsidP="003C2262">
            <w:pPr>
              <w:pStyle w:val="Tablehead"/>
              <w:keepLines/>
              <w:rPr>
                <w:lang w:eastAsia="en-AU"/>
              </w:rPr>
            </w:pPr>
            <w:r w:rsidRPr="00F06651">
              <w:rPr>
                <w:lang w:eastAsia="en-AU"/>
              </w:rPr>
              <w:t>EIRP</w:t>
            </w:r>
            <w:r w:rsidRPr="00F06651">
              <w:rPr>
                <w:vertAlign w:val="subscript"/>
                <w:lang w:eastAsia="en-AU"/>
              </w:rPr>
              <w:t>max</w:t>
            </w:r>
          </w:p>
        </w:tc>
        <w:tc>
          <w:tcPr>
            <w:tcW w:w="1560" w:type="dxa"/>
            <w:shd w:val="pct5" w:color="auto" w:fill="auto"/>
          </w:tcPr>
          <w:p w14:paraId="4693D196" w14:textId="11BE703F" w:rsidR="00AA662C" w:rsidRPr="00F06651" w:rsidRDefault="00AA662C" w:rsidP="003C2262">
            <w:pPr>
              <w:pStyle w:val="Tablehead"/>
              <w:keepLines/>
              <w:rPr>
                <w:lang w:eastAsia="en-AU"/>
              </w:rPr>
            </w:pPr>
            <w:r w:rsidRPr="00F06651">
              <w:rPr>
                <w:lang w:eastAsia="en-AU"/>
              </w:rPr>
              <w:t xml:space="preserve">Operating </w:t>
            </w:r>
            <w:r w:rsidR="007F51C3">
              <w:rPr>
                <w:lang w:eastAsia="en-AU"/>
              </w:rPr>
              <w:t>r</w:t>
            </w:r>
            <w:r w:rsidRPr="00F06651">
              <w:rPr>
                <w:lang w:eastAsia="en-AU"/>
              </w:rPr>
              <w:t>ange</w:t>
            </w:r>
          </w:p>
        </w:tc>
        <w:tc>
          <w:tcPr>
            <w:tcW w:w="2409" w:type="dxa"/>
            <w:shd w:val="pct5" w:color="auto" w:fill="auto"/>
          </w:tcPr>
          <w:p w14:paraId="2FDC4202" w14:textId="77777777" w:rsidR="00AA662C" w:rsidRPr="00F06651" w:rsidRDefault="00AA662C" w:rsidP="003C2262">
            <w:pPr>
              <w:pStyle w:val="Tablehead"/>
              <w:keepLines/>
              <w:rPr>
                <w:lang w:eastAsia="en-AU"/>
              </w:rPr>
            </w:pPr>
            <w:r w:rsidRPr="00F06651">
              <w:rPr>
                <w:lang w:eastAsia="en-AU"/>
              </w:rPr>
              <w:t>Remarks</w:t>
            </w:r>
          </w:p>
        </w:tc>
      </w:tr>
      <w:tr w:rsidR="00AA662C" w:rsidRPr="00F06651" w14:paraId="4B42BC16" w14:textId="77777777" w:rsidTr="003C2262">
        <w:tc>
          <w:tcPr>
            <w:tcW w:w="9639" w:type="dxa"/>
            <w:gridSpan w:val="5"/>
            <w:shd w:val="pct5" w:color="auto" w:fill="auto"/>
          </w:tcPr>
          <w:p w14:paraId="4DE452A1" w14:textId="77777777" w:rsidR="00AA662C" w:rsidRPr="00F06651" w:rsidRDefault="00AA662C" w:rsidP="003C2262">
            <w:pPr>
              <w:pStyle w:val="Tabletext"/>
              <w:keepNext/>
              <w:keepLines/>
              <w:jc w:val="center"/>
              <w:rPr>
                <w:lang w:eastAsia="en-AU"/>
              </w:rPr>
            </w:pPr>
            <w:r w:rsidRPr="00F06651">
              <w:rPr>
                <w:lang w:eastAsia="en-AU"/>
              </w:rPr>
              <w:t>Short Range Devices</w:t>
            </w:r>
          </w:p>
        </w:tc>
      </w:tr>
      <w:tr w:rsidR="00AA662C" w:rsidRPr="00F06651" w14:paraId="2E22B73E" w14:textId="77777777" w:rsidTr="003C2262">
        <w:tc>
          <w:tcPr>
            <w:tcW w:w="2268" w:type="dxa"/>
          </w:tcPr>
          <w:p w14:paraId="5A366A69" w14:textId="77777777" w:rsidR="00AA662C" w:rsidRPr="00F06651" w:rsidRDefault="00AA662C" w:rsidP="003C2262">
            <w:pPr>
              <w:pStyle w:val="Tabletext"/>
              <w:keepNext/>
              <w:keepLines/>
              <w:rPr>
                <w:lang w:eastAsia="en-AU"/>
              </w:rPr>
            </w:pPr>
            <w:r w:rsidRPr="00F06651">
              <w:rPr>
                <w:lang w:eastAsia="en-AU"/>
              </w:rPr>
              <w:t>Bluetooth</w:t>
            </w:r>
          </w:p>
        </w:tc>
        <w:tc>
          <w:tcPr>
            <w:tcW w:w="1701" w:type="dxa"/>
          </w:tcPr>
          <w:p w14:paraId="749D36DA" w14:textId="77777777" w:rsidR="00AA662C" w:rsidRPr="00F06651" w:rsidRDefault="00AA662C" w:rsidP="003C2262">
            <w:pPr>
              <w:pStyle w:val="Tabletext"/>
              <w:keepNext/>
              <w:keepLines/>
              <w:jc w:val="center"/>
              <w:rPr>
                <w:lang w:eastAsia="en-AU"/>
              </w:rPr>
            </w:pPr>
            <w:r w:rsidRPr="00F06651">
              <w:rPr>
                <w:lang w:eastAsia="en-AU"/>
              </w:rPr>
              <w:t>0.001 to 0.1 W</w:t>
            </w:r>
          </w:p>
        </w:tc>
        <w:tc>
          <w:tcPr>
            <w:tcW w:w="1701" w:type="dxa"/>
          </w:tcPr>
          <w:p w14:paraId="4E4E3AF0" w14:textId="77777777" w:rsidR="00AA662C" w:rsidRPr="00F06651" w:rsidRDefault="00AA662C" w:rsidP="003C2262">
            <w:pPr>
              <w:pStyle w:val="Tabletext"/>
              <w:keepNext/>
              <w:keepLines/>
              <w:jc w:val="center"/>
              <w:rPr>
                <w:lang w:eastAsia="en-AU"/>
              </w:rPr>
            </w:pPr>
            <w:r w:rsidRPr="00F06651">
              <w:rPr>
                <w:lang w:eastAsia="en-AU"/>
              </w:rPr>
              <w:t>0.1 W</w:t>
            </w:r>
          </w:p>
        </w:tc>
        <w:tc>
          <w:tcPr>
            <w:tcW w:w="1560" w:type="dxa"/>
          </w:tcPr>
          <w:p w14:paraId="2A37D8D7" w14:textId="77777777" w:rsidR="00AA662C" w:rsidRPr="00F06651" w:rsidRDefault="00AA662C" w:rsidP="003C2262">
            <w:pPr>
              <w:pStyle w:val="Tabletext"/>
              <w:keepNext/>
              <w:keepLines/>
              <w:jc w:val="center"/>
              <w:rPr>
                <w:lang w:eastAsia="en-AU"/>
              </w:rPr>
            </w:pPr>
            <w:r w:rsidRPr="00F06651">
              <w:rPr>
                <w:lang w:eastAsia="en-AU"/>
              </w:rPr>
              <w:t>up to 100 m</w:t>
            </w:r>
          </w:p>
        </w:tc>
        <w:tc>
          <w:tcPr>
            <w:tcW w:w="2409" w:type="dxa"/>
            <w:vMerge w:val="restart"/>
            <w:vAlign w:val="center"/>
          </w:tcPr>
          <w:p w14:paraId="3B8666CE" w14:textId="77777777" w:rsidR="00AA662C" w:rsidRPr="00F06651" w:rsidRDefault="00AA662C" w:rsidP="003C2262">
            <w:pPr>
              <w:pStyle w:val="Tabletext"/>
              <w:keepNext/>
              <w:keepLines/>
              <w:rPr>
                <w:lang w:eastAsia="en-AU"/>
              </w:rPr>
            </w:pPr>
            <w:r w:rsidRPr="00F06651">
              <w:rPr>
                <w:lang w:eastAsia="en-AU"/>
              </w:rPr>
              <w:t>Typical antenna gain is 0 dBi</w:t>
            </w:r>
          </w:p>
        </w:tc>
      </w:tr>
      <w:tr w:rsidR="00AA662C" w:rsidRPr="00F06651" w14:paraId="77D35F52" w14:textId="77777777" w:rsidTr="003C2262">
        <w:tc>
          <w:tcPr>
            <w:tcW w:w="2268" w:type="dxa"/>
          </w:tcPr>
          <w:p w14:paraId="04DC872A" w14:textId="77777777" w:rsidR="00AA662C" w:rsidRPr="00F06651" w:rsidRDefault="00AA662C" w:rsidP="003C2262">
            <w:pPr>
              <w:pStyle w:val="Tabletext"/>
              <w:keepNext/>
              <w:keepLines/>
              <w:rPr>
                <w:lang w:eastAsia="en-AU"/>
              </w:rPr>
            </w:pPr>
            <w:r w:rsidRPr="00F06651">
              <w:rPr>
                <w:lang w:eastAsia="en-AU"/>
              </w:rPr>
              <w:t>Smart meter</w:t>
            </w:r>
          </w:p>
        </w:tc>
        <w:tc>
          <w:tcPr>
            <w:tcW w:w="1701" w:type="dxa"/>
          </w:tcPr>
          <w:p w14:paraId="1B3A0E3B" w14:textId="77777777" w:rsidR="00AA662C" w:rsidRPr="00F06651" w:rsidRDefault="00AA662C" w:rsidP="003C2262">
            <w:pPr>
              <w:pStyle w:val="Tabletext"/>
              <w:keepNext/>
              <w:keepLines/>
              <w:jc w:val="center"/>
              <w:rPr>
                <w:lang w:eastAsia="en-AU"/>
              </w:rPr>
            </w:pPr>
            <w:r w:rsidRPr="00F06651">
              <w:rPr>
                <w:lang w:eastAsia="en-AU"/>
              </w:rPr>
              <w:t>up to 0.1 W</w:t>
            </w:r>
          </w:p>
        </w:tc>
        <w:tc>
          <w:tcPr>
            <w:tcW w:w="1701" w:type="dxa"/>
          </w:tcPr>
          <w:p w14:paraId="1D40BB36" w14:textId="77777777" w:rsidR="00AA662C" w:rsidRPr="00F06651" w:rsidRDefault="00AA662C" w:rsidP="003C2262">
            <w:pPr>
              <w:pStyle w:val="Tabletext"/>
              <w:keepNext/>
              <w:keepLines/>
              <w:jc w:val="center"/>
              <w:rPr>
                <w:lang w:eastAsia="en-AU"/>
              </w:rPr>
            </w:pPr>
            <w:r w:rsidRPr="00F06651">
              <w:rPr>
                <w:lang w:eastAsia="en-AU"/>
              </w:rPr>
              <w:t>0.1 W</w:t>
            </w:r>
          </w:p>
        </w:tc>
        <w:tc>
          <w:tcPr>
            <w:tcW w:w="1560" w:type="dxa"/>
          </w:tcPr>
          <w:p w14:paraId="575ACEEC" w14:textId="77777777" w:rsidR="00AA662C" w:rsidRPr="00F06651" w:rsidDel="00B077D4" w:rsidRDefault="00AA662C" w:rsidP="003C2262">
            <w:pPr>
              <w:pStyle w:val="Tabletext"/>
              <w:keepNext/>
              <w:keepLines/>
              <w:jc w:val="center"/>
              <w:rPr>
                <w:lang w:eastAsia="en-AU"/>
              </w:rPr>
            </w:pPr>
            <w:r w:rsidRPr="00F06651">
              <w:rPr>
                <w:lang w:eastAsia="en-AU"/>
              </w:rPr>
              <w:t>up to 100 m</w:t>
            </w:r>
          </w:p>
        </w:tc>
        <w:tc>
          <w:tcPr>
            <w:tcW w:w="2409" w:type="dxa"/>
            <w:vMerge/>
          </w:tcPr>
          <w:p w14:paraId="51C11870" w14:textId="77777777" w:rsidR="00AA662C" w:rsidRPr="00F06651" w:rsidRDefault="00AA662C" w:rsidP="003C2262">
            <w:pPr>
              <w:pStyle w:val="Tabletext"/>
              <w:keepNext/>
              <w:keepLines/>
              <w:rPr>
                <w:lang w:eastAsia="en-AU"/>
              </w:rPr>
            </w:pPr>
          </w:p>
        </w:tc>
      </w:tr>
      <w:tr w:rsidR="00AA662C" w:rsidRPr="00F06651" w14:paraId="12F232C6" w14:textId="77777777" w:rsidTr="003C2262">
        <w:tc>
          <w:tcPr>
            <w:tcW w:w="2268" w:type="dxa"/>
            <w:vAlign w:val="center"/>
          </w:tcPr>
          <w:p w14:paraId="02FCB671" w14:textId="53717CEC" w:rsidR="00AA662C" w:rsidRPr="00F06651" w:rsidRDefault="00AA662C" w:rsidP="003C2262">
            <w:pPr>
              <w:pStyle w:val="Tabletext"/>
              <w:rPr>
                <w:lang w:eastAsia="en-AU"/>
              </w:rPr>
            </w:pPr>
            <w:r w:rsidRPr="00F06651">
              <w:rPr>
                <w:lang w:eastAsia="en-AU"/>
              </w:rPr>
              <w:t xml:space="preserve">Radio </w:t>
            </w:r>
            <w:r w:rsidR="007F51C3">
              <w:rPr>
                <w:lang w:eastAsia="en-AU"/>
              </w:rPr>
              <w:t>f</w:t>
            </w:r>
            <w:r w:rsidRPr="00F06651">
              <w:rPr>
                <w:lang w:eastAsia="en-AU"/>
              </w:rPr>
              <w:t xml:space="preserve">requency </w:t>
            </w:r>
            <w:r w:rsidR="00426926">
              <w:rPr>
                <w:lang w:eastAsia="en-AU"/>
              </w:rPr>
              <w:t>i</w:t>
            </w:r>
            <w:r w:rsidRPr="00F06651">
              <w:rPr>
                <w:lang w:eastAsia="en-AU"/>
              </w:rPr>
              <w:t>dentification (RF</w:t>
            </w:r>
            <w:r w:rsidR="003C2262">
              <w:rPr>
                <w:lang w:eastAsia="en-AU"/>
              </w:rPr>
              <w:noBreakHyphen/>
            </w:r>
            <w:r w:rsidRPr="00F06651">
              <w:rPr>
                <w:lang w:eastAsia="en-AU"/>
              </w:rPr>
              <w:t>ID)</w:t>
            </w:r>
          </w:p>
        </w:tc>
        <w:tc>
          <w:tcPr>
            <w:tcW w:w="1701" w:type="dxa"/>
            <w:vAlign w:val="center"/>
          </w:tcPr>
          <w:p w14:paraId="33EFC506" w14:textId="43D23FAD" w:rsidR="001E426F" w:rsidRDefault="00AA662C" w:rsidP="002E4045">
            <w:pPr>
              <w:pStyle w:val="Tabletext"/>
              <w:rPr>
                <w:rFonts w:cs="Times New Roman"/>
                <w:szCs w:val="20"/>
                <w:lang w:eastAsia="en-AU"/>
              </w:rPr>
            </w:pPr>
            <w:r w:rsidRPr="00F06651">
              <w:rPr>
                <w:lang w:eastAsia="en-AU"/>
              </w:rPr>
              <w:t>0.001</w:t>
            </w:r>
            <w:r w:rsidR="00EF317A">
              <w:rPr>
                <w:lang w:eastAsia="en-AU"/>
              </w:rPr>
              <w:t xml:space="preserve"> – </w:t>
            </w:r>
            <w:r w:rsidRPr="00F06651">
              <w:rPr>
                <w:lang w:eastAsia="en-AU"/>
              </w:rPr>
              <w:t>1 W</w:t>
            </w:r>
          </w:p>
        </w:tc>
        <w:tc>
          <w:tcPr>
            <w:tcW w:w="1701" w:type="dxa"/>
            <w:vAlign w:val="center"/>
          </w:tcPr>
          <w:p w14:paraId="106644F6" w14:textId="77777777" w:rsidR="00AA662C" w:rsidRPr="00F06651" w:rsidRDefault="00AA662C" w:rsidP="003C2262">
            <w:pPr>
              <w:pStyle w:val="Tabletext"/>
              <w:jc w:val="center"/>
              <w:rPr>
                <w:lang w:eastAsia="en-AU"/>
              </w:rPr>
            </w:pPr>
            <w:r w:rsidRPr="00F06651">
              <w:rPr>
                <w:lang w:eastAsia="en-AU"/>
              </w:rPr>
              <w:t>4 W</w:t>
            </w:r>
          </w:p>
        </w:tc>
        <w:tc>
          <w:tcPr>
            <w:tcW w:w="1560" w:type="dxa"/>
            <w:vAlign w:val="center"/>
          </w:tcPr>
          <w:p w14:paraId="3E704A50" w14:textId="77777777" w:rsidR="00AA662C" w:rsidRPr="00F06651" w:rsidRDefault="00AA662C" w:rsidP="003C2262">
            <w:pPr>
              <w:pStyle w:val="Tabletext"/>
              <w:jc w:val="center"/>
              <w:rPr>
                <w:lang w:eastAsia="en-AU"/>
              </w:rPr>
            </w:pPr>
            <w:r w:rsidRPr="00F06651">
              <w:rPr>
                <w:lang w:eastAsia="en-AU"/>
              </w:rPr>
              <w:t>up to 500 m</w:t>
            </w:r>
          </w:p>
        </w:tc>
        <w:tc>
          <w:tcPr>
            <w:tcW w:w="2409" w:type="dxa"/>
            <w:vMerge w:val="restart"/>
            <w:vAlign w:val="center"/>
          </w:tcPr>
          <w:p w14:paraId="74DFBAB2" w14:textId="73E1B6CC" w:rsidR="00AA662C" w:rsidRPr="00F06651" w:rsidRDefault="00AA662C" w:rsidP="003C2262">
            <w:pPr>
              <w:pStyle w:val="Tabletext"/>
              <w:rPr>
                <w:lang w:eastAsia="en-AU"/>
              </w:rPr>
            </w:pPr>
            <w:r w:rsidRPr="00F06651">
              <w:rPr>
                <w:lang w:eastAsia="en-AU"/>
              </w:rPr>
              <w:t>Antenna gain up to 6 dBi</w:t>
            </w:r>
          </w:p>
          <w:p w14:paraId="460A447C" w14:textId="77777777" w:rsidR="00AA662C" w:rsidRPr="00F06651" w:rsidRDefault="00AA662C" w:rsidP="003C2262">
            <w:pPr>
              <w:pStyle w:val="Tabletext"/>
              <w:rPr>
                <w:lang w:eastAsia="en-AU"/>
              </w:rPr>
            </w:pPr>
          </w:p>
        </w:tc>
      </w:tr>
      <w:tr w:rsidR="00AA662C" w:rsidRPr="00F06651" w14:paraId="363B5CDD" w14:textId="77777777" w:rsidTr="003C2262">
        <w:tc>
          <w:tcPr>
            <w:tcW w:w="2268" w:type="dxa"/>
          </w:tcPr>
          <w:p w14:paraId="709294B8" w14:textId="58BC1B00" w:rsidR="00AA662C" w:rsidRPr="00F06651" w:rsidRDefault="00AA662C" w:rsidP="003C2262">
            <w:pPr>
              <w:pStyle w:val="Tabletext"/>
              <w:rPr>
                <w:lang w:eastAsia="en-AU"/>
              </w:rPr>
            </w:pPr>
            <w:r w:rsidRPr="00F06651">
              <w:rPr>
                <w:lang w:eastAsia="en-AU"/>
              </w:rPr>
              <w:t xml:space="preserve">Wi-Fi </w:t>
            </w:r>
            <w:r w:rsidR="001B2655">
              <w:rPr>
                <w:lang w:eastAsia="en-AU"/>
              </w:rPr>
              <w:t>a</w:t>
            </w:r>
            <w:r w:rsidRPr="00F06651">
              <w:rPr>
                <w:lang w:eastAsia="en-AU"/>
              </w:rPr>
              <w:t xml:space="preserve">ccess </w:t>
            </w:r>
            <w:r w:rsidR="001B2655">
              <w:rPr>
                <w:lang w:eastAsia="en-AU"/>
              </w:rPr>
              <w:t>p</w:t>
            </w:r>
            <w:r w:rsidRPr="00F06651">
              <w:rPr>
                <w:lang w:eastAsia="en-AU"/>
              </w:rPr>
              <w:t>oint</w:t>
            </w:r>
          </w:p>
        </w:tc>
        <w:tc>
          <w:tcPr>
            <w:tcW w:w="1701" w:type="dxa"/>
          </w:tcPr>
          <w:p w14:paraId="426038ED" w14:textId="4364BF64" w:rsidR="00AA662C" w:rsidRPr="00F06651" w:rsidRDefault="00AA662C" w:rsidP="003C2262">
            <w:pPr>
              <w:pStyle w:val="Tabletext"/>
              <w:jc w:val="center"/>
              <w:rPr>
                <w:lang w:eastAsia="en-AU"/>
              </w:rPr>
            </w:pPr>
            <w:r w:rsidRPr="00F06651">
              <w:rPr>
                <w:lang w:eastAsia="en-AU"/>
              </w:rPr>
              <w:t xml:space="preserve">0.1 </w:t>
            </w:r>
            <w:r w:rsidR="001B2655">
              <w:rPr>
                <w:lang w:eastAsia="en-AU"/>
              </w:rPr>
              <w:t>–</w:t>
            </w:r>
            <w:r w:rsidRPr="00F06651">
              <w:rPr>
                <w:lang w:eastAsia="en-AU"/>
              </w:rPr>
              <w:t xml:space="preserve"> 1 W</w:t>
            </w:r>
          </w:p>
        </w:tc>
        <w:tc>
          <w:tcPr>
            <w:tcW w:w="1701" w:type="dxa"/>
          </w:tcPr>
          <w:p w14:paraId="0074AD19" w14:textId="77777777" w:rsidR="00AA662C" w:rsidRPr="00F06651" w:rsidRDefault="00AA662C" w:rsidP="003C2262">
            <w:pPr>
              <w:pStyle w:val="Tabletext"/>
              <w:jc w:val="center"/>
              <w:rPr>
                <w:lang w:eastAsia="en-AU"/>
              </w:rPr>
            </w:pPr>
            <w:r w:rsidRPr="00F06651">
              <w:rPr>
                <w:lang w:eastAsia="en-AU"/>
              </w:rPr>
              <w:t>4 W</w:t>
            </w:r>
          </w:p>
        </w:tc>
        <w:tc>
          <w:tcPr>
            <w:tcW w:w="1560" w:type="dxa"/>
          </w:tcPr>
          <w:p w14:paraId="1721591F" w14:textId="77777777" w:rsidR="00AA662C" w:rsidRPr="00F06651" w:rsidRDefault="00AA662C" w:rsidP="003C2262">
            <w:pPr>
              <w:pStyle w:val="Tabletext"/>
              <w:jc w:val="center"/>
              <w:rPr>
                <w:lang w:eastAsia="en-AU"/>
              </w:rPr>
            </w:pPr>
            <w:r w:rsidRPr="00F06651">
              <w:rPr>
                <w:lang w:eastAsia="en-AU"/>
              </w:rPr>
              <w:t>up to 500 m</w:t>
            </w:r>
          </w:p>
        </w:tc>
        <w:tc>
          <w:tcPr>
            <w:tcW w:w="2409" w:type="dxa"/>
            <w:vMerge/>
          </w:tcPr>
          <w:p w14:paraId="7564C736" w14:textId="77777777" w:rsidR="00AA662C" w:rsidRPr="00F06651" w:rsidRDefault="00AA662C" w:rsidP="003C2262">
            <w:pPr>
              <w:pStyle w:val="Tabletext"/>
              <w:rPr>
                <w:lang w:eastAsia="en-AU"/>
              </w:rPr>
            </w:pPr>
          </w:p>
        </w:tc>
      </w:tr>
      <w:tr w:rsidR="00AA662C" w:rsidRPr="00F06651" w14:paraId="597D2331" w14:textId="77777777" w:rsidTr="003C2262">
        <w:tc>
          <w:tcPr>
            <w:tcW w:w="2268" w:type="dxa"/>
          </w:tcPr>
          <w:p w14:paraId="1E665E48" w14:textId="64B759C5" w:rsidR="00AA662C" w:rsidRPr="00F06651" w:rsidRDefault="00AA662C" w:rsidP="003C2262">
            <w:pPr>
              <w:pStyle w:val="Tabletext"/>
              <w:rPr>
                <w:lang w:eastAsia="en-AU"/>
              </w:rPr>
            </w:pPr>
            <w:r w:rsidRPr="00F06651">
              <w:rPr>
                <w:lang w:eastAsia="en-AU"/>
              </w:rPr>
              <w:t xml:space="preserve">DECT </w:t>
            </w:r>
            <w:r w:rsidR="001B2655">
              <w:rPr>
                <w:lang w:eastAsia="en-AU"/>
              </w:rPr>
              <w:t>b</w:t>
            </w:r>
            <w:r w:rsidRPr="00F06651">
              <w:rPr>
                <w:lang w:eastAsia="en-AU"/>
              </w:rPr>
              <w:t xml:space="preserve">ase </w:t>
            </w:r>
            <w:r w:rsidR="001B2655">
              <w:rPr>
                <w:lang w:eastAsia="en-AU"/>
              </w:rPr>
              <w:t>s</w:t>
            </w:r>
            <w:r w:rsidRPr="00F06651">
              <w:rPr>
                <w:lang w:eastAsia="en-AU"/>
              </w:rPr>
              <w:t>tation</w:t>
            </w:r>
          </w:p>
        </w:tc>
        <w:tc>
          <w:tcPr>
            <w:tcW w:w="1701" w:type="dxa"/>
          </w:tcPr>
          <w:p w14:paraId="583BBB62" w14:textId="77777777" w:rsidR="00AA662C" w:rsidRPr="00F06651" w:rsidRDefault="00AA662C" w:rsidP="003C2262">
            <w:pPr>
              <w:pStyle w:val="Tabletext"/>
              <w:jc w:val="center"/>
              <w:rPr>
                <w:lang w:eastAsia="en-AU"/>
              </w:rPr>
            </w:pPr>
            <w:r w:rsidRPr="00F06651">
              <w:rPr>
                <w:lang w:eastAsia="en-AU"/>
              </w:rPr>
              <w:t>0.25 W</w:t>
            </w:r>
          </w:p>
        </w:tc>
        <w:tc>
          <w:tcPr>
            <w:tcW w:w="1701" w:type="dxa"/>
          </w:tcPr>
          <w:p w14:paraId="06908688" w14:textId="77777777" w:rsidR="00AA662C" w:rsidRPr="00F06651" w:rsidRDefault="00AA662C" w:rsidP="003C2262">
            <w:pPr>
              <w:pStyle w:val="Tabletext"/>
              <w:jc w:val="center"/>
              <w:rPr>
                <w:lang w:eastAsia="en-AU"/>
              </w:rPr>
            </w:pPr>
            <w:r w:rsidRPr="00F06651">
              <w:rPr>
                <w:lang w:eastAsia="en-AU"/>
              </w:rPr>
              <w:t>0.25 W</w:t>
            </w:r>
          </w:p>
        </w:tc>
        <w:tc>
          <w:tcPr>
            <w:tcW w:w="1560" w:type="dxa"/>
          </w:tcPr>
          <w:p w14:paraId="7185C068" w14:textId="77777777" w:rsidR="00AA662C" w:rsidRPr="00F06651" w:rsidRDefault="00AA662C" w:rsidP="003C2262">
            <w:pPr>
              <w:pStyle w:val="Tabletext"/>
              <w:jc w:val="center"/>
              <w:rPr>
                <w:lang w:eastAsia="en-AU"/>
              </w:rPr>
            </w:pPr>
            <w:r w:rsidRPr="00F06651">
              <w:rPr>
                <w:lang w:eastAsia="en-AU"/>
              </w:rPr>
              <w:t>up to 100 m</w:t>
            </w:r>
          </w:p>
        </w:tc>
        <w:tc>
          <w:tcPr>
            <w:tcW w:w="2409" w:type="dxa"/>
            <w:vMerge w:val="restart"/>
            <w:vAlign w:val="center"/>
          </w:tcPr>
          <w:p w14:paraId="33334E0B" w14:textId="77777777" w:rsidR="00AA662C" w:rsidRPr="00F06651" w:rsidRDefault="00AA662C" w:rsidP="003C2262">
            <w:pPr>
              <w:pStyle w:val="Tabletext"/>
              <w:rPr>
                <w:lang w:eastAsia="en-AU"/>
              </w:rPr>
            </w:pPr>
            <w:r w:rsidRPr="00F06651">
              <w:rPr>
                <w:lang w:eastAsia="en-AU"/>
              </w:rPr>
              <w:t>Typical antenna gain is 0 dBi</w:t>
            </w:r>
          </w:p>
          <w:p w14:paraId="5245C400" w14:textId="77777777" w:rsidR="00AA662C" w:rsidRPr="00F06651" w:rsidRDefault="00AA662C" w:rsidP="003C2262">
            <w:pPr>
              <w:pStyle w:val="Tabletext"/>
              <w:rPr>
                <w:lang w:eastAsia="en-AU"/>
              </w:rPr>
            </w:pPr>
          </w:p>
        </w:tc>
      </w:tr>
      <w:tr w:rsidR="00AA662C" w:rsidRPr="00F06651" w14:paraId="0F14FE44" w14:textId="77777777" w:rsidTr="00BE191B">
        <w:tc>
          <w:tcPr>
            <w:tcW w:w="2268" w:type="dxa"/>
            <w:tcBorders>
              <w:bottom w:val="single" w:sz="4" w:space="0" w:color="auto"/>
            </w:tcBorders>
          </w:tcPr>
          <w:p w14:paraId="30BBFDEC" w14:textId="77777777" w:rsidR="00AA662C" w:rsidRPr="00F06651" w:rsidRDefault="00AA662C" w:rsidP="003C2262">
            <w:pPr>
              <w:pStyle w:val="Tabletext"/>
              <w:rPr>
                <w:lang w:eastAsia="en-AU"/>
              </w:rPr>
            </w:pPr>
            <w:r w:rsidRPr="00F06651">
              <w:rPr>
                <w:lang w:eastAsia="en-AU"/>
              </w:rPr>
              <w:t>DECT phone</w:t>
            </w:r>
          </w:p>
        </w:tc>
        <w:tc>
          <w:tcPr>
            <w:tcW w:w="1701" w:type="dxa"/>
            <w:tcBorders>
              <w:bottom w:val="single" w:sz="4" w:space="0" w:color="auto"/>
            </w:tcBorders>
          </w:tcPr>
          <w:p w14:paraId="37090886" w14:textId="77777777" w:rsidR="00AA662C" w:rsidRPr="00F06651" w:rsidRDefault="00AA662C" w:rsidP="003C2262">
            <w:pPr>
              <w:pStyle w:val="Tabletext"/>
              <w:jc w:val="center"/>
              <w:rPr>
                <w:lang w:eastAsia="en-AU"/>
              </w:rPr>
            </w:pPr>
            <w:r w:rsidRPr="00F06651">
              <w:rPr>
                <w:lang w:eastAsia="en-AU"/>
              </w:rPr>
              <w:t>0.25 W</w:t>
            </w:r>
          </w:p>
        </w:tc>
        <w:tc>
          <w:tcPr>
            <w:tcW w:w="1701" w:type="dxa"/>
            <w:tcBorders>
              <w:bottom w:val="single" w:sz="4" w:space="0" w:color="auto"/>
            </w:tcBorders>
          </w:tcPr>
          <w:p w14:paraId="7098C296" w14:textId="77777777" w:rsidR="00AA662C" w:rsidRPr="00F06651" w:rsidRDefault="00AA662C" w:rsidP="003C2262">
            <w:pPr>
              <w:pStyle w:val="Tabletext"/>
              <w:jc w:val="center"/>
              <w:rPr>
                <w:lang w:eastAsia="en-AU"/>
              </w:rPr>
            </w:pPr>
            <w:r w:rsidRPr="00F06651">
              <w:rPr>
                <w:lang w:eastAsia="en-AU"/>
              </w:rPr>
              <w:t>0.25 W</w:t>
            </w:r>
          </w:p>
        </w:tc>
        <w:tc>
          <w:tcPr>
            <w:tcW w:w="1560" w:type="dxa"/>
            <w:tcBorders>
              <w:bottom w:val="single" w:sz="4" w:space="0" w:color="auto"/>
            </w:tcBorders>
          </w:tcPr>
          <w:p w14:paraId="2F6DE064" w14:textId="77777777" w:rsidR="00AA662C" w:rsidRPr="00F06651" w:rsidRDefault="00AA662C" w:rsidP="003C2262">
            <w:pPr>
              <w:pStyle w:val="Tabletext"/>
              <w:jc w:val="center"/>
              <w:rPr>
                <w:lang w:eastAsia="en-AU"/>
              </w:rPr>
            </w:pPr>
            <w:r w:rsidRPr="00F06651">
              <w:rPr>
                <w:lang w:eastAsia="en-AU"/>
              </w:rPr>
              <w:t>up to 100 m</w:t>
            </w:r>
          </w:p>
        </w:tc>
        <w:tc>
          <w:tcPr>
            <w:tcW w:w="2409" w:type="dxa"/>
            <w:vMerge/>
            <w:tcBorders>
              <w:bottom w:val="single" w:sz="4" w:space="0" w:color="auto"/>
            </w:tcBorders>
          </w:tcPr>
          <w:p w14:paraId="25462563" w14:textId="77777777" w:rsidR="00AA662C" w:rsidRPr="00F06651" w:rsidRDefault="00AA662C" w:rsidP="003C2262">
            <w:pPr>
              <w:pStyle w:val="Tabletext"/>
              <w:rPr>
                <w:lang w:eastAsia="en-AU"/>
              </w:rPr>
            </w:pPr>
          </w:p>
        </w:tc>
      </w:tr>
      <w:tr w:rsidR="00AA662C" w:rsidRPr="004C37E7" w14:paraId="3188B506" w14:textId="77777777" w:rsidTr="00BE191B">
        <w:tc>
          <w:tcPr>
            <w:tcW w:w="9639" w:type="dxa"/>
            <w:gridSpan w:val="5"/>
            <w:shd w:val="pct5" w:color="auto" w:fill="auto"/>
          </w:tcPr>
          <w:p w14:paraId="336B2C21" w14:textId="1EEDE14C" w:rsidR="00AA662C" w:rsidRPr="00F06651" w:rsidRDefault="00AA662C" w:rsidP="004C37E7">
            <w:pPr>
              <w:pStyle w:val="Tabletext"/>
              <w:keepNext/>
              <w:keepLines/>
              <w:jc w:val="center"/>
              <w:rPr>
                <w:lang w:eastAsia="en-AU"/>
              </w:rPr>
            </w:pPr>
            <w:r w:rsidRPr="00F06651">
              <w:rPr>
                <w:lang w:eastAsia="en-AU"/>
              </w:rPr>
              <w:t xml:space="preserve">Radiocommunication </w:t>
            </w:r>
            <w:r w:rsidR="001B2655">
              <w:rPr>
                <w:lang w:eastAsia="en-AU"/>
              </w:rPr>
              <w:t>s</w:t>
            </w:r>
            <w:r w:rsidRPr="00F06651">
              <w:rPr>
                <w:lang w:eastAsia="en-AU"/>
              </w:rPr>
              <w:t>ervices</w:t>
            </w:r>
          </w:p>
        </w:tc>
      </w:tr>
      <w:tr w:rsidR="00AA662C" w:rsidRPr="00F06651" w14:paraId="3856652E" w14:textId="77777777" w:rsidTr="003C2262">
        <w:tc>
          <w:tcPr>
            <w:tcW w:w="2268" w:type="dxa"/>
          </w:tcPr>
          <w:p w14:paraId="64956225" w14:textId="26E8D2E3" w:rsidR="00AA662C" w:rsidRPr="00F06651" w:rsidRDefault="00AA662C" w:rsidP="003C2262">
            <w:pPr>
              <w:pStyle w:val="Tabletext"/>
              <w:rPr>
                <w:lang w:eastAsia="en-AU"/>
              </w:rPr>
            </w:pPr>
            <w:r w:rsidRPr="00F06651">
              <w:rPr>
                <w:lang w:eastAsia="en-AU"/>
              </w:rPr>
              <w:t xml:space="preserve">Mobile </w:t>
            </w:r>
            <w:r w:rsidR="001B2655">
              <w:rPr>
                <w:lang w:eastAsia="en-AU"/>
              </w:rPr>
              <w:t>p</w:t>
            </w:r>
            <w:r w:rsidRPr="00F06651">
              <w:rPr>
                <w:lang w:eastAsia="en-AU"/>
              </w:rPr>
              <w:t>hone</w:t>
            </w:r>
          </w:p>
        </w:tc>
        <w:tc>
          <w:tcPr>
            <w:tcW w:w="1701" w:type="dxa"/>
          </w:tcPr>
          <w:p w14:paraId="51E323C5" w14:textId="4CEF23BC" w:rsidR="00AA662C" w:rsidRPr="00F06651" w:rsidRDefault="001B2655" w:rsidP="003C2262">
            <w:pPr>
              <w:pStyle w:val="Tabletext"/>
              <w:rPr>
                <w:lang w:eastAsia="en-AU"/>
              </w:rPr>
            </w:pPr>
            <w:r>
              <w:rPr>
                <w:lang w:eastAsia="en-AU"/>
              </w:rPr>
              <w:t>U</w:t>
            </w:r>
            <w:r w:rsidR="00AA662C" w:rsidRPr="00F06651">
              <w:rPr>
                <w:lang w:eastAsia="en-AU"/>
              </w:rPr>
              <w:t>p to 0.25 W (time averaged)</w:t>
            </w:r>
          </w:p>
        </w:tc>
        <w:tc>
          <w:tcPr>
            <w:tcW w:w="1701" w:type="dxa"/>
          </w:tcPr>
          <w:p w14:paraId="11E01FD9" w14:textId="77777777" w:rsidR="00AA662C" w:rsidRPr="00F06651" w:rsidRDefault="00AA662C" w:rsidP="003C2262">
            <w:pPr>
              <w:pStyle w:val="Tabletext"/>
              <w:rPr>
                <w:lang w:eastAsia="en-AU"/>
              </w:rPr>
            </w:pPr>
            <w:r w:rsidRPr="00F06651">
              <w:rPr>
                <w:lang w:eastAsia="en-AU"/>
              </w:rPr>
              <w:t>2 W</w:t>
            </w:r>
          </w:p>
        </w:tc>
        <w:tc>
          <w:tcPr>
            <w:tcW w:w="1560" w:type="dxa"/>
          </w:tcPr>
          <w:p w14:paraId="5E329528" w14:textId="77777777" w:rsidR="00AA662C" w:rsidRPr="00F06651" w:rsidRDefault="00AA662C" w:rsidP="003C2262">
            <w:pPr>
              <w:pStyle w:val="Tabletext"/>
              <w:rPr>
                <w:lang w:eastAsia="en-AU"/>
              </w:rPr>
            </w:pPr>
            <w:r w:rsidRPr="00F06651">
              <w:rPr>
                <w:lang w:eastAsia="en-AU"/>
              </w:rPr>
              <w:t>1 – 30 km</w:t>
            </w:r>
          </w:p>
        </w:tc>
        <w:tc>
          <w:tcPr>
            <w:tcW w:w="2409" w:type="dxa"/>
          </w:tcPr>
          <w:p w14:paraId="55910AC1" w14:textId="0D3AB1E6" w:rsidR="00AA662C" w:rsidRPr="00F06651" w:rsidRDefault="001B2655" w:rsidP="003C2262">
            <w:pPr>
              <w:pStyle w:val="Tabletext"/>
              <w:rPr>
                <w:lang w:eastAsia="en-AU"/>
              </w:rPr>
            </w:pPr>
            <w:r>
              <w:rPr>
                <w:lang w:eastAsia="en-AU"/>
              </w:rPr>
              <w:t>A</w:t>
            </w:r>
            <w:r w:rsidR="00AA662C" w:rsidRPr="00F06651">
              <w:rPr>
                <w:lang w:eastAsia="en-AU"/>
              </w:rPr>
              <w:t>ntenna gain is 0 dBi</w:t>
            </w:r>
          </w:p>
        </w:tc>
      </w:tr>
      <w:tr w:rsidR="00AA662C" w:rsidRPr="00F06651" w14:paraId="087DA95D" w14:textId="77777777" w:rsidTr="003C2262">
        <w:tc>
          <w:tcPr>
            <w:tcW w:w="2268" w:type="dxa"/>
          </w:tcPr>
          <w:p w14:paraId="65747218" w14:textId="77777777" w:rsidR="00AA662C" w:rsidRPr="00F06651" w:rsidRDefault="00AA662C" w:rsidP="003C2262">
            <w:pPr>
              <w:pStyle w:val="Tabletext"/>
              <w:rPr>
                <w:lang w:eastAsia="en-AU"/>
              </w:rPr>
            </w:pPr>
            <w:r w:rsidRPr="00F06651">
              <w:rPr>
                <w:lang w:eastAsia="en-AU"/>
              </w:rPr>
              <w:t>WiMAX router</w:t>
            </w:r>
          </w:p>
        </w:tc>
        <w:tc>
          <w:tcPr>
            <w:tcW w:w="1701" w:type="dxa"/>
          </w:tcPr>
          <w:p w14:paraId="3F4A017F" w14:textId="77777777" w:rsidR="00AA662C" w:rsidRPr="00F06651" w:rsidRDefault="00AA662C" w:rsidP="003C2262">
            <w:pPr>
              <w:pStyle w:val="Tabletext"/>
              <w:jc w:val="center"/>
              <w:rPr>
                <w:lang w:eastAsia="en-AU"/>
              </w:rPr>
            </w:pPr>
            <w:r w:rsidRPr="00F06651">
              <w:rPr>
                <w:lang w:eastAsia="en-AU"/>
              </w:rPr>
              <w:t>up to 1 W</w:t>
            </w:r>
          </w:p>
        </w:tc>
        <w:tc>
          <w:tcPr>
            <w:tcW w:w="1701" w:type="dxa"/>
          </w:tcPr>
          <w:p w14:paraId="15284BDE" w14:textId="77777777" w:rsidR="00AA662C" w:rsidRPr="00F06651" w:rsidRDefault="00AA662C" w:rsidP="003C2262">
            <w:pPr>
              <w:pStyle w:val="Tabletext"/>
              <w:jc w:val="center"/>
              <w:rPr>
                <w:lang w:eastAsia="en-AU"/>
              </w:rPr>
            </w:pPr>
            <w:r w:rsidRPr="00F06651">
              <w:rPr>
                <w:lang w:eastAsia="en-AU"/>
              </w:rPr>
              <w:t>1 W</w:t>
            </w:r>
          </w:p>
        </w:tc>
        <w:tc>
          <w:tcPr>
            <w:tcW w:w="1560" w:type="dxa"/>
          </w:tcPr>
          <w:p w14:paraId="45F33840" w14:textId="77777777" w:rsidR="00AA662C" w:rsidRPr="00F06651" w:rsidRDefault="00AA662C" w:rsidP="003C2262">
            <w:pPr>
              <w:pStyle w:val="Tabletext"/>
              <w:jc w:val="center"/>
              <w:rPr>
                <w:lang w:eastAsia="en-AU"/>
              </w:rPr>
            </w:pPr>
            <w:r w:rsidRPr="00F06651">
              <w:rPr>
                <w:lang w:eastAsia="en-AU"/>
              </w:rPr>
              <w:t>~5 km</w:t>
            </w:r>
          </w:p>
        </w:tc>
        <w:tc>
          <w:tcPr>
            <w:tcW w:w="2409" w:type="dxa"/>
          </w:tcPr>
          <w:p w14:paraId="1EC1B65C" w14:textId="77777777" w:rsidR="00AA662C" w:rsidRPr="00F06651" w:rsidRDefault="00AA662C" w:rsidP="003C2262">
            <w:pPr>
              <w:pStyle w:val="Tabletext"/>
              <w:rPr>
                <w:lang w:eastAsia="en-AU"/>
              </w:rPr>
            </w:pPr>
            <w:r w:rsidRPr="00F06651">
              <w:rPr>
                <w:lang w:eastAsia="en-AU"/>
              </w:rPr>
              <w:t>Typical antenna gain is 0 dBi</w:t>
            </w:r>
          </w:p>
        </w:tc>
      </w:tr>
      <w:tr w:rsidR="00AA662C" w:rsidRPr="00F06651" w14:paraId="085B5069" w14:textId="77777777" w:rsidTr="003C2262">
        <w:tc>
          <w:tcPr>
            <w:tcW w:w="2268" w:type="dxa"/>
          </w:tcPr>
          <w:p w14:paraId="57D70244" w14:textId="77777777" w:rsidR="00AA662C" w:rsidRPr="00F06651" w:rsidRDefault="00AA662C" w:rsidP="003C2262">
            <w:pPr>
              <w:pStyle w:val="Tabletext"/>
              <w:rPr>
                <w:lang w:eastAsia="en-AU"/>
              </w:rPr>
            </w:pPr>
            <w:r w:rsidRPr="00F06651">
              <w:rPr>
                <w:lang w:eastAsia="en-AU"/>
              </w:rPr>
              <w:t>WiMAX network site</w:t>
            </w:r>
          </w:p>
        </w:tc>
        <w:tc>
          <w:tcPr>
            <w:tcW w:w="1701" w:type="dxa"/>
          </w:tcPr>
          <w:p w14:paraId="6E7ECE5B" w14:textId="77777777" w:rsidR="00AA662C" w:rsidRPr="00F06651" w:rsidRDefault="00AA662C" w:rsidP="003C2262">
            <w:pPr>
              <w:pStyle w:val="Tabletext"/>
              <w:jc w:val="center"/>
              <w:rPr>
                <w:lang w:eastAsia="en-AU"/>
              </w:rPr>
            </w:pPr>
            <w:r w:rsidRPr="00F06651">
              <w:rPr>
                <w:lang w:eastAsia="en-AU"/>
              </w:rPr>
              <w:t>3 W</w:t>
            </w:r>
          </w:p>
        </w:tc>
        <w:tc>
          <w:tcPr>
            <w:tcW w:w="1701" w:type="dxa"/>
          </w:tcPr>
          <w:p w14:paraId="11BF693B" w14:textId="77777777" w:rsidR="00AA662C" w:rsidRPr="00F06651" w:rsidRDefault="00AA662C" w:rsidP="003C2262">
            <w:pPr>
              <w:pStyle w:val="Tabletext"/>
              <w:jc w:val="center"/>
              <w:rPr>
                <w:lang w:eastAsia="en-AU"/>
              </w:rPr>
            </w:pPr>
            <w:r w:rsidRPr="00F06651">
              <w:rPr>
                <w:lang w:eastAsia="en-AU"/>
              </w:rPr>
              <w:t>100 W</w:t>
            </w:r>
          </w:p>
        </w:tc>
        <w:tc>
          <w:tcPr>
            <w:tcW w:w="1560" w:type="dxa"/>
          </w:tcPr>
          <w:p w14:paraId="7734ACC2" w14:textId="77777777" w:rsidR="00AA662C" w:rsidRPr="00F06651" w:rsidRDefault="00AA662C" w:rsidP="003C2262">
            <w:pPr>
              <w:pStyle w:val="Tabletext"/>
              <w:jc w:val="center"/>
              <w:rPr>
                <w:lang w:eastAsia="en-AU"/>
              </w:rPr>
            </w:pPr>
            <w:r w:rsidRPr="00F06651">
              <w:rPr>
                <w:lang w:eastAsia="en-AU"/>
              </w:rPr>
              <w:t>~35 km</w:t>
            </w:r>
          </w:p>
        </w:tc>
        <w:tc>
          <w:tcPr>
            <w:tcW w:w="2409" w:type="dxa"/>
          </w:tcPr>
          <w:p w14:paraId="3AD494C0" w14:textId="77777777" w:rsidR="00AA662C" w:rsidRPr="00F06651" w:rsidRDefault="00AA662C" w:rsidP="003C2262">
            <w:pPr>
              <w:pStyle w:val="Tabletext"/>
              <w:rPr>
                <w:lang w:eastAsia="en-AU"/>
              </w:rPr>
            </w:pPr>
            <w:r w:rsidRPr="00F06651">
              <w:rPr>
                <w:lang w:eastAsia="en-AU"/>
              </w:rPr>
              <w:t>Typical antenna gain is 14 dBi</w:t>
            </w:r>
          </w:p>
        </w:tc>
      </w:tr>
      <w:tr w:rsidR="00AA662C" w:rsidRPr="00F06651" w14:paraId="3A5D4A9A" w14:textId="77777777" w:rsidTr="003C2262">
        <w:tc>
          <w:tcPr>
            <w:tcW w:w="2268" w:type="dxa"/>
          </w:tcPr>
          <w:p w14:paraId="32288AA3" w14:textId="153846DF" w:rsidR="00AA662C" w:rsidRPr="00F06651" w:rsidRDefault="00AA662C" w:rsidP="003C2262">
            <w:pPr>
              <w:pStyle w:val="Tabletext"/>
              <w:rPr>
                <w:lang w:eastAsia="en-AU"/>
              </w:rPr>
            </w:pPr>
            <w:r w:rsidRPr="00F06651">
              <w:rPr>
                <w:lang w:eastAsia="zh-CN"/>
              </w:rPr>
              <w:t xml:space="preserve">Mobile </w:t>
            </w:r>
            <w:r w:rsidR="001B2655">
              <w:rPr>
                <w:lang w:eastAsia="zh-CN"/>
              </w:rPr>
              <w:t>n</w:t>
            </w:r>
            <w:r w:rsidRPr="00F06651">
              <w:rPr>
                <w:lang w:eastAsia="zh-CN"/>
              </w:rPr>
              <w:t xml:space="preserve">etwork </w:t>
            </w:r>
            <w:r w:rsidR="001B2655">
              <w:rPr>
                <w:lang w:eastAsia="zh-CN"/>
              </w:rPr>
              <w:t>b</w:t>
            </w:r>
            <w:r w:rsidRPr="00F06651">
              <w:rPr>
                <w:lang w:eastAsia="zh-CN"/>
              </w:rPr>
              <w:t xml:space="preserve">ase </w:t>
            </w:r>
            <w:r w:rsidR="001B2655">
              <w:rPr>
                <w:lang w:eastAsia="zh-CN"/>
              </w:rPr>
              <w:t>s</w:t>
            </w:r>
            <w:r w:rsidRPr="00F06651">
              <w:rPr>
                <w:lang w:eastAsia="zh-CN"/>
              </w:rPr>
              <w:t>tation (small cells)</w:t>
            </w:r>
          </w:p>
        </w:tc>
        <w:tc>
          <w:tcPr>
            <w:tcW w:w="1701" w:type="dxa"/>
          </w:tcPr>
          <w:p w14:paraId="585B556C" w14:textId="77777777" w:rsidR="00AA662C" w:rsidRPr="00F06651" w:rsidRDefault="00AA662C" w:rsidP="003C2262">
            <w:pPr>
              <w:pStyle w:val="Tabletext"/>
              <w:jc w:val="center"/>
              <w:rPr>
                <w:lang w:eastAsia="en-AU"/>
              </w:rPr>
            </w:pPr>
            <w:r w:rsidRPr="00F06651">
              <w:rPr>
                <w:lang w:eastAsia="zh-CN"/>
              </w:rPr>
              <w:t>1 – 10 W</w:t>
            </w:r>
          </w:p>
        </w:tc>
        <w:tc>
          <w:tcPr>
            <w:tcW w:w="1701" w:type="dxa"/>
          </w:tcPr>
          <w:p w14:paraId="42E8F1A4" w14:textId="77777777" w:rsidR="00AA662C" w:rsidRPr="00F06651" w:rsidRDefault="00AA662C" w:rsidP="003C2262">
            <w:pPr>
              <w:pStyle w:val="Tabletext"/>
              <w:jc w:val="center"/>
              <w:rPr>
                <w:lang w:eastAsia="en-AU"/>
              </w:rPr>
            </w:pPr>
            <w:r w:rsidRPr="00F06651">
              <w:rPr>
                <w:lang w:eastAsia="zh-CN"/>
              </w:rPr>
              <w:t>up to 100 W</w:t>
            </w:r>
          </w:p>
        </w:tc>
        <w:tc>
          <w:tcPr>
            <w:tcW w:w="1560" w:type="dxa"/>
          </w:tcPr>
          <w:p w14:paraId="7D8AFF82" w14:textId="77777777" w:rsidR="00AA662C" w:rsidRPr="00F06651" w:rsidRDefault="00AA662C" w:rsidP="003C2262">
            <w:pPr>
              <w:pStyle w:val="Tabletext"/>
              <w:jc w:val="center"/>
              <w:rPr>
                <w:lang w:eastAsia="en-AU"/>
              </w:rPr>
            </w:pPr>
            <w:r w:rsidRPr="00F06651">
              <w:rPr>
                <w:lang w:eastAsia="zh-CN"/>
              </w:rPr>
              <w:t>100 m – 1 km</w:t>
            </w:r>
          </w:p>
        </w:tc>
        <w:tc>
          <w:tcPr>
            <w:tcW w:w="2409" w:type="dxa"/>
          </w:tcPr>
          <w:p w14:paraId="587923BF" w14:textId="77777777" w:rsidR="00AA662C" w:rsidRPr="00F06651" w:rsidRDefault="00AA662C" w:rsidP="003C2262">
            <w:pPr>
              <w:pStyle w:val="Tabletext"/>
              <w:rPr>
                <w:lang w:eastAsia="en-AU"/>
              </w:rPr>
            </w:pPr>
            <w:r w:rsidRPr="00F06651">
              <w:rPr>
                <w:lang w:eastAsia="en-AU"/>
              </w:rPr>
              <w:t>Typical antenna gain is 5 – 10 dBi</w:t>
            </w:r>
          </w:p>
        </w:tc>
      </w:tr>
      <w:tr w:rsidR="00AA662C" w:rsidRPr="00F06651" w14:paraId="18C6146E" w14:textId="77777777" w:rsidTr="003C2262">
        <w:tc>
          <w:tcPr>
            <w:tcW w:w="2268" w:type="dxa"/>
          </w:tcPr>
          <w:p w14:paraId="2803C539" w14:textId="3942597F" w:rsidR="00AA662C" w:rsidRPr="00F06651" w:rsidRDefault="00AA662C" w:rsidP="003C2262">
            <w:pPr>
              <w:pStyle w:val="Tabletext"/>
              <w:rPr>
                <w:lang w:eastAsia="en-AU"/>
              </w:rPr>
            </w:pPr>
            <w:r w:rsidRPr="00F06651">
              <w:rPr>
                <w:lang w:eastAsia="en-AU"/>
              </w:rPr>
              <w:t xml:space="preserve">Mobile </w:t>
            </w:r>
            <w:r w:rsidR="001B2655">
              <w:rPr>
                <w:lang w:eastAsia="en-AU"/>
              </w:rPr>
              <w:t>n</w:t>
            </w:r>
            <w:r w:rsidRPr="00F06651">
              <w:rPr>
                <w:lang w:eastAsia="en-AU"/>
              </w:rPr>
              <w:t xml:space="preserve">etwork </w:t>
            </w:r>
            <w:r w:rsidR="001B2655">
              <w:rPr>
                <w:lang w:eastAsia="en-AU"/>
              </w:rPr>
              <w:t>b</w:t>
            </w:r>
            <w:r w:rsidRPr="00F06651">
              <w:rPr>
                <w:lang w:eastAsia="en-AU"/>
              </w:rPr>
              <w:t xml:space="preserve">ase </w:t>
            </w:r>
            <w:r w:rsidR="001B2655">
              <w:rPr>
                <w:lang w:eastAsia="en-AU"/>
              </w:rPr>
              <w:t>s</w:t>
            </w:r>
            <w:r w:rsidRPr="00F06651">
              <w:rPr>
                <w:lang w:eastAsia="en-AU"/>
              </w:rPr>
              <w:t>tation (macro site)</w:t>
            </w:r>
            <w:r w:rsidR="00F9089A">
              <w:rPr>
                <w:lang w:eastAsia="en-AU"/>
              </w:rPr>
              <w:t>*</w:t>
            </w:r>
          </w:p>
        </w:tc>
        <w:tc>
          <w:tcPr>
            <w:tcW w:w="1701" w:type="dxa"/>
          </w:tcPr>
          <w:p w14:paraId="33B1D5ED" w14:textId="77777777" w:rsidR="00AA662C" w:rsidRPr="00F06651" w:rsidRDefault="00AA662C" w:rsidP="00F9089A">
            <w:pPr>
              <w:pStyle w:val="Tabletext"/>
              <w:jc w:val="center"/>
              <w:rPr>
                <w:lang w:eastAsia="en-AU"/>
              </w:rPr>
            </w:pPr>
            <w:r w:rsidRPr="00F06651">
              <w:rPr>
                <w:lang w:eastAsia="en-AU"/>
              </w:rPr>
              <w:t xml:space="preserve">10 – </w:t>
            </w:r>
            <w:r w:rsidR="00F9089A">
              <w:rPr>
                <w:lang w:eastAsia="en-AU"/>
              </w:rPr>
              <w:t>8</w:t>
            </w:r>
            <w:r w:rsidR="00F9089A" w:rsidRPr="00F06651">
              <w:rPr>
                <w:lang w:eastAsia="en-AU"/>
              </w:rPr>
              <w:t xml:space="preserve">0 </w:t>
            </w:r>
            <w:r w:rsidRPr="00F06651">
              <w:rPr>
                <w:lang w:eastAsia="en-AU"/>
              </w:rPr>
              <w:t>W</w:t>
            </w:r>
          </w:p>
        </w:tc>
        <w:tc>
          <w:tcPr>
            <w:tcW w:w="1701" w:type="dxa"/>
          </w:tcPr>
          <w:p w14:paraId="4868C41B" w14:textId="77777777" w:rsidR="00AA662C" w:rsidRPr="00F06651" w:rsidRDefault="00F9089A" w:rsidP="00F9089A">
            <w:pPr>
              <w:pStyle w:val="Tabletext"/>
              <w:jc w:val="center"/>
              <w:rPr>
                <w:lang w:eastAsia="en-AU"/>
              </w:rPr>
            </w:pPr>
            <w:r>
              <w:rPr>
                <w:lang w:eastAsia="en-AU"/>
              </w:rPr>
              <w:t>2</w:t>
            </w:r>
            <w:r w:rsidR="00AA662C" w:rsidRPr="00F06651">
              <w:rPr>
                <w:lang w:eastAsia="en-AU"/>
              </w:rPr>
              <w:t>,</w:t>
            </w:r>
            <w:r>
              <w:rPr>
                <w:lang w:eastAsia="en-AU"/>
              </w:rPr>
              <w:t>6</w:t>
            </w:r>
            <w:r w:rsidRPr="00F06651">
              <w:rPr>
                <w:lang w:eastAsia="en-AU"/>
              </w:rPr>
              <w:t>00 </w:t>
            </w:r>
            <w:r w:rsidR="00AA662C" w:rsidRPr="00F06651">
              <w:rPr>
                <w:lang w:eastAsia="en-AU"/>
              </w:rPr>
              <w:t>W</w:t>
            </w:r>
          </w:p>
        </w:tc>
        <w:tc>
          <w:tcPr>
            <w:tcW w:w="1560" w:type="dxa"/>
          </w:tcPr>
          <w:p w14:paraId="763825EF" w14:textId="77777777" w:rsidR="00AA662C" w:rsidRPr="00F06651" w:rsidRDefault="00AA662C" w:rsidP="003C2262">
            <w:pPr>
              <w:pStyle w:val="Tabletext"/>
              <w:jc w:val="center"/>
              <w:rPr>
                <w:lang w:eastAsia="en-AU"/>
              </w:rPr>
            </w:pPr>
            <w:r w:rsidRPr="00F06651">
              <w:rPr>
                <w:lang w:eastAsia="en-AU"/>
              </w:rPr>
              <w:t>1 – 30 km</w:t>
            </w:r>
          </w:p>
        </w:tc>
        <w:tc>
          <w:tcPr>
            <w:tcW w:w="2409" w:type="dxa"/>
          </w:tcPr>
          <w:p w14:paraId="631431C4" w14:textId="77777777" w:rsidR="00AA662C" w:rsidRPr="00F06651" w:rsidRDefault="00AA662C" w:rsidP="003C2262">
            <w:pPr>
              <w:pStyle w:val="Tabletext"/>
              <w:rPr>
                <w:lang w:eastAsia="en-AU"/>
              </w:rPr>
            </w:pPr>
            <w:r w:rsidRPr="00F06651">
              <w:rPr>
                <w:lang w:eastAsia="en-AU"/>
              </w:rPr>
              <w:t xml:space="preserve">Additional gain of about 18 dBi and feeder loss </w:t>
            </w:r>
            <w:r w:rsidR="001B2655">
              <w:rPr>
                <w:lang w:eastAsia="en-AU"/>
              </w:rPr>
              <w:t xml:space="preserve">of </w:t>
            </w:r>
            <w:r w:rsidRPr="00F06651">
              <w:rPr>
                <w:lang w:eastAsia="en-AU"/>
              </w:rPr>
              <w:t>about 3 dB for base station antennas</w:t>
            </w:r>
          </w:p>
        </w:tc>
      </w:tr>
      <w:tr w:rsidR="00AA662C" w:rsidRPr="00F06651" w14:paraId="71D06926" w14:textId="77777777" w:rsidTr="003C2262">
        <w:tc>
          <w:tcPr>
            <w:tcW w:w="2268" w:type="dxa"/>
          </w:tcPr>
          <w:p w14:paraId="020A8CD7" w14:textId="77777777" w:rsidR="00AA662C" w:rsidRPr="00F06651" w:rsidRDefault="00AA662C" w:rsidP="003C2262">
            <w:pPr>
              <w:pStyle w:val="Tabletext"/>
              <w:rPr>
                <w:lang w:eastAsia="en-AU"/>
              </w:rPr>
            </w:pPr>
            <w:r w:rsidRPr="00F06651">
              <w:rPr>
                <w:lang w:eastAsia="en-AU"/>
              </w:rPr>
              <w:t>Typical FM radio station transmitter</w:t>
            </w:r>
          </w:p>
        </w:tc>
        <w:tc>
          <w:tcPr>
            <w:tcW w:w="1701" w:type="dxa"/>
          </w:tcPr>
          <w:p w14:paraId="69C9D584" w14:textId="41702BD0" w:rsidR="00AA662C" w:rsidRPr="00F06651" w:rsidRDefault="00AA662C" w:rsidP="003C2262">
            <w:pPr>
              <w:pStyle w:val="Tabletext"/>
              <w:jc w:val="center"/>
              <w:rPr>
                <w:lang w:eastAsia="en-AU"/>
              </w:rPr>
            </w:pPr>
            <w:r w:rsidRPr="00F06651">
              <w:rPr>
                <w:lang w:eastAsia="en-AU"/>
              </w:rPr>
              <w:t>1</w:t>
            </w:r>
            <w:r w:rsidR="001B2655">
              <w:rPr>
                <w:lang w:eastAsia="en-AU"/>
              </w:rPr>
              <w:t xml:space="preserve"> – </w:t>
            </w:r>
            <w:r w:rsidRPr="00F06651">
              <w:rPr>
                <w:lang w:eastAsia="en-AU"/>
              </w:rPr>
              <w:t>20 kW</w:t>
            </w:r>
          </w:p>
        </w:tc>
        <w:tc>
          <w:tcPr>
            <w:tcW w:w="1701" w:type="dxa"/>
          </w:tcPr>
          <w:p w14:paraId="7F1118BF" w14:textId="77777777" w:rsidR="00AA662C" w:rsidRPr="00F06651" w:rsidRDefault="00AA662C" w:rsidP="003C2262">
            <w:pPr>
              <w:pStyle w:val="Tabletext"/>
              <w:jc w:val="center"/>
              <w:rPr>
                <w:lang w:eastAsia="en-AU"/>
              </w:rPr>
            </w:pPr>
            <w:r w:rsidRPr="00F06651">
              <w:rPr>
                <w:lang w:eastAsia="en-AU"/>
              </w:rPr>
              <w:t>197 kW (ERP=120 kW)</w:t>
            </w:r>
          </w:p>
        </w:tc>
        <w:tc>
          <w:tcPr>
            <w:tcW w:w="1560" w:type="dxa"/>
          </w:tcPr>
          <w:p w14:paraId="4DEF4887" w14:textId="77777777" w:rsidR="00AA662C" w:rsidRPr="00F06651" w:rsidRDefault="00AA662C" w:rsidP="003C2262">
            <w:pPr>
              <w:pStyle w:val="Tabletext"/>
              <w:jc w:val="center"/>
              <w:rPr>
                <w:lang w:eastAsia="en-AU"/>
              </w:rPr>
            </w:pPr>
            <w:r w:rsidRPr="00F06651">
              <w:rPr>
                <w:lang w:eastAsia="en-AU"/>
              </w:rPr>
              <w:t>&lt;</w:t>
            </w:r>
            <w:r w:rsidR="001B2655">
              <w:rPr>
                <w:lang w:eastAsia="en-AU"/>
              </w:rPr>
              <w:t xml:space="preserve"> </w:t>
            </w:r>
            <w:r w:rsidRPr="00F06651">
              <w:rPr>
                <w:lang w:eastAsia="en-AU"/>
              </w:rPr>
              <w:t>100 km</w:t>
            </w:r>
          </w:p>
        </w:tc>
        <w:tc>
          <w:tcPr>
            <w:tcW w:w="2409" w:type="dxa"/>
            <w:vMerge w:val="restart"/>
            <w:vAlign w:val="center"/>
          </w:tcPr>
          <w:p w14:paraId="6FBE47AB" w14:textId="77777777" w:rsidR="00AA662C" w:rsidRPr="00F06651" w:rsidRDefault="00AA662C" w:rsidP="003C2262">
            <w:pPr>
              <w:pStyle w:val="Tabletext"/>
              <w:rPr>
                <w:lang w:eastAsia="en-AU"/>
              </w:rPr>
            </w:pPr>
            <w:r w:rsidRPr="00F06651">
              <w:rPr>
                <w:lang w:eastAsia="en-AU"/>
              </w:rPr>
              <w:t>Additional gain of about 13 dBi and feeder losses 2 dB per antenna</w:t>
            </w:r>
          </w:p>
        </w:tc>
      </w:tr>
      <w:tr w:rsidR="00AA662C" w:rsidRPr="00F06651" w14:paraId="2C938C0E" w14:textId="77777777" w:rsidTr="003C2262">
        <w:tc>
          <w:tcPr>
            <w:tcW w:w="2268" w:type="dxa"/>
          </w:tcPr>
          <w:p w14:paraId="635EC4B9" w14:textId="77777777" w:rsidR="00AA662C" w:rsidRPr="00F06651" w:rsidRDefault="00AA662C" w:rsidP="003C2262">
            <w:pPr>
              <w:pStyle w:val="Tabletext"/>
              <w:rPr>
                <w:lang w:eastAsia="en-AU"/>
              </w:rPr>
            </w:pPr>
            <w:r w:rsidRPr="00F06651">
              <w:rPr>
                <w:lang w:eastAsia="en-AU"/>
              </w:rPr>
              <w:t>VHF TV transmitter*</w:t>
            </w:r>
            <w:r w:rsidR="00F9089A">
              <w:rPr>
                <w:lang w:eastAsia="en-AU"/>
              </w:rPr>
              <w:t>*</w:t>
            </w:r>
          </w:p>
        </w:tc>
        <w:tc>
          <w:tcPr>
            <w:tcW w:w="1701" w:type="dxa"/>
          </w:tcPr>
          <w:p w14:paraId="45ADD907" w14:textId="77777777" w:rsidR="00AA662C" w:rsidRPr="00F06651" w:rsidRDefault="00AA662C" w:rsidP="003C2262">
            <w:pPr>
              <w:pStyle w:val="Tabletext"/>
              <w:jc w:val="center"/>
              <w:rPr>
                <w:lang w:eastAsia="en-AU"/>
              </w:rPr>
            </w:pPr>
            <w:r w:rsidRPr="00F06651">
              <w:rPr>
                <w:lang w:eastAsia="en-AU"/>
              </w:rPr>
              <w:t>1 – 30 kW</w:t>
            </w:r>
          </w:p>
        </w:tc>
        <w:tc>
          <w:tcPr>
            <w:tcW w:w="1701" w:type="dxa"/>
          </w:tcPr>
          <w:p w14:paraId="396BC9FE" w14:textId="77777777" w:rsidR="00AA662C" w:rsidRPr="00F06651" w:rsidRDefault="00AA662C" w:rsidP="003C2262">
            <w:pPr>
              <w:pStyle w:val="Tabletext"/>
              <w:jc w:val="center"/>
              <w:rPr>
                <w:lang w:eastAsia="en-AU"/>
              </w:rPr>
            </w:pPr>
            <w:r w:rsidRPr="00F06651">
              <w:rPr>
                <w:lang w:eastAsia="en-AU"/>
              </w:rPr>
              <w:t>328 kW (ERP=200 kW)</w:t>
            </w:r>
          </w:p>
        </w:tc>
        <w:tc>
          <w:tcPr>
            <w:tcW w:w="1560" w:type="dxa"/>
          </w:tcPr>
          <w:p w14:paraId="7730F70D" w14:textId="77777777" w:rsidR="00AA662C" w:rsidRPr="00F06651" w:rsidRDefault="00AA662C" w:rsidP="003C2262">
            <w:pPr>
              <w:pStyle w:val="Tabletext"/>
              <w:jc w:val="center"/>
              <w:rPr>
                <w:lang w:eastAsia="en-AU"/>
              </w:rPr>
            </w:pPr>
            <w:r w:rsidRPr="00F06651">
              <w:rPr>
                <w:lang w:eastAsia="en-AU"/>
              </w:rPr>
              <w:t>&lt;</w:t>
            </w:r>
            <w:r w:rsidR="001B2655">
              <w:rPr>
                <w:lang w:eastAsia="en-AU"/>
              </w:rPr>
              <w:t xml:space="preserve"> </w:t>
            </w:r>
            <w:r w:rsidRPr="00F06651">
              <w:rPr>
                <w:lang w:eastAsia="en-AU"/>
              </w:rPr>
              <w:t>150 km</w:t>
            </w:r>
          </w:p>
        </w:tc>
        <w:tc>
          <w:tcPr>
            <w:tcW w:w="2409" w:type="dxa"/>
            <w:vMerge/>
          </w:tcPr>
          <w:p w14:paraId="2C82AF80" w14:textId="77777777" w:rsidR="00AA662C" w:rsidRPr="00F06651" w:rsidRDefault="00AA662C" w:rsidP="003C2262">
            <w:pPr>
              <w:pStyle w:val="Tabletext"/>
              <w:rPr>
                <w:lang w:eastAsia="en-AU"/>
              </w:rPr>
            </w:pPr>
          </w:p>
        </w:tc>
      </w:tr>
      <w:tr w:rsidR="00AA662C" w:rsidRPr="00F06651" w14:paraId="681DDB3C" w14:textId="77777777" w:rsidTr="003C2262">
        <w:tc>
          <w:tcPr>
            <w:tcW w:w="2268" w:type="dxa"/>
          </w:tcPr>
          <w:p w14:paraId="3370C4A9" w14:textId="77777777" w:rsidR="00AA662C" w:rsidRPr="00F06651" w:rsidRDefault="00AA662C" w:rsidP="003C2262">
            <w:pPr>
              <w:pStyle w:val="Tabletext"/>
              <w:rPr>
                <w:lang w:eastAsia="en-AU"/>
              </w:rPr>
            </w:pPr>
            <w:r w:rsidRPr="00F06651">
              <w:rPr>
                <w:lang w:eastAsia="en-AU"/>
              </w:rPr>
              <w:t>Typical UHF TV transmitter*</w:t>
            </w:r>
          </w:p>
        </w:tc>
        <w:tc>
          <w:tcPr>
            <w:tcW w:w="1701" w:type="dxa"/>
          </w:tcPr>
          <w:p w14:paraId="08355D7E" w14:textId="77777777" w:rsidR="001E426F" w:rsidRDefault="00AA662C" w:rsidP="002E4045">
            <w:pPr>
              <w:pStyle w:val="Tabletext"/>
              <w:ind w:left="720"/>
              <w:rPr>
                <w:rFonts w:cs="Times New Roman"/>
                <w:szCs w:val="20"/>
                <w:lang w:eastAsia="en-AU"/>
              </w:rPr>
            </w:pPr>
            <w:r w:rsidRPr="00F06651">
              <w:rPr>
                <w:lang w:eastAsia="en-AU"/>
              </w:rPr>
              <w:t>1-40 kW</w:t>
            </w:r>
          </w:p>
        </w:tc>
        <w:tc>
          <w:tcPr>
            <w:tcW w:w="1701" w:type="dxa"/>
          </w:tcPr>
          <w:p w14:paraId="025052F0" w14:textId="77777777" w:rsidR="00AA662C" w:rsidRPr="00F06651" w:rsidRDefault="00AA662C" w:rsidP="003C2262">
            <w:pPr>
              <w:pStyle w:val="Tabletext"/>
              <w:jc w:val="center"/>
              <w:rPr>
                <w:lang w:eastAsia="en-AU"/>
              </w:rPr>
            </w:pPr>
            <w:r w:rsidRPr="00F06651">
              <w:rPr>
                <w:lang w:eastAsia="en-AU"/>
              </w:rPr>
              <w:t>1640 kW (ERP=1000 kW)</w:t>
            </w:r>
          </w:p>
        </w:tc>
        <w:tc>
          <w:tcPr>
            <w:tcW w:w="1560" w:type="dxa"/>
          </w:tcPr>
          <w:p w14:paraId="5E8A8273" w14:textId="77777777" w:rsidR="00AA662C" w:rsidRPr="00F06651" w:rsidRDefault="00AA662C" w:rsidP="003C2262">
            <w:pPr>
              <w:pStyle w:val="Tabletext"/>
              <w:jc w:val="center"/>
              <w:rPr>
                <w:lang w:eastAsia="en-AU"/>
              </w:rPr>
            </w:pPr>
            <w:r w:rsidRPr="00F06651">
              <w:rPr>
                <w:lang w:eastAsia="en-AU"/>
              </w:rPr>
              <w:t>&lt;</w:t>
            </w:r>
            <w:r w:rsidR="00495750">
              <w:rPr>
                <w:lang w:eastAsia="en-AU"/>
              </w:rPr>
              <w:t xml:space="preserve"> </w:t>
            </w:r>
            <w:r w:rsidRPr="00F06651">
              <w:rPr>
                <w:lang w:eastAsia="en-AU"/>
              </w:rPr>
              <w:t>100 km</w:t>
            </w:r>
          </w:p>
        </w:tc>
        <w:tc>
          <w:tcPr>
            <w:tcW w:w="2409" w:type="dxa"/>
            <w:vMerge w:val="restart"/>
            <w:vAlign w:val="center"/>
          </w:tcPr>
          <w:p w14:paraId="02BB57A4" w14:textId="77777777" w:rsidR="00AA662C" w:rsidRPr="00F06651" w:rsidRDefault="00AA662C" w:rsidP="003C2262">
            <w:pPr>
              <w:pStyle w:val="Tabletext"/>
              <w:rPr>
                <w:lang w:eastAsia="en-AU"/>
              </w:rPr>
            </w:pPr>
            <w:r w:rsidRPr="00F06651">
              <w:rPr>
                <w:lang w:eastAsia="en-AU"/>
              </w:rPr>
              <w:t>Additional gain about 16 dBi</w:t>
            </w:r>
          </w:p>
        </w:tc>
      </w:tr>
      <w:tr w:rsidR="00AA662C" w:rsidRPr="00F06651" w14:paraId="6A3173D6" w14:textId="77777777" w:rsidTr="003C2262">
        <w:tc>
          <w:tcPr>
            <w:tcW w:w="2268" w:type="dxa"/>
          </w:tcPr>
          <w:p w14:paraId="5C707087" w14:textId="77777777" w:rsidR="00AA662C" w:rsidRPr="00F06651" w:rsidRDefault="00AA662C" w:rsidP="003C2262">
            <w:pPr>
              <w:pStyle w:val="Tabletext"/>
              <w:rPr>
                <w:lang w:eastAsia="en-AU"/>
              </w:rPr>
            </w:pPr>
            <w:r w:rsidRPr="00F06651">
              <w:rPr>
                <w:lang w:eastAsia="en-AU"/>
              </w:rPr>
              <w:t>UHF DVB-T transmitter</w:t>
            </w:r>
          </w:p>
        </w:tc>
        <w:tc>
          <w:tcPr>
            <w:tcW w:w="1701" w:type="dxa"/>
          </w:tcPr>
          <w:p w14:paraId="6099D2D1" w14:textId="77777777" w:rsidR="00AA662C" w:rsidRPr="00F06651" w:rsidRDefault="00AA662C" w:rsidP="003C2262">
            <w:pPr>
              <w:pStyle w:val="Tabletext"/>
              <w:jc w:val="center"/>
              <w:rPr>
                <w:lang w:eastAsia="en-AU"/>
              </w:rPr>
            </w:pPr>
            <w:r w:rsidRPr="00F06651">
              <w:rPr>
                <w:lang w:eastAsia="en-AU"/>
              </w:rPr>
              <w:t>1 – 5 kW</w:t>
            </w:r>
          </w:p>
        </w:tc>
        <w:tc>
          <w:tcPr>
            <w:tcW w:w="1701" w:type="dxa"/>
          </w:tcPr>
          <w:p w14:paraId="08398BB9" w14:textId="77777777" w:rsidR="00AA662C" w:rsidRPr="00F06651" w:rsidRDefault="00AA662C" w:rsidP="003C2262">
            <w:pPr>
              <w:pStyle w:val="Tabletext"/>
              <w:jc w:val="center"/>
              <w:rPr>
                <w:lang w:eastAsia="en-AU"/>
              </w:rPr>
            </w:pPr>
            <w:r w:rsidRPr="00F06651">
              <w:rPr>
                <w:lang w:eastAsia="en-AU"/>
              </w:rPr>
              <w:t>246 kW (ERP=150 kW)</w:t>
            </w:r>
          </w:p>
        </w:tc>
        <w:tc>
          <w:tcPr>
            <w:tcW w:w="1560" w:type="dxa"/>
          </w:tcPr>
          <w:p w14:paraId="22B1EBFC" w14:textId="77777777" w:rsidR="00AA662C" w:rsidRPr="00F06651" w:rsidRDefault="00AA662C" w:rsidP="003C2262">
            <w:pPr>
              <w:pStyle w:val="Tabletext"/>
              <w:jc w:val="center"/>
              <w:rPr>
                <w:lang w:eastAsia="en-AU"/>
              </w:rPr>
            </w:pPr>
            <w:r w:rsidRPr="00F06651">
              <w:rPr>
                <w:lang w:eastAsia="en-AU"/>
              </w:rPr>
              <w:t>&lt;</w:t>
            </w:r>
            <w:r w:rsidR="00495750">
              <w:rPr>
                <w:lang w:eastAsia="en-AU"/>
              </w:rPr>
              <w:t xml:space="preserve"> </w:t>
            </w:r>
            <w:r w:rsidRPr="00F06651">
              <w:rPr>
                <w:lang w:eastAsia="en-AU"/>
              </w:rPr>
              <w:t>100 km</w:t>
            </w:r>
          </w:p>
        </w:tc>
        <w:tc>
          <w:tcPr>
            <w:tcW w:w="2409" w:type="dxa"/>
            <w:vMerge/>
          </w:tcPr>
          <w:p w14:paraId="1EB6E9BB" w14:textId="77777777" w:rsidR="00AA662C" w:rsidRPr="00F06651" w:rsidRDefault="00AA662C" w:rsidP="003C2262">
            <w:pPr>
              <w:pStyle w:val="Tabletext"/>
              <w:rPr>
                <w:lang w:eastAsia="en-AU"/>
              </w:rPr>
            </w:pPr>
          </w:p>
        </w:tc>
      </w:tr>
      <w:tr w:rsidR="00AA662C" w:rsidRPr="00F06651" w14:paraId="61163CAC" w14:textId="77777777" w:rsidTr="003C2262">
        <w:tc>
          <w:tcPr>
            <w:tcW w:w="2268" w:type="dxa"/>
          </w:tcPr>
          <w:p w14:paraId="0635CED5" w14:textId="77777777" w:rsidR="00AA662C" w:rsidRPr="00F06651" w:rsidRDefault="00AA662C" w:rsidP="003C2262">
            <w:pPr>
              <w:pStyle w:val="Tabletext"/>
              <w:rPr>
                <w:lang w:eastAsia="en-AU"/>
              </w:rPr>
            </w:pPr>
            <w:r w:rsidRPr="00F06651">
              <w:rPr>
                <w:lang w:eastAsia="en-AU"/>
              </w:rPr>
              <w:t>Typical AM radio station transmitter**</w:t>
            </w:r>
            <w:r w:rsidR="00F9089A">
              <w:rPr>
                <w:lang w:eastAsia="en-AU"/>
              </w:rPr>
              <w:t>*</w:t>
            </w:r>
          </w:p>
        </w:tc>
        <w:tc>
          <w:tcPr>
            <w:tcW w:w="1701" w:type="dxa"/>
          </w:tcPr>
          <w:p w14:paraId="594C7F0B" w14:textId="77777777" w:rsidR="00AA662C" w:rsidRPr="00F06651" w:rsidRDefault="00AA662C" w:rsidP="003C2262">
            <w:pPr>
              <w:pStyle w:val="Tabletext"/>
              <w:jc w:val="center"/>
              <w:rPr>
                <w:lang w:eastAsia="en-AU"/>
              </w:rPr>
            </w:pPr>
            <w:r w:rsidRPr="00F06651">
              <w:rPr>
                <w:lang w:eastAsia="en-AU"/>
              </w:rPr>
              <w:t>50 –</w:t>
            </w:r>
            <w:r w:rsidR="001B2655">
              <w:rPr>
                <w:lang w:eastAsia="en-AU"/>
              </w:rPr>
              <w:t xml:space="preserve"> </w:t>
            </w:r>
            <w:r w:rsidRPr="00F06651">
              <w:rPr>
                <w:lang w:eastAsia="en-AU"/>
              </w:rPr>
              <w:t>1,200 kW</w:t>
            </w:r>
          </w:p>
        </w:tc>
        <w:tc>
          <w:tcPr>
            <w:tcW w:w="1701" w:type="dxa"/>
          </w:tcPr>
          <w:p w14:paraId="66B2B5A4" w14:textId="77777777" w:rsidR="00AA662C" w:rsidRPr="00F06651" w:rsidRDefault="00AA662C" w:rsidP="003C2262">
            <w:pPr>
              <w:pStyle w:val="Tabletext"/>
              <w:jc w:val="center"/>
              <w:rPr>
                <w:lang w:eastAsia="en-AU"/>
              </w:rPr>
            </w:pPr>
            <w:r w:rsidRPr="00F06651">
              <w:rPr>
                <w:lang w:eastAsia="en-AU"/>
              </w:rPr>
              <w:t>3,280 kW (ERP=2000 kW)</w:t>
            </w:r>
          </w:p>
        </w:tc>
        <w:tc>
          <w:tcPr>
            <w:tcW w:w="1560" w:type="dxa"/>
          </w:tcPr>
          <w:p w14:paraId="70EF3CF3" w14:textId="77777777" w:rsidR="001E426F" w:rsidRDefault="00AA662C" w:rsidP="002E4045">
            <w:pPr>
              <w:pStyle w:val="Tabletext"/>
              <w:rPr>
                <w:rFonts w:cs="Times New Roman"/>
                <w:szCs w:val="20"/>
                <w:lang w:eastAsia="en-AU"/>
              </w:rPr>
            </w:pPr>
            <w:r w:rsidRPr="00F06651">
              <w:rPr>
                <w:lang w:eastAsia="en-AU"/>
              </w:rPr>
              <w:t>&gt;300 km</w:t>
            </w:r>
          </w:p>
        </w:tc>
        <w:tc>
          <w:tcPr>
            <w:tcW w:w="2409" w:type="dxa"/>
          </w:tcPr>
          <w:p w14:paraId="25023775" w14:textId="77777777" w:rsidR="00AA662C" w:rsidRPr="00F06651" w:rsidRDefault="00AA662C" w:rsidP="003C2262">
            <w:pPr>
              <w:pStyle w:val="Tabletext"/>
              <w:rPr>
                <w:lang w:eastAsia="en-AU"/>
              </w:rPr>
            </w:pPr>
            <w:r w:rsidRPr="00F06651">
              <w:rPr>
                <w:lang w:eastAsia="en-AU"/>
              </w:rPr>
              <w:t>Additional gain about 4 dBi</w:t>
            </w:r>
          </w:p>
        </w:tc>
      </w:tr>
    </w:tbl>
    <w:p w14:paraId="2D228307" w14:textId="77777777" w:rsidR="00EF0912" w:rsidRPr="00EF0912" w:rsidRDefault="00EF0912" w:rsidP="00CD624E">
      <w:pPr>
        <w:pStyle w:val="Figurelegend"/>
        <w:rPr>
          <w:rFonts w:ascii="Calibri" w:hAnsi="Calibri" w:cs="Arial"/>
          <w:sz w:val="22"/>
          <w:szCs w:val="22"/>
          <w:lang w:val="fr-CH" w:eastAsia="zh-CN"/>
        </w:rPr>
      </w:pPr>
      <w:r w:rsidRPr="007D3F65">
        <w:rPr>
          <w:lang w:val="fr-CH" w:eastAsia="en-AU"/>
        </w:rPr>
        <w:lastRenderedPageBreak/>
        <w:t>Source: Recommendation ITU-T K.70, Appendix II; Recommendation ITU-R BS.1698</w:t>
      </w:r>
      <w:r w:rsidR="003239E1">
        <w:rPr>
          <w:lang w:val="fr-CH" w:eastAsia="en-AU"/>
        </w:rPr>
        <w:t>-0</w:t>
      </w:r>
      <w:r w:rsidRPr="007D3F65">
        <w:rPr>
          <w:lang w:val="fr-CH" w:eastAsia="en-AU"/>
        </w:rPr>
        <w:t>, section 2.1.5</w:t>
      </w:r>
      <w:r w:rsidR="003239E1">
        <w:rPr>
          <w:lang w:val="fr-CH" w:eastAsia="en-AU"/>
        </w:rPr>
        <w:t>.</w:t>
      </w:r>
    </w:p>
    <w:p w14:paraId="200976A4" w14:textId="4710A774" w:rsidR="00F9089A" w:rsidRDefault="000E4A5B" w:rsidP="003C2262">
      <w:pPr>
        <w:pStyle w:val="Note"/>
        <w:rPr>
          <w:lang w:eastAsia="en-AU"/>
        </w:rPr>
      </w:pPr>
      <w:r w:rsidRPr="002E4045">
        <w:rPr>
          <w:lang w:val="fr-CH" w:eastAsia="en-AU"/>
        </w:rPr>
        <w:tab/>
      </w:r>
      <w:r w:rsidR="00F9089A">
        <w:rPr>
          <w:lang w:eastAsia="en-AU"/>
        </w:rPr>
        <w:t xml:space="preserve">* </w:t>
      </w:r>
      <w:r w:rsidR="00495750">
        <w:rPr>
          <w:lang w:eastAsia="en-AU"/>
        </w:rPr>
        <w:t>P</w:t>
      </w:r>
      <w:r w:rsidR="00F9089A">
        <w:rPr>
          <w:lang w:eastAsia="en-AU"/>
        </w:rPr>
        <w:t>er carrier</w:t>
      </w:r>
      <w:r w:rsidR="00495750">
        <w:rPr>
          <w:lang w:eastAsia="en-AU"/>
        </w:rPr>
        <w:t>.</w:t>
      </w:r>
    </w:p>
    <w:p w14:paraId="261935EA" w14:textId="64F4F045" w:rsidR="00AA662C" w:rsidRPr="00F06651" w:rsidRDefault="00F9089A" w:rsidP="003C2262">
      <w:pPr>
        <w:pStyle w:val="Note"/>
        <w:rPr>
          <w:lang w:eastAsia="en-AU"/>
        </w:rPr>
      </w:pPr>
      <w:r>
        <w:rPr>
          <w:lang w:eastAsia="en-AU"/>
        </w:rPr>
        <w:tab/>
      </w:r>
      <w:r w:rsidR="00AA662C" w:rsidRPr="00F06651">
        <w:rPr>
          <w:lang w:eastAsia="en-AU"/>
        </w:rPr>
        <w:t>*</w:t>
      </w:r>
      <w:r>
        <w:rPr>
          <w:lang w:eastAsia="en-AU"/>
        </w:rPr>
        <w:t>*</w:t>
      </w:r>
      <w:r w:rsidR="00AA662C" w:rsidRPr="00F06651">
        <w:rPr>
          <w:lang w:eastAsia="en-AU"/>
        </w:rPr>
        <w:t xml:space="preserve"> </w:t>
      </w:r>
      <w:r w:rsidR="00495750">
        <w:rPr>
          <w:lang w:eastAsia="en-AU"/>
        </w:rPr>
        <w:t>N</w:t>
      </w:r>
      <w:r w:rsidR="00AA662C" w:rsidRPr="00F06651">
        <w:rPr>
          <w:lang w:eastAsia="en-AU"/>
        </w:rPr>
        <w:t>ominal analog</w:t>
      </w:r>
      <w:r w:rsidR="001524D9">
        <w:rPr>
          <w:lang w:eastAsia="en-AU"/>
        </w:rPr>
        <w:t>ue</w:t>
      </w:r>
      <w:r w:rsidR="00AA662C" w:rsidRPr="00F06651">
        <w:rPr>
          <w:lang w:eastAsia="en-AU"/>
        </w:rPr>
        <w:t xml:space="preserve"> TV transmitter power is peak power</w:t>
      </w:r>
      <w:r w:rsidR="00495750">
        <w:rPr>
          <w:lang w:eastAsia="en-AU"/>
        </w:rPr>
        <w:t>.</w:t>
      </w:r>
    </w:p>
    <w:p w14:paraId="30361EA9" w14:textId="23B26CD2" w:rsidR="00AA662C" w:rsidRPr="00F06651" w:rsidRDefault="004C37E7" w:rsidP="003C2262">
      <w:pPr>
        <w:pStyle w:val="Note"/>
        <w:rPr>
          <w:lang w:eastAsia="en-AU"/>
        </w:rPr>
      </w:pPr>
      <w:r>
        <w:rPr>
          <w:lang w:eastAsia="en-AU"/>
        </w:rPr>
        <w:tab/>
      </w:r>
      <w:r w:rsidR="00AA662C" w:rsidRPr="00F06651">
        <w:rPr>
          <w:lang w:eastAsia="en-AU"/>
        </w:rPr>
        <w:t>**</w:t>
      </w:r>
      <w:r w:rsidR="00F9089A">
        <w:rPr>
          <w:lang w:eastAsia="en-AU"/>
        </w:rPr>
        <w:t>*</w:t>
      </w:r>
      <w:r w:rsidR="00AA662C" w:rsidRPr="00F06651">
        <w:rPr>
          <w:lang w:eastAsia="en-AU"/>
        </w:rPr>
        <w:t xml:space="preserve"> </w:t>
      </w:r>
      <w:r w:rsidR="00495750" w:rsidRPr="00F06651">
        <w:rPr>
          <w:lang w:eastAsia="en-AU"/>
        </w:rPr>
        <w:t>Nominal</w:t>
      </w:r>
      <w:r w:rsidR="00AA662C" w:rsidRPr="00F06651">
        <w:rPr>
          <w:lang w:eastAsia="en-AU"/>
        </w:rPr>
        <w:t xml:space="preserve"> AM transmitter power is carrier power</w:t>
      </w:r>
      <w:r w:rsidR="00495750">
        <w:rPr>
          <w:lang w:eastAsia="en-AU"/>
        </w:rPr>
        <w:t>.</w:t>
      </w:r>
    </w:p>
    <w:p w14:paraId="27430C44" w14:textId="0F058165" w:rsidR="00DC0049" w:rsidRDefault="00EF0912" w:rsidP="00BE191B">
      <w:pPr>
        <w:pStyle w:val="Note"/>
        <w:ind w:left="720"/>
        <w:jc w:val="left"/>
        <w:rPr>
          <w:lang w:eastAsia="zh-CN"/>
        </w:rPr>
      </w:pPr>
      <w:r>
        <w:rPr>
          <w:lang w:eastAsia="zh-CN"/>
        </w:rPr>
        <w:t xml:space="preserve">  U</w:t>
      </w:r>
      <w:r w:rsidR="00AA662C" w:rsidRPr="00F06651">
        <w:rPr>
          <w:lang w:eastAsia="zh-CN"/>
        </w:rPr>
        <w:t>HF</w:t>
      </w:r>
      <w:r>
        <w:rPr>
          <w:lang w:eastAsia="zh-CN"/>
        </w:rPr>
        <w:t xml:space="preserve"> </w:t>
      </w:r>
      <w:r w:rsidR="00AA662C" w:rsidRPr="00F06651">
        <w:rPr>
          <w:lang w:eastAsia="zh-CN"/>
        </w:rPr>
        <w:t>= Ultra High Frequency</w:t>
      </w:r>
      <w:r w:rsidR="00495750">
        <w:rPr>
          <w:lang w:eastAsia="zh-CN"/>
        </w:rPr>
        <w:t>;</w:t>
      </w:r>
      <w:r w:rsidR="00AA662C" w:rsidRPr="00F06651">
        <w:rPr>
          <w:lang w:eastAsia="zh-CN"/>
        </w:rPr>
        <w:t xml:space="preserve"> VHF = Very High Frequency</w:t>
      </w:r>
      <w:r>
        <w:rPr>
          <w:lang w:eastAsia="zh-CN"/>
        </w:rPr>
        <w:br/>
        <w:t xml:space="preserve">  (</w:t>
      </w:r>
      <w:r w:rsidR="00AA662C" w:rsidRPr="00F06651">
        <w:rPr>
          <w:lang w:eastAsia="zh-CN"/>
        </w:rPr>
        <w:t xml:space="preserve">see ITU Radio Regulations, Vol. 1, Article 2, 2008). </w:t>
      </w:r>
    </w:p>
    <w:p w14:paraId="523A627F" w14:textId="6141AFA5" w:rsidR="00AA662C" w:rsidRPr="00F06651" w:rsidRDefault="00AA662C" w:rsidP="003C2262">
      <w:pPr>
        <w:pStyle w:val="Heading1"/>
      </w:pPr>
      <w:bookmarkStart w:id="49" w:name="_Toc397945037"/>
      <w:bookmarkStart w:id="50" w:name="_Toc400020860"/>
      <w:bookmarkStart w:id="51" w:name="_Toc400106128"/>
      <w:r>
        <w:t>3</w:t>
      </w:r>
      <w:r>
        <w:tab/>
      </w:r>
      <w:r w:rsidRPr="00F06651">
        <w:t xml:space="preserve">EMF and </w:t>
      </w:r>
      <w:r w:rsidR="001400DF">
        <w:t>h</w:t>
      </w:r>
      <w:r w:rsidRPr="00F06651">
        <w:t>ealth</w:t>
      </w:r>
      <w:bookmarkEnd w:id="49"/>
      <w:bookmarkEnd w:id="50"/>
      <w:bookmarkEnd w:id="51"/>
    </w:p>
    <w:p w14:paraId="24E17B27" w14:textId="2FFC305F" w:rsidR="00AA662C" w:rsidRPr="00F06651" w:rsidRDefault="00AA662C" w:rsidP="003C2262">
      <w:pPr>
        <w:rPr>
          <w:lang w:eastAsia="en-AU"/>
        </w:rPr>
      </w:pPr>
      <w:r w:rsidRPr="00F06651">
        <w:rPr>
          <w:lang w:eastAsia="en-AU"/>
        </w:rPr>
        <w:t>Exposure to electromagnetic fields (EMFs) in everyday life is not a recent occurrence. Humans have been exposed to natural EMF throu</w:t>
      </w:r>
      <w:r>
        <w:rPr>
          <w:lang w:eastAsia="en-AU"/>
        </w:rPr>
        <w:t>ghout their lifetime</w:t>
      </w:r>
      <w:r w:rsidR="009771B8">
        <w:rPr>
          <w:lang w:eastAsia="en-AU"/>
        </w:rPr>
        <w:t>;</w:t>
      </w:r>
      <w:r>
        <w:rPr>
          <w:lang w:eastAsia="en-AU"/>
        </w:rPr>
        <w:t xml:space="preserve"> however, </w:t>
      </w:r>
      <w:r w:rsidRPr="00F06651">
        <w:rPr>
          <w:lang w:eastAsia="en-AU"/>
        </w:rPr>
        <w:t>human sources of EMFs have increased in the past century with the development of technology and radio communications.</w:t>
      </w:r>
    </w:p>
    <w:p w14:paraId="793E58E9" w14:textId="77777777" w:rsidR="00AA662C" w:rsidRPr="00F06651" w:rsidRDefault="00AA662C" w:rsidP="003C2262">
      <w:pPr>
        <w:rPr>
          <w:lang w:eastAsia="en-AU"/>
        </w:rPr>
      </w:pPr>
      <w:r w:rsidRPr="00F06651">
        <w:rPr>
          <w:lang w:eastAsia="en-AU"/>
        </w:rPr>
        <w:t>The electromagnetic spectrum extends from static electric and magnetic fields, domestic electric power frequencies (50/60</w:t>
      </w:r>
      <w:r w:rsidR="009771B8">
        <w:rPr>
          <w:lang w:eastAsia="en-AU"/>
        </w:rPr>
        <w:t xml:space="preserve"> </w:t>
      </w:r>
      <w:r w:rsidRPr="00F06651">
        <w:rPr>
          <w:lang w:eastAsia="en-AU"/>
        </w:rPr>
        <w:t>Hz) through radio frequency, infrared, and visible light to gamma-rays (Figure 9).</w:t>
      </w:r>
    </w:p>
    <w:p w14:paraId="67E5E95D" w14:textId="77777777" w:rsidR="00AA662C" w:rsidRPr="00F06651" w:rsidRDefault="00AA662C" w:rsidP="003C2262">
      <w:pPr>
        <w:pStyle w:val="Figure"/>
        <w:rPr>
          <w:lang w:eastAsia="en-AU"/>
        </w:rPr>
      </w:pPr>
      <w:r w:rsidRPr="00F06651">
        <w:rPr>
          <w:noProof/>
          <w:lang w:val="en-US" w:eastAsia="zh-CN"/>
        </w:rPr>
        <w:drawing>
          <wp:inline distT="0" distB="0" distL="0" distR="0" wp14:anchorId="5B3DC0D0" wp14:editId="6B1AC70C">
            <wp:extent cx="6120130" cy="4082415"/>
            <wp:effectExtent l="19050" t="0" r="0" b="0"/>
            <wp:docPr id="47" name="Picture 25" descr="Graphic1_Spectrum-aug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_Spectrum-aug2014.jpg"/>
                    <pic:cNvPicPr/>
                  </pic:nvPicPr>
                  <pic:blipFill>
                    <a:blip r:embed="rId30" cstate="print"/>
                    <a:stretch>
                      <a:fillRect/>
                    </a:stretch>
                  </pic:blipFill>
                  <pic:spPr>
                    <a:xfrm>
                      <a:off x="0" y="0"/>
                      <a:ext cx="6120130" cy="4082415"/>
                    </a:xfrm>
                    <a:prstGeom prst="rect">
                      <a:avLst/>
                    </a:prstGeom>
                  </pic:spPr>
                </pic:pic>
              </a:graphicData>
            </a:graphic>
          </wp:inline>
        </w:drawing>
      </w:r>
    </w:p>
    <w:p w14:paraId="7A368566" w14:textId="77777777" w:rsidR="009771B8" w:rsidRPr="00F06651" w:rsidRDefault="009771B8" w:rsidP="009771B8">
      <w:pPr>
        <w:pStyle w:val="Figurelegend"/>
        <w:rPr>
          <w:lang w:eastAsia="en-AU"/>
        </w:rPr>
      </w:pPr>
      <w:r w:rsidRPr="00F06651">
        <w:rPr>
          <w:lang w:eastAsia="en-AU"/>
        </w:rPr>
        <w:t>Source: ITU-T, Supplement 1 to Recommendation ITU-T K</w:t>
      </w:r>
      <w:r>
        <w:rPr>
          <w:lang w:eastAsia="en-AU"/>
        </w:rPr>
        <w:t>.</w:t>
      </w:r>
      <w:r w:rsidRPr="00F06651">
        <w:rPr>
          <w:lang w:eastAsia="en-AU"/>
        </w:rPr>
        <w:t>91 - Guide on Electromagnetic Fields and Health, 2014</w:t>
      </w:r>
      <w:r>
        <w:rPr>
          <w:lang w:eastAsia="en-AU"/>
        </w:rPr>
        <w:t>.</w:t>
      </w:r>
    </w:p>
    <w:p w14:paraId="18A89A7C" w14:textId="78D887C5" w:rsidR="003C2262" w:rsidRDefault="00AA662C" w:rsidP="0049069D">
      <w:pPr>
        <w:pStyle w:val="FigureNoTitle"/>
        <w:rPr>
          <w:lang w:eastAsia="en-AU"/>
        </w:rPr>
      </w:pPr>
      <w:r w:rsidRPr="00F06651">
        <w:rPr>
          <w:lang w:eastAsia="en-AU"/>
        </w:rPr>
        <w:t xml:space="preserve">Figure </w:t>
      </w:r>
      <w:bookmarkStart w:id="52" w:name="f_em_spectrum"/>
      <w:bookmarkEnd w:id="52"/>
      <w:r w:rsidR="00C37C93">
        <w:rPr>
          <w:noProof/>
          <w:lang w:eastAsia="en-AU"/>
        </w:rPr>
        <w:t>9</w:t>
      </w:r>
      <w:r w:rsidRPr="00F06651">
        <w:rPr>
          <w:lang w:eastAsia="en-AU"/>
        </w:rPr>
        <w:t xml:space="preserve"> </w:t>
      </w:r>
      <w:r w:rsidR="0049069D">
        <w:rPr>
          <w:lang w:eastAsia="en-AU"/>
        </w:rPr>
        <w:t>–</w:t>
      </w:r>
      <w:r w:rsidRPr="00F06651">
        <w:rPr>
          <w:lang w:eastAsia="en-AU"/>
        </w:rPr>
        <w:t xml:space="preserve"> The electromagnetic </w:t>
      </w:r>
      <w:r w:rsidR="009771B8">
        <w:rPr>
          <w:lang w:eastAsia="en-AU"/>
        </w:rPr>
        <w:t>s</w:t>
      </w:r>
      <w:r w:rsidRPr="00F06651">
        <w:rPr>
          <w:lang w:eastAsia="en-AU"/>
        </w:rPr>
        <w:t>pectrum and typical sources of electromagnetic fields</w:t>
      </w:r>
    </w:p>
    <w:p w14:paraId="582F621B" w14:textId="3B9E9A14" w:rsidR="00AA662C" w:rsidRPr="00F06651" w:rsidRDefault="00AA662C" w:rsidP="003C2262">
      <w:pPr>
        <w:rPr>
          <w:lang w:eastAsia="en-AU"/>
        </w:rPr>
      </w:pPr>
      <w:r w:rsidRPr="00F06651">
        <w:rPr>
          <w:lang w:eastAsia="en-AU"/>
        </w:rPr>
        <w:t xml:space="preserve">Radio signals are a form of electromagnetic energy (or electromagnetic radiation </w:t>
      </w:r>
      <w:r w:rsidR="009771B8">
        <w:rPr>
          <w:lang w:eastAsia="en-AU"/>
        </w:rPr>
        <w:t>(</w:t>
      </w:r>
      <w:r w:rsidRPr="00F06651">
        <w:rPr>
          <w:lang w:eastAsia="en-AU"/>
        </w:rPr>
        <w:t>EMR</w:t>
      </w:r>
      <w:r w:rsidR="009771B8">
        <w:rPr>
          <w:lang w:eastAsia="en-AU"/>
        </w:rPr>
        <w:t>)</w:t>
      </w:r>
      <w:r w:rsidRPr="00F06651">
        <w:rPr>
          <w:lang w:eastAsia="en-AU"/>
        </w:rPr>
        <w:t>). Radio signals are non-ioni</w:t>
      </w:r>
      <w:r w:rsidR="009771B8">
        <w:rPr>
          <w:lang w:eastAsia="en-AU"/>
        </w:rPr>
        <w:t>z</w:t>
      </w:r>
      <w:r w:rsidRPr="00F06651">
        <w:rPr>
          <w:lang w:eastAsia="en-AU"/>
        </w:rPr>
        <w:t>ing, which means that they cannot directly impart enough energy to a molecule to break or change chemical bonds. This is in contrast to ioni</w:t>
      </w:r>
      <w:r w:rsidR="009771B8">
        <w:rPr>
          <w:lang w:eastAsia="en-AU"/>
        </w:rPr>
        <w:t>z</w:t>
      </w:r>
      <w:r w:rsidRPr="00F06651">
        <w:rPr>
          <w:lang w:eastAsia="en-AU"/>
        </w:rPr>
        <w:t xml:space="preserve">ing radiation, such as </w:t>
      </w:r>
      <w:r w:rsidR="009771B8">
        <w:rPr>
          <w:lang w:eastAsia="en-AU"/>
        </w:rPr>
        <w:t>X</w:t>
      </w:r>
      <w:r w:rsidRPr="00F06651">
        <w:rPr>
          <w:lang w:eastAsia="en-AU"/>
        </w:rPr>
        <w:t>-rays, which can strip electrons from atoms and molecules, producing changes that can lead to tissue damage and possibly cancer.</w:t>
      </w:r>
    </w:p>
    <w:p w14:paraId="2CD39348" w14:textId="4E89B5C0" w:rsidR="00AA662C" w:rsidRPr="00F06651" w:rsidRDefault="00AA662C" w:rsidP="003C2262">
      <w:pPr>
        <w:rPr>
          <w:lang w:eastAsia="en-AU"/>
        </w:rPr>
      </w:pPr>
      <w:r w:rsidRPr="00F06651">
        <w:rPr>
          <w:lang w:eastAsia="en-AU"/>
        </w:rPr>
        <w:t xml:space="preserve">It has been known for many years that exposure to sufficiently high levels of radio signals can heat biological tissue and potentially cause tissue damage if the human body cannot cope with the extra </w:t>
      </w:r>
      <w:r w:rsidRPr="00F06651">
        <w:rPr>
          <w:lang w:eastAsia="en-AU"/>
        </w:rPr>
        <w:lastRenderedPageBreak/>
        <w:t>heat. Much of the public concern relates to the possibility of health hazards from long</w:t>
      </w:r>
      <w:r w:rsidR="009771B8">
        <w:rPr>
          <w:lang w:eastAsia="en-AU"/>
        </w:rPr>
        <w:t>-</w:t>
      </w:r>
      <w:r w:rsidRPr="00F06651">
        <w:rPr>
          <w:lang w:eastAsia="en-AU"/>
        </w:rPr>
        <w:t>term exposures at levels too low to produce measurable heating.</w:t>
      </w:r>
    </w:p>
    <w:p w14:paraId="4BC5F318" w14:textId="77777777" w:rsidR="00AA662C" w:rsidRPr="00F06651" w:rsidRDefault="00AA662C" w:rsidP="003C2262">
      <w:pPr>
        <w:pStyle w:val="Heading2"/>
        <w:rPr>
          <w:rFonts w:eastAsia="Calibri"/>
          <w:szCs w:val="24"/>
          <w:lang w:eastAsia="en-AU"/>
        </w:rPr>
      </w:pPr>
      <w:bookmarkStart w:id="53" w:name="_Toc397945038"/>
      <w:bookmarkStart w:id="54" w:name="_Toc400020861"/>
      <w:bookmarkStart w:id="55" w:name="_Toc400106129"/>
      <w:r>
        <w:rPr>
          <w:rFonts w:eastAsia="Calibri"/>
          <w:szCs w:val="24"/>
          <w:lang w:eastAsia="en-AU"/>
        </w:rPr>
        <w:t>3.1</w:t>
      </w:r>
      <w:r>
        <w:rPr>
          <w:rFonts w:eastAsia="Calibri"/>
          <w:szCs w:val="24"/>
          <w:lang w:eastAsia="en-AU"/>
        </w:rPr>
        <w:tab/>
      </w:r>
      <w:r w:rsidRPr="003C2262">
        <w:t>World Health Organization and EMF</w:t>
      </w:r>
      <w:bookmarkEnd w:id="53"/>
      <w:bookmarkEnd w:id="54"/>
      <w:bookmarkEnd w:id="55"/>
    </w:p>
    <w:p w14:paraId="040BB391" w14:textId="77777777" w:rsidR="00AA662C" w:rsidRPr="00F06651" w:rsidRDefault="00AA662C" w:rsidP="003C2262">
      <w:pPr>
        <w:rPr>
          <w:lang w:eastAsia="zh-CN"/>
        </w:rPr>
      </w:pPr>
      <w:r w:rsidRPr="00F06651">
        <w:rPr>
          <w:lang w:eastAsia="zh-CN"/>
        </w:rPr>
        <w:t>Electromagnetic fields (EMFs) of all frequencies represent one of the most common and fastest growing environmental exposures. As part of its Charter to protect public health and in response to public concern, the World Health Organization (WHO)</w:t>
      </w:r>
      <w:r w:rsidRPr="00F06651">
        <w:rPr>
          <w:vertAlign w:val="superscript"/>
          <w:lang w:eastAsia="zh-CN"/>
        </w:rPr>
        <w:footnoteReference w:id="3"/>
      </w:r>
      <w:r w:rsidRPr="00F06651">
        <w:rPr>
          <w:lang w:eastAsia="zh-CN"/>
        </w:rPr>
        <w:t xml:space="preserve"> established the </w:t>
      </w:r>
      <w:r w:rsidR="007D2B85">
        <w:rPr>
          <w:lang w:eastAsia="zh-CN"/>
        </w:rPr>
        <w:t>I</w:t>
      </w:r>
      <w:r w:rsidR="007D2B85" w:rsidRPr="00F06651">
        <w:rPr>
          <w:lang w:eastAsia="zh-CN"/>
        </w:rPr>
        <w:t xml:space="preserve">nternational </w:t>
      </w:r>
      <w:r w:rsidRPr="00F06651">
        <w:rPr>
          <w:lang w:eastAsia="zh-CN"/>
        </w:rPr>
        <w:t>EMF Project in 1996. The purpose of the EMF Project is to assess the scientific evidence of possible health effects of EMF in the frequency range from 0 to 300 GHz.</w:t>
      </w:r>
    </w:p>
    <w:bookmarkStart w:id="56" w:name="p1rectexte"/>
    <w:bookmarkEnd w:id="56"/>
    <w:p w14:paraId="4FF47EF7" w14:textId="554C2245" w:rsidR="00AA662C" w:rsidRPr="00F06651" w:rsidRDefault="00742292" w:rsidP="00AA662C">
      <w:pPr>
        <w:spacing w:after="200" w:line="276" w:lineRule="auto"/>
        <w:rPr>
          <w:rFonts w:eastAsia="SimSun"/>
          <w:szCs w:val="24"/>
          <w:lang w:eastAsia="zh-CN"/>
        </w:rPr>
      </w:pPr>
      <w:r>
        <w:rPr>
          <w:noProof/>
          <w:lang w:val="en-US" w:eastAsia="zh-CN"/>
        </w:rPr>
        <mc:AlternateContent>
          <mc:Choice Requires="wps">
            <w:drawing>
              <wp:inline distT="0" distB="0" distL="0" distR="0" wp14:anchorId="7D530F3E" wp14:editId="3DF37CFA">
                <wp:extent cx="5372100" cy="2623820"/>
                <wp:effectExtent l="5715" t="5715" r="13335" b="8890"/>
                <wp:docPr id="11" name="Text Box 5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623820"/>
                        </a:xfrm>
                        <a:prstGeom prst="rect">
                          <a:avLst/>
                        </a:prstGeom>
                        <a:solidFill>
                          <a:srgbClr val="DBE5F1"/>
                        </a:solidFill>
                        <a:ln w="9525">
                          <a:solidFill>
                            <a:srgbClr val="365F91"/>
                          </a:solidFill>
                          <a:miter lim="800000"/>
                          <a:headEnd/>
                          <a:tailEnd/>
                        </a:ln>
                      </wps:spPr>
                      <wps:txbx>
                        <w:txbxContent>
                          <w:p w14:paraId="6754744A" w14:textId="77777777" w:rsidR="00871FE7" w:rsidRPr="00BC1CEA" w:rsidRDefault="00871FE7" w:rsidP="003C2262">
                            <w:pPr>
                              <w:pStyle w:val="FigureNoTitle"/>
                              <w:jc w:val="left"/>
                            </w:pPr>
                            <w:r w:rsidRPr="002B6386">
                              <w:t>Box 1. The World Health Organization (WHO)</w:t>
                            </w:r>
                            <w:r w:rsidRPr="00BC1CEA">
                              <w:t xml:space="preserve"> </w:t>
                            </w:r>
                          </w:p>
                          <w:p w14:paraId="2DFE3338" w14:textId="77777777" w:rsidR="00871FE7" w:rsidRPr="00BC1CEA" w:rsidRDefault="00871FE7" w:rsidP="003C2262">
                            <w:r w:rsidRPr="00BC1CEA">
                              <w:t>The WHO is the directing and coordinating authority for health within the United Nations system. The WHO has responsibility for:</w:t>
                            </w:r>
                          </w:p>
                          <w:p w14:paraId="0BFFBA3F" w14:textId="77777777" w:rsidR="00871FE7" w:rsidRPr="00C15C88" w:rsidRDefault="00871FE7" w:rsidP="003C2262">
                            <w:pPr>
                              <w:pStyle w:val="enumlev1"/>
                            </w:pPr>
                            <w:r>
                              <w:t>•</w:t>
                            </w:r>
                            <w:r>
                              <w:tab/>
                            </w:r>
                            <w:r w:rsidRPr="00C15C88">
                              <w:t>Providing leadership on global health matters;</w:t>
                            </w:r>
                          </w:p>
                          <w:p w14:paraId="6C98C0A0" w14:textId="77777777" w:rsidR="00871FE7" w:rsidRPr="00C15C88" w:rsidRDefault="00871FE7" w:rsidP="003C2262">
                            <w:pPr>
                              <w:pStyle w:val="enumlev1"/>
                            </w:pPr>
                            <w:r>
                              <w:t>•</w:t>
                            </w:r>
                            <w:r>
                              <w:tab/>
                            </w:r>
                            <w:r w:rsidRPr="00C15C88">
                              <w:t>Shaping the health research agenda;</w:t>
                            </w:r>
                          </w:p>
                          <w:p w14:paraId="3B22ADBD" w14:textId="77777777" w:rsidR="00871FE7" w:rsidRPr="00C15C88" w:rsidRDefault="00871FE7" w:rsidP="003C2262">
                            <w:pPr>
                              <w:pStyle w:val="enumlev1"/>
                            </w:pPr>
                            <w:r>
                              <w:t>•</w:t>
                            </w:r>
                            <w:r>
                              <w:tab/>
                            </w:r>
                            <w:r w:rsidRPr="00C15C88">
                              <w:t>Setting norms and standards;</w:t>
                            </w:r>
                          </w:p>
                          <w:p w14:paraId="3C700FFD" w14:textId="77777777" w:rsidR="00871FE7" w:rsidRPr="00C15C88" w:rsidRDefault="00871FE7" w:rsidP="003C2262">
                            <w:pPr>
                              <w:pStyle w:val="enumlev1"/>
                            </w:pPr>
                            <w:r>
                              <w:t>•</w:t>
                            </w:r>
                            <w:r>
                              <w:tab/>
                            </w:r>
                            <w:r w:rsidRPr="00C15C88">
                              <w:t>Articulating evidence based policy options;</w:t>
                            </w:r>
                          </w:p>
                          <w:p w14:paraId="32223F11" w14:textId="77777777" w:rsidR="00871FE7" w:rsidRPr="00C15C88" w:rsidRDefault="00871FE7" w:rsidP="003C2262">
                            <w:pPr>
                              <w:pStyle w:val="enumlev1"/>
                            </w:pPr>
                            <w:r>
                              <w:t>•</w:t>
                            </w:r>
                            <w:r>
                              <w:tab/>
                            </w:r>
                            <w:r w:rsidRPr="00C15C88">
                              <w:t>Providing technical support to countries; and</w:t>
                            </w:r>
                          </w:p>
                          <w:p w14:paraId="66DA4711" w14:textId="77777777" w:rsidR="00871FE7" w:rsidRPr="00BC1CEA" w:rsidRDefault="00871FE7" w:rsidP="003C2262">
                            <w:pPr>
                              <w:pStyle w:val="enumlev1"/>
                            </w:pPr>
                            <w:r>
                              <w:t>•</w:t>
                            </w:r>
                            <w:r>
                              <w:tab/>
                            </w:r>
                            <w:r w:rsidRPr="00C15C88">
                              <w:t>Monitoring and assessing health trends</w:t>
                            </w:r>
                            <w:r w:rsidRPr="00BC1CEA">
                              <w:t>.</w:t>
                            </w:r>
                          </w:p>
                          <w:p w14:paraId="5EE5337C" w14:textId="77777777" w:rsidR="00871FE7" w:rsidRPr="00BC1CEA" w:rsidRDefault="00871FE7" w:rsidP="003C2262">
                            <w:r>
                              <w:t>Further information about the EMF Project</w:t>
                            </w:r>
                            <w:r w:rsidRPr="00826A00">
                              <w:t xml:space="preserve"> can be found at: </w:t>
                            </w:r>
                            <w:hyperlink r:id="rId31" w:history="1">
                              <w:r w:rsidRPr="00D244B8">
                                <w:rPr>
                                  <w:rStyle w:val="Hyperlink"/>
                                  <w:rFonts w:eastAsia="SimSun"/>
                                  <w:szCs w:val="24"/>
                                </w:rPr>
                                <w:t>http://www.who.int/emf</w:t>
                              </w:r>
                            </w:hyperlink>
                            <w:r>
                              <w:t xml:space="preserve"> </w:t>
                            </w:r>
                          </w:p>
                          <w:p w14:paraId="19F513DC" w14:textId="77777777" w:rsidR="00871FE7" w:rsidRDefault="00871FE7" w:rsidP="00AA662C"/>
                        </w:txbxContent>
                      </wps:txbx>
                      <wps:bodyPr rot="0" vert="horz" wrap="square" lIns="91440" tIns="91440" rIns="91440" bIns="91440" anchor="t" anchorCtr="0" upright="1">
                        <a:noAutofit/>
                      </wps:bodyPr>
                    </wps:wsp>
                  </a:graphicData>
                </a:graphic>
              </wp:inline>
            </w:drawing>
          </mc:Choice>
          <mc:Fallback>
            <w:pict>
              <v:shapetype w14:anchorId="7D530F3E" id="_x0000_t202" coordsize="21600,21600" o:spt="202" path="m,l,21600r21600,l21600,xe">
                <v:stroke joinstyle="miter"/>
                <v:path gradientshapeok="t" o:connecttype="rect"/>
              </v:shapetype>
              <v:shape id="Text Box 5136" o:spid="_x0000_s1026" type="#_x0000_t202" style="width:423pt;height:20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" fillcolor="#dbe5f1" strokecolor="#365f91">
                <v:textbox inset=",7.2pt,,7.2pt">
                  <w:txbxContent>
                    <w:p w14:paraId="6754744A" w14:textId="77777777" w:rsidR="00871FE7" w:rsidRPr="00BC1CEA" w:rsidRDefault="00871FE7" w:rsidP="003C2262">
                      <w:pPr>
                        <w:pStyle w:val="FigureNoTitle"/>
                        <w:jc w:val="left"/>
                      </w:pPr>
                      <w:r w:rsidRPr="002B6386">
                        <w:t>Box 1. The World Health Organization (WHO)</w:t>
                      </w:r>
                      <w:r w:rsidRPr="00BC1CEA">
                        <w:t xml:space="preserve"> </w:t>
                      </w:r>
                    </w:p>
                    <w:p w14:paraId="2DFE3338" w14:textId="77777777" w:rsidR="00871FE7" w:rsidRPr="00BC1CEA" w:rsidRDefault="00871FE7" w:rsidP="003C2262">
                      <w:r w:rsidRPr="00BC1CEA">
                        <w:t>The WHO is the directing and coordinating authority for health within the United Nations system. The WHO has responsibility for:</w:t>
                      </w:r>
                    </w:p>
                    <w:p w14:paraId="0BFFBA3F" w14:textId="77777777" w:rsidR="00871FE7" w:rsidRPr="00C15C88" w:rsidRDefault="00871FE7" w:rsidP="003C2262">
                      <w:pPr>
                        <w:pStyle w:val="enumlev1"/>
                      </w:pPr>
                      <w:r>
                        <w:t>•</w:t>
                      </w:r>
                      <w:r>
                        <w:tab/>
                      </w:r>
                      <w:r w:rsidRPr="00C15C88">
                        <w:t>Providing leadership on global health matters;</w:t>
                      </w:r>
                    </w:p>
                    <w:p w14:paraId="6C98C0A0" w14:textId="77777777" w:rsidR="00871FE7" w:rsidRPr="00C15C88" w:rsidRDefault="00871FE7" w:rsidP="003C2262">
                      <w:pPr>
                        <w:pStyle w:val="enumlev1"/>
                      </w:pPr>
                      <w:r>
                        <w:t>•</w:t>
                      </w:r>
                      <w:r>
                        <w:tab/>
                      </w:r>
                      <w:r w:rsidRPr="00C15C88">
                        <w:t>Shaping the health research agenda;</w:t>
                      </w:r>
                    </w:p>
                    <w:p w14:paraId="3B22ADBD" w14:textId="77777777" w:rsidR="00871FE7" w:rsidRPr="00C15C88" w:rsidRDefault="00871FE7" w:rsidP="003C2262">
                      <w:pPr>
                        <w:pStyle w:val="enumlev1"/>
                      </w:pPr>
                      <w:r>
                        <w:t>•</w:t>
                      </w:r>
                      <w:r>
                        <w:tab/>
                      </w:r>
                      <w:r w:rsidRPr="00C15C88">
                        <w:t>Setting norms and standards;</w:t>
                      </w:r>
                    </w:p>
                    <w:p w14:paraId="3C700FFD" w14:textId="77777777" w:rsidR="00871FE7" w:rsidRPr="00C15C88" w:rsidRDefault="00871FE7" w:rsidP="003C2262">
                      <w:pPr>
                        <w:pStyle w:val="enumlev1"/>
                      </w:pPr>
                      <w:r>
                        <w:t>•</w:t>
                      </w:r>
                      <w:r>
                        <w:tab/>
                      </w:r>
                      <w:r w:rsidRPr="00C15C88">
                        <w:t>Articulating evidence based policy options;</w:t>
                      </w:r>
                    </w:p>
                    <w:p w14:paraId="32223F11" w14:textId="77777777" w:rsidR="00871FE7" w:rsidRPr="00C15C88" w:rsidRDefault="00871FE7" w:rsidP="003C2262">
                      <w:pPr>
                        <w:pStyle w:val="enumlev1"/>
                      </w:pPr>
                      <w:r>
                        <w:t>•</w:t>
                      </w:r>
                      <w:r>
                        <w:tab/>
                      </w:r>
                      <w:r w:rsidRPr="00C15C88">
                        <w:t>Providing technical support to countries; and</w:t>
                      </w:r>
                    </w:p>
                    <w:p w14:paraId="66DA4711" w14:textId="77777777" w:rsidR="00871FE7" w:rsidRPr="00BC1CEA" w:rsidRDefault="00871FE7" w:rsidP="003C2262">
                      <w:pPr>
                        <w:pStyle w:val="enumlev1"/>
                      </w:pPr>
                      <w:r>
                        <w:t>•</w:t>
                      </w:r>
                      <w:r>
                        <w:tab/>
                      </w:r>
                      <w:r w:rsidRPr="00C15C88">
                        <w:t>Monitoring and assessing health trends</w:t>
                      </w:r>
                      <w:r w:rsidRPr="00BC1CEA">
                        <w:t>.</w:t>
                      </w:r>
                    </w:p>
                    <w:p w14:paraId="5EE5337C" w14:textId="77777777" w:rsidR="00871FE7" w:rsidRPr="00BC1CEA" w:rsidRDefault="00871FE7" w:rsidP="003C2262">
                      <w:r>
                        <w:t>Further information about the EMF Project</w:t>
                      </w:r>
                      <w:r w:rsidRPr="00826A00">
                        <w:t xml:space="preserve"> can be found at: </w:t>
                      </w:r>
                      <w:hyperlink r:id="rId32" w:history="1">
                        <w:r w:rsidRPr="00D244B8">
                          <w:rPr>
                            <w:rStyle w:val="Hyperlink"/>
                            <w:rFonts w:eastAsia="SimSun"/>
                            <w:szCs w:val="24"/>
                          </w:rPr>
                          <w:t>http://www.who.int/emf</w:t>
                        </w:r>
                      </w:hyperlink>
                      <w:r>
                        <w:t xml:space="preserve"> </w:t>
                      </w:r>
                    </w:p>
                    <w:p w14:paraId="19F513DC" w14:textId="77777777" w:rsidR="00871FE7" w:rsidRDefault="00871FE7" w:rsidP="00AA662C"/>
                  </w:txbxContent>
                </v:textbox>
                <w10:anchorlock/>
              </v:shape>
            </w:pict>
          </mc:Fallback>
        </mc:AlternateContent>
      </w:r>
    </w:p>
    <w:p w14:paraId="71B7B9E5" w14:textId="06B9113D" w:rsidR="00AA662C" w:rsidRPr="00F06651" w:rsidRDefault="00AA662C" w:rsidP="003C2262">
      <w:pPr>
        <w:pStyle w:val="Heading2"/>
        <w:rPr>
          <w:lang w:eastAsia="en-AU"/>
        </w:rPr>
      </w:pPr>
      <w:bookmarkStart w:id="57" w:name="_Toc397945039"/>
      <w:bookmarkStart w:id="58" w:name="_Toc400020862"/>
      <w:bookmarkStart w:id="59" w:name="_Toc400106130"/>
      <w:r>
        <w:rPr>
          <w:lang w:eastAsia="en-AU"/>
        </w:rPr>
        <w:t>3.2</w:t>
      </w:r>
      <w:r>
        <w:rPr>
          <w:lang w:eastAsia="en-AU"/>
        </w:rPr>
        <w:tab/>
      </w:r>
      <w:r w:rsidRPr="00F06651">
        <w:rPr>
          <w:lang w:eastAsia="en-AU"/>
        </w:rPr>
        <w:t xml:space="preserve">EMF and </w:t>
      </w:r>
      <w:r w:rsidR="00E330F4">
        <w:rPr>
          <w:lang w:eastAsia="en-AU"/>
        </w:rPr>
        <w:t>h</w:t>
      </w:r>
      <w:r w:rsidRPr="00F06651">
        <w:rPr>
          <w:lang w:eastAsia="en-AU"/>
        </w:rPr>
        <w:t xml:space="preserve">ealth </w:t>
      </w:r>
      <w:r w:rsidR="00E330F4">
        <w:rPr>
          <w:lang w:eastAsia="en-AU"/>
        </w:rPr>
        <w:t>s</w:t>
      </w:r>
      <w:r w:rsidRPr="00F06651">
        <w:rPr>
          <w:lang w:eastAsia="en-AU"/>
        </w:rPr>
        <w:t>ummary – World Health Organization</w:t>
      </w:r>
      <w:bookmarkEnd w:id="57"/>
      <w:bookmarkEnd w:id="58"/>
      <w:bookmarkEnd w:id="59"/>
    </w:p>
    <w:p w14:paraId="3063832C" w14:textId="04D70158" w:rsidR="00AA662C" w:rsidRPr="00F06651" w:rsidRDefault="00AA662C" w:rsidP="007D2B85">
      <w:pPr>
        <w:rPr>
          <w:rFonts w:asciiTheme="majorBidi" w:eastAsia="SimSun" w:hAnsiTheme="majorBidi" w:cstheme="majorBidi"/>
          <w:i/>
          <w:iCs/>
          <w:color w:val="000000"/>
          <w:sz w:val="22"/>
          <w:szCs w:val="22"/>
          <w:lang w:eastAsia="zh-CN"/>
        </w:rPr>
      </w:pPr>
      <w:r w:rsidRPr="00F06651">
        <w:rPr>
          <w:lang w:eastAsia="zh-CN"/>
        </w:rPr>
        <w:t>Extensive research has been conducted into the potential health hazards</w:t>
      </w:r>
      <w:r>
        <w:rPr>
          <w:lang w:eastAsia="zh-CN"/>
        </w:rPr>
        <w:t xml:space="preserve"> </w:t>
      </w:r>
      <w:r w:rsidRPr="00F06651">
        <w:rPr>
          <w:lang w:eastAsia="zh-CN"/>
        </w:rPr>
        <w:t>of exposure to many parts of the frequency spectrum, including the RF</w:t>
      </w:r>
      <w:r w:rsidR="008A5C1C">
        <w:rPr>
          <w:lang w:eastAsia="zh-CN"/>
        </w:rPr>
        <w:t>-</w:t>
      </w:r>
      <w:r w:rsidRPr="00F06651">
        <w:rPr>
          <w:lang w:eastAsia="zh-CN"/>
        </w:rPr>
        <w:t xml:space="preserve">EMF used by mobile phones, base stations and other wireless systems and services. </w:t>
      </w:r>
    </w:p>
    <w:p w14:paraId="74AC07EC" w14:textId="77777777" w:rsidR="00AA662C" w:rsidRDefault="00AA662C" w:rsidP="00075050">
      <w:pPr>
        <w:rPr>
          <w:lang w:eastAsia="zh-CN"/>
        </w:rPr>
      </w:pPr>
      <w:r w:rsidRPr="00F06651">
        <w:rPr>
          <w:lang w:eastAsia="zh-CN"/>
        </w:rPr>
        <w:t>The data emerging from this research has been analysed in more than 150 reports</w:t>
      </w:r>
      <w:r w:rsidRPr="00F06651">
        <w:rPr>
          <w:vertAlign w:val="superscript"/>
          <w:lang w:eastAsia="zh-CN"/>
        </w:rPr>
        <w:footnoteReference w:id="4"/>
      </w:r>
      <w:r w:rsidRPr="00F06651">
        <w:rPr>
          <w:lang w:eastAsia="zh-CN"/>
        </w:rPr>
        <w:t xml:space="preserve"> by expert review groups mandated by national or international authorities (Box 2). Weighing the whole body of evidence, there is no evidence to convince experts that exposure below the guidelines set by the International Commission on Non-Ionizing Radiation Protection (ICNIRP)</w:t>
      </w:r>
      <w:r w:rsidR="002B08E1">
        <w:rPr>
          <w:rStyle w:val="FootnoteReference"/>
          <w:lang w:eastAsia="zh-CN"/>
        </w:rPr>
        <w:footnoteReference w:id="5"/>
      </w:r>
      <w:r w:rsidRPr="00F06651">
        <w:rPr>
          <w:lang w:eastAsia="zh-CN"/>
        </w:rPr>
        <w:t xml:space="preserve"> carries any health risks, for adults, pregnant women or children.</w:t>
      </w:r>
    </w:p>
    <w:p w14:paraId="06B8D9E1" w14:textId="119654AB" w:rsidR="007D2B85" w:rsidRPr="00F06651" w:rsidRDefault="007D2B85" w:rsidP="007D2B85">
      <w:pPr>
        <w:spacing w:before="240"/>
        <w:rPr>
          <w:lang w:eastAsia="zh-CN"/>
        </w:rPr>
      </w:pPr>
      <w:r w:rsidRPr="00F06651">
        <w:rPr>
          <w:lang w:eastAsia="zh-CN"/>
        </w:rPr>
        <w:t>WHO</w:t>
      </w:r>
      <w:r w:rsidRPr="00F06651">
        <w:rPr>
          <w:vertAlign w:val="superscript"/>
          <w:lang w:eastAsia="zh-CN"/>
        </w:rPr>
        <w:footnoteReference w:id="6"/>
      </w:r>
      <w:r w:rsidRPr="00F06651">
        <w:rPr>
          <w:lang w:eastAsia="zh-CN"/>
        </w:rPr>
        <w:t xml:space="preserve"> </w:t>
      </w:r>
      <w:r>
        <w:rPr>
          <w:lang w:eastAsia="zh-CN"/>
        </w:rPr>
        <w:t>states</w:t>
      </w:r>
      <w:r w:rsidRPr="00F06651">
        <w:rPr>
          <w:lang w:eastAsia="zh-CN"/>
        </w:rPr>
        <w:t>:</w:t>
      </w:r>
    </w:p>
    <w:p w14:paraId="7C8B4B00" w14:textId="77777777" w:rsidR="007D2B85" w:rsidRPr="00F06651" w:rsidRDefault="007D2B85" w:rsidP="007D2B85">
      <w:pPr>
        <w:rPr>
          <w:lang w:eastAsia="zh-CN"/>
        </w:rPr>
      </w:pPr>
      <w:r w:rsidRPr="00F06651">
        <w:rPr>
          <w:rFonts w:asciiTheme="majorBidi" w:eastAsia="SimSun" w:hAnsiTheme="majorBidi" w:cstheme="majorBidi"/>
          <w:i/>
          <w:iCs/>
          <w:color w:val="000000"/>
          <w:sz w:val="22"/>
          <w:szCs w:val="22"/>
          <w:lang w:eastAsia="en-AU"/>
        </w:rPr>
        <w:t>‘Extensive research has been conducted into possible health effects of exposure to many parts of the frequency spectrum including mobile phones and base stations. All reviews conducted so far have indicated that exposures below the limits recommended in the ICNIRP (1998) EMF guidelines, covering the full frequency range from 0-300 GHz, do not produce any known adverse health effect. However, there are gaps in knowledge still needing to be filled before better health risk assessments can be made.’</w:t>
      </w:r>
    </w:p>
    <w:p w14:paraId="06C93D09" w14:textId="0F1A0812" w:rsidR="00AA662C" w:rsidRPr="00F06651" w:rsidRDefault="00742292" w:rsidP="00AA662C">
      <w:pPr>
        <w:spacing w:after="200" w:line="276" w:lineRule="auto"/>
        <w:rPr>
          <w:rFonts w:eastAsia="SimSun"/>
          <w:szCs w:val="24"/>
          <w:lang w:eastAsia="zh-CN"/>
        </w:rPr>
      </w:pPr>
      <w:r>
        <w:rPr>
          <w:noProof/>
          <w:lang w:val="en-US" w:eastAsia="zh-CN"/>
        </w:rPr>
        <w:lastRenderedPageBreak/>
        <mc:AlternateContent>
          <mc:Choice Requires="wps">
            <w:drawing>
              <wp:inline distT="0" distB="0" distL="0" distR="0" wp14:anchorId="285F7326" wp14:editId="1BA0FC9C">
                <wp:extent cx="5372100" cy="3848100"/>
                <wp:effectExtent l="0" t="0" r="19050" b="19050"/>
                <wp:docPr id="10" name="Text Box 5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848100"/>
                        </a:xfrm>
                        <a:prstGeom prst="rect">
                          <a:avLst/>
                        </a:prstGeom>
                        <a:solidFill>
                          <a:srgbClr val="DBE5F1"/>
                        </a:solidFill>
                        <a:ln w="9525">
                          <a:solidFill>
                            <a:srgbClr val="365F91"/>
                          </a:solidFill>
                          <a:miter lim="800000"/>
                          <a:headEnd/>
                          <a:tailEnd/>
                        </a:ln>
                      </wps:spPr>
                      <wps:txbx>
                        <w:txbxContent>
                          <w:p w14:paraId="4214A75F" w14:textId="77777777" w:rsidR="00871FE7" w:rsidRDefault="00871FE7" w:rsidP="00075050">
                            <w:pPr>
                              <w:pStyle w:val="FigureNoTitle"/>
                              <w:jc w:val="left"/>
                            </w:pPr>
                            <w:r w:rsidRPr="002B6386">
                              <w:t xml:space="preserve">Box </w:t>
                            </w:r>
                            <w:r>
                              <w:t>2</w:t>
                            </w:r>
                            <w:r w:rsidRPr="002B6386">
                              <w:t xml:space="preserve">. </w:t>
                            </w:r>
                            <w:r>
                              <w:t>Recent expert group conclusions on EMF &amp; health</w:t>
                            </w:r>
                            <w:r w:rsidRPr="00BC1CEA">
                              <w:t xml:space="preserve"> </w:t>
                            </w:r>
                          </w:p>
                          <w:p w14:paraId="2D65B224" w14:textId="77777777" w:rsidR="00871FE7" w:rsidRPr="009C72CB" w:rsidRDefault="00871FE7" w:rsidP="00AA662C">
                            <w:pPr>
                              <w:rPr>
                                <w:rFonts w:eastAsia="SimSun"/>
                                <w:i/>
                                <w:szCs w:val="24"/>
                              </w:rPr>
                            </w:pPr>
                            <w:r w:rsidRPr="009C72CB">
                              <w:rPr>
                                <w:rFonts w:eastAsia="SimSun"/>
                                <w:i/>
                                <w:szCs w:val="24"/>
                              </w:rPr>
                              <w:t xml:space="preserve">“...no evidence has been found that exposure to radiofrequency electromagnetic fields has a negative influence on the development and functioning of children’s brains, not even if this exposure is frequent.” </w:t>
                            </w:r>
                          </w:p>
                          <w:p w14:paraId="316FE59F" w14:textId="77777777" w:rsidR="00871FE7" w:rsidRPr="009C72CB" w:rsidRDefault="00871FE7" w:rsidP="00AA662C">
                            <w:pPr>
                              <w:rPr>
                                <w:rFonts w:eastAsia="SimSun"/>
                                <w:szCs w:val="24"/>
                              </w:rPr>
                            </w:pPr>
                            <w:r w:rsidRPr="009C72CB">
                              <w:rPr>
                                <w:rFonts w:eastAsia="SimSun"/>
                                <w:szCs w:val="24"/>
                              </w:rPr>
                              <w:t>Health Council of the Netherlands</w:t>
                            </w:r>
                            <w:r>
                              <w:rPr>
                                <w:rFonts w:eastAsia="SimSun"/>
                                <w:szCs w:val="24"/>
                              </w:rPr>
                              <w:t xml:space="preserve"> (</w:t>
                            </w:r>
                            <w:r w:rsidRPr="009C72CB">
                              <w:rPr>
                                <w:rFonts w:eastAsia="SimSun"/>
                                <w:szCs w:val="24"/>
                              </w:rPr>
                              <w:t>2011</w:t>
                            </w:r>
                            <w:r>
                              <w:rPr>
                                <w:rFonts w:eastAsia="SimSun"/>
                                <w:szCs w:val="24"/>
                              </w:rPr>
                              <w:t>).</w:t>
                            </w:r>
                          </w:p>
                          <w:p w14:paraId="2CC8D6BC" w14:textId="77777777" w:rsidR="00871FE7" w:rsidRPr="009C72CB" w:rsidRDefault="00871FE7" w:rsidP="00AA662C">
                            <w:pPr>
                              <w:rPr>
                                <w:rFonts w:eastAsia="SimSun"/>
                                <w:i/>
                                <w:szCs w:val="24"/>
                              </w:rPr>
                            </w:pPr>
                            <w:r w:rsidRPr="009C72CB">
                              <w:rPr>
                                <w:rFonts w:eastAsia="SimSun"/>
                                <w:i/>
                                <w:szCs w:val="24"/>
                              </w:rPr>
                              <w:t>“…it is the opinion of ICNIRP that the scientific literature published since the 1998 guidelines has provided no evidence of any adverse effects below the basic restrictions and does not necessitate an immediate revision of its guidance on limiting exposure to high frequency electromagnetic fields.”</w:t>
                            </w:r>
                          </w:p>
                          <w:p w14:paraId="2FE2B933" w14:textId="547B866A" w:rsidR="00871FE7" w:rsidRPr="009C72CB" w:rsidRDefault="00871FE7" w:rsidP="00AA662C">
                            <w:pPr>
                              <w:rPr>
                                <w:rFonts w:eastAsia="SimSun"/>
                                <w:szCs w:val="24"/>
                              </w:rPr>
                            </w:pPr>
                            <w:r w:rsidRPr="009C72CB">
                              <w:rPr>
                                <w:rFonts w:eastAsia="SimSun"/>
                                <w:szCs w:val="24"/>
                              </w:rPr>
                              <w:t>International Commission on Non-Ioni</w:t>
                            </w:r>
                            <w:r>
                              <w:rPr>
                                <w:rFonts w:eastAsia="SimSun"/>
                                <w:szCs w:val="24"/>
                              </w:rPr>
                              <w:t>z</w:t>
                            </w:r>
                            <w:r w:rsidRPr="009C72CB">
                              <w:rPr>
                                <w:rFonts w:eastAsia="SimSun"/>
                                <w:szCs w:val="24"/>
                              </w:rPr>
                              <w:t>ing Radiation Protection (ICNIRP</w:t>
                            </w:r>
                            <w:r>
                              <w:rPr>
                                <w:rFonts w:eastAsia="SimSun"/>
                                <w:szCs w:val="24"/>
                              </w:rPr>
                              <w:t xml:space="preserve">, </w:t>
                            </w:r>
                            <w:r w:rsidRPr="009C72CB">
                              <w:rPr>
                                <w:rFonts w:eastAsia="SimSun"/>
                                <w:szCs w:val="24"/>
                              </w:rPr>
                              <w:t>2009</w:t>
                            </w:r>
                            <w:r>
                              <w:rPr>
                                <w:rFonts w:eastAsia="SimSun"/>
                                <w:szCs w:val="24"/>
                              </w:rPr>
                              <w:t>).</w:t>
                            </w:r>
                          </w:p>
                          <w:p w14:paraId="27E79745" w14:textId="77777777" w:rsidR="00871FE7" w:rsidRPr="009C72CB" w:rsidRDefault="00871FE7" w:rsidP="00AA662C">
                            <w:pPr>
                              <w:rPr>
                                <w:rFonts w:eastAsia="SimSun"/>
                                <w:i/>
                                <w:szCs w:val="24"/>
                              </w:rPr>
                            </w:pPr>
                            <w:r w:rsidRPr="009C72CB">
                              <w:rPr>
                                <w:rFonts w:eastAsia="SimSun"/>
                                <w:i/>
                                <w:szCs w:val="24"/>
                              </w:rPr>
                              <w:t xml:space="preserve">“...Recent research on exposure from transmitters has mainly focused on cancer and symptoms, using improved study designs. These new data do not indicate health risks for the general public related to exposure to radiofrequency electromagnetic fields from base stations for mobile telephony, radio and TV transmitters, or wireless local data networks at home or in schools.” </w:t>
                            </w:r>
                          </w:p>
                          <w:p w14:paraId="7AA2FF50" w14:textId="77777777" w:rsidR="00871FE7" w:rsidRDefault="00871FE7" w:rsidP="00AA662C">
                            <w:r w:rsidRPr="009C72CB">
                              <w:rPr>
                                <w:rFonts w:eastAsia="SimSun"/>
                                <w:szCs w:val="24"/>
                              </w:rPr>
                              <w:t>SSMs Independent Expert Group on</w:t>
                            </w:r>
                            <w:r>
                              <w:rPr>
                                <w:rFonts w:eastAsia="SimSun"/>
                                <w:szCs w:val="24"/>
                              </w:rPr>
                              <w:t xml:space="preserve"> </w:t>
                            </w:r>
                            <w:r w:rsidRPr="009C72CB">
                              <w:rPr>
                                <w:rFonts w:eastAsia="SimSun"/>
                                <w:szCs w:val="24"/>
                              </w:rPr>
                              <w:t>Electromagnetic Fields</w:t>
                            </w:r>
                            <w:r>
                              <w:rPr>
                                <w:rFonts w:eastAsia="SimSun"/>
                                <w:szCs w:val="24"/>
                              </w:rPr>
                              <w:t>, (</w:t>
                            </w:r>
                            <w:r w:rsidRPr="009C72CB">
                              <w:rPr>
                                <w:rFonts w:eastAsia="SimSun"/>
                                <w:szCs w:val="24"/>
                              </w:rPr>
                              <w:t>Sweden</w:t>
                            </w:r>
                            <w:r>
                              <w:rPr>
                                <w:rFonts w:eastAsia="SimSun"/>
                                <w:szCs w:val="24"/>
                              </w:rPr>
                              <w:t xml:space="preserve">, </w:t>
                            </w:r>
                            <w:r w:rsidRPr="009C72CB">
                              <w:rPr>
                                <w:rFonts w:eastAsia="SimSun"/>
                                <w:szCs w:val="24"/>
                              </w:rPr>
                              <w:t>2013</w:t>
                            </w:r>
                            <w:r>
                              <w:rPr>
                                <w:rFonts w:eastAsia="SimSun"/>
                                <w:szCs w:val="24"/>
                              </w:rPr>
                              <w:t>).</w:t>
                            </w:r>
                          </w:p>
                        </w:txbxContent>
                      </wps:txbx>
                      <wps:bodyPr rot="0" vert="horz" wrap="square" lIns="91440" tIns="91440" rIns="91440" bIns="91440" anchor="t" anchorCtr="0" upright="1">
                        <a:noAutofit/>
                      </wps:bodyPr>
                    </wps:wsp>
                  </a:graphicData>
                </a:graphic>
              </wp:inline>
            </w:drawing>
          </mc:Choice>
          <mc:Fallback>
            <w:pict>
              <v:shape w14:anchorId="285F7326" id="Text Box 5135" o:spid="_x0000_s1027" type="#_x0000_t202" style="width:423pt;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" fillcolor="#dbe5f1" strokecolor="#365f91">
                <v:textbox inset=",7.2pt,,7.2pt">
                  <w:txbxContent>
                    <w:p w14:paraId="4214A75F" w14:textId="77777777" w:rsidR="00871FE7" w:rsidRDefault="00871FE7" w:rsidP="00075050">
                      <w:pPr>
                        <w:pStyle w:val="FigureNoTitle"/>
                        <w:jc w:val="left"/>
                      </w:pPr>
                      <w:r w:rsidRPr="002B6386">
                        <w:t xml:space="preserve">Box </w:t>
                      </w:r>
                      <w:r>
                        <w:t>2</w:t>
                      </w:r>
                      <w:r w:rsidRPr="002B6386">
                        <w:t xml:space="preserve">. </w:t>
                      </w:r>
                      <w:r>
                        <w:t>Recent expert group conclusions on EMF &amp; health</w:t>
                      </w:r>
                      <w:r w:rsidRPr="00BC1CEA">
                        <w:t xml:space="preserve"> </w:t>
                      </w:r>
                    </w:p>
                    <w:p w14:paraId="2D65B224" w14:textId="77777777" w:rsidR="00871FE7" w:rsidRPr="009C72CB" w:rsidRDefault="00871FE7" w:rsidP="00AA662C">
                      <w:pPr>
                        <w:rPr>
                          <w:rFonts w:eastAsia="SimSun"/>
                          <w:i/>
                          <w:szCs w:val="24"/>
                        </w:rPr>
                      </w:pPr>
                      <w:r w:rsidRPr="009C72CB">
                        <w:rPr>
                          <w:rFonts w:eastAsia="SimSun"/>
                          <w:i/>
                          <w:szCs w:val="24"/>
                        </w:rPr>
                        <w:t xml:space="preserve">“...no evidence has been found that exposure to radiofrequency electromagnetic fields has a negative influence on the development and functioning of children’s brains, not even if this exposure is frequent.” </w:t>
                      </w:r>
                    </w:p>
                    <w:p w14:paraId="316FE59F" w14:textId="77777777" w:rsidR="00871FE7" w:rsidRPr="009C72CB" w:rsidRDefault="00871FE7" w:rsidP="00AA662C">
                      <w:pPr>
                        <w:rPr>
                          <w:rFonts w:eastAsia="SimSun"/>
                          <w:szCs w:val="24"/>
                        </w:rPr>
                      </w:pPr>
                      <w:r w:rsidRPr="009C72CB">
                        <w:rPr>
                          <w:rFonts w:eastAsia="SimSun"/>
                          <w:szCs w:val="24"/>
                        </w:rPr>
                        <w:t>Health Council of the Netherlands</w:t>
                      </w:r>
                      <w:r>
                        <w:rPr>
                          <w:rFonts w:eastAsia="SimSun"/>
                          <w:szCs w:val="24"/>
                        </w:rPr>
                        <w:t xml:space="preserve"> (</w:t>
                      </w:r>
                      <w:r w:rsidRPr="009C72CB">
                        <w:rPr>
                          <w:rFonts w:eastAsia="SimSun"/>
                          <w:szCs w:val="24"/>
                        </w:rPr>
                        <w:t>2011</w:t>
                      </w:r>
                      <w:r>
                        <w:rPr>
                          <w:rFonts w:eastAsia="SimSun"/>
                          <w:szCs w:val="24"/>
                        </w:rPr>
                        <w:t>).</w:t>
                      </w:r>
                    </w:p>
                    <w:p w14:paraId="2CC8D6BC" w14:textId="77777777" w:rsidR="00871FE7" w:rsidRPr="009C72CB" w:rsidRDefault="00871FE7" w:rsidP="00AA662C">
                      <w:pPr>
                        <w:rPr>
                          <w:rFonts w:eastAsia="SimSun"/>
                          <w:i/>
                          <w:szCs w:val="24"/>
                        </w:rPr>
                      </w:pPr>
                      <w:r w:rsidRPr="009C72CB">
                        <w:rPr>
                          <w:rFonts w:eastAsia="SimSun"/>
                          <w:i/>
                          <w:szCs w:val="24"/>
                        </w:rPr>
                        <w:t>“…it is the opinion of ICNIRP that the scientific literature published since the 1998 guidelines has provided no evidence of any adverse effects below the basic restrictions and does not necessitate an immediate revision of its guidance on limiting exposure to high frequency electromagnetic fields.”</w:t>
                      </w:r>
                    </w:p>
                    <w:p w14:paraId="2FE2B933" w14:textId="547B866A" w:rsidR="00871FE7" w:rsidRPr="009C72CB" w:rsidRDefault="00871FE7" w:rsidP="00AA662C">
                      <w:pPr>
                        <w:rPr>
                          <w:rFonts w:eastAsia="SimSun"/>
                          <w:szCs w:val="24"/>
                        </w:rPr>
                      </w:pPr>
                      <w:r w:rsidRPr="009C72CB">
                        <w:rPr>
                          <w:rFonts w:eastAsia="SimSun"/>
                          <w:szCs w:val="24"/>
                        </w:rPr>
                        <w:t>International Commission on Non-Ioni</w:t>
                      </w:r>
                      <w:r>
                        <w:rPr>
                          <w:rFonts w:eastAsia="SimSun"/>
                          <w:szCs w:val="24"/>
                        </w:rPr>
                        <w:t>z</w:t>
                      </w:r>
                      <w:r w:rsidRPr="009C72CB">
                        <w:rPr>
                          <w:rFonts w:eastAsia="SimSun"/>
                          <w:szCs w:val="24"/>
                        </w:rPr>
                        <w:t>ing Radiation Protection (ICNIRP</w:t>
                      </w:r>
                      <w:r>
                        <w:rPr>
                          <w:rFonts w:eastAsia="SimSun"/>
                          <w:szCs w:val="24"/>
                        </w:rPr>
                        <w:t xml:space="preserve">, </w:t>
                      </w:r>
                      <w:r w:rsidRPr="009C72CB">
                        <w:rPr>
                          <w:rFonts w:eastAsia="SimSun"/>
                          <w:szCs w:val="24"/>
                        </w:rPr>
                        <w:t>2009</w:t>
                      </w:r>
                      <w:r>
                        <w:rPr>
                          <w:rFonts w:eastAsia="SimSun"/>
                          <w:szCs w:val="24"/>
                        </w:rPr>
                        <w:t>).</w:t>
                      </w:r>
                    </w:p>
                    <w:p w14:paraId="27E79745" w14:textId="77777777" w:rsidR="00871FE7" w:rsidRPr="009C72CB" w:rsidRDefault="00871FE7" w:rsidP="00AA662C">
                      <w:pPr>
                        <w:rPr>
                          <w:rFonts w:eastAsia="SimSun"/>
                          <w:i/>
                          <w:szCs w:val="24"/>
                        </w:rPr>
                      </w:pPr>
                      <w:r w:rsidRPr="009C72CB">
                        <w:rPr>
                          <w:rFonts w:eastAsia="SimSun"/>
                          <w:i/>
                          <w:szCs w:val="24"/>
                        </w:rPr>
                        <w:t xml:space="preserve">“...Recent research on exposure from transmitters has mainly focused on cancer and symptoms, using improved study designs. These new data do not indicate health risks for the general public related to exposure to radiofrequency electromagnetic fields from base stations for mobile telephony, radio and TV transmitters, or wireless local data networks at home or in schools.” </w:t>
                      </w:r>
                    </w:p>
                    <w:p w14:paraId="7AA2FF50" w14:textId="77777777" w:rsidR="00871FE7" w:rsidRDefault="00871FE7" w:rsidP="00AA662C">
                      <w:r w:rsidRPr="009C72CB">
                        <w:rPr>
                          <w:rFonts w:eastAsia="SimSun"/>
                          <w:szCs w:val="24"/>
                        </w:rPr>
                        <w:t>SSMs Independent Expert Group on</w:t>
                      </w:r>
                      <w:r>
                        <w:rPr>
                          <w:rFonts w:eastAsia="SimSun"/>
                          <w:szCs w:val="24"/>
                        </w:rPr>
                        <w:t xml:space="preserve"> </w:t>
                      </w:r>
                      <w:r w:rsidRPr="009C72CB">
                        <w:rPr>
                          <w:rFonts w:eastAsia="SimSun"/>
                          <w:szCs w:val="24"/>
                        </w:rPr>
                        <w:t>Electromagnetic Fields</w:t>
                      </w:r>
                      <w:r>
                        <w:rPr>
                          <w:rFonts w:eastAsia="SimSun"/>
                          <w:szCs w:val="24"/>
                        </w:rPr>
                        <w:t>, (</w:t>
                      </w:r>
                      <w:r w:rsidRPr="009C72CB">
                        <w:rPr>
                          <w:rFonts w:eastAsia="SimSun"/>
                          <w:szCs w:val="24"/>
                        </w:rPr>
                        <w:t>Sweden</w:t>
                      </w:r>
                      <w:r>
                        <w:rPr>
                          <w:rFonts w:eastAsia="SimSun"/>
                          <w:szCs w:val="24"/>
                        </w:rPr>
                        <w:t xml:space="preserve">, </w:t>
                      </w:r>
                      <w:r w:rsidRPr="009C72CB">
                        <w:rPr>
                          <w:rFonts w:eastAsia="SimSun"/>
                          <w:szCs w:val="24"/>
                        </w:rPr>
                        <w:t>2013</w:t>
                      </w:r>
                      <w:r>
                        <w:rPr>
                          <w:rFonts w:eastAsia="SimSun"/>
                          <w:szCs w:val="24"/>
                        </w:rPr>
                        <w:t>).</w:t>
                      </w:r>
                    </w:p>
                  </w:txbxContent>
                </v:textbox>
                <w10:anchorlock/>
              </v:shape>
            </w:pict>
          </mc:Fallback>
        </mc:AlternateContent>
      </w:r>
      <w:r w:rsidR="00AA662C" w:rsidRPr="00F06651">
        <w:rPr>
          <w:rFonts w:eastAsia="SimSun"/>
          <w:szCs w:val="24"/>
          <w:lang w:eastAsia="zh-CN"/>
        </w:rPr>
        <w:t xml:space="preserve"> </w:t>
      </w:r>
    </w:p>
    <w:p w14:paraId="71372376" w14:textId="77777777" w:rsidR="00AA662C" w:rsidRPr="00F06651" w:rsidRDefault="00AA662C" w:rsidP="0013599C">
      <w:pPr>
        <w:tabs>
          <w:tab w:val="clear" w:pos="794"/>
          <w:tab w:val="clear" w:pos="1191"/>
          <w:tab w:val="clear" w:pos="1588"/>
          <w:tab w:val="clear" w:pos="1985"/>
        </w:tabs>
        <w:overflowPunct/>
        <w:autoSpaceDE/>
        <w:autoSpaceDN/>
        <w:adjustRightInd/>
        <w:spacing w:after="200" w:line="276" w:lineRule="auto"/>
        <w:textAlignment w:val="auto"/>
        <w:rPr>
          <w:rFonts w:asciiTheme="majorBidi" w:eastAsia="SimSun" w:hAnsiTheme="majorBidi" w:cstheme="majorBidi"/>
          <w:i/>
          <w:iCs/>
          <w:color w:val="000000"/>
          <w:sz w:val="22"/>
          <w:szCs w:val="22"/>
          <w:lang w:eastAsia="en-AU"/>
        </w:rPr>
      </w:pPr>
    </w:p>
    <w:p w14:paraId="6B58519D" w14:textId="4F3AE1DD" w:rsidR="00AA662C" w:rsidRPr="00F06651" w:rsidRDefault="00AA662C" w:rsidP="00075050">
      <w:pPr>
        <w:pStyle w:val="Heading2"/>
        <w:rPr>
          <w:lang w:eastAsia="en-AU"/>
        </w:rPr>
      </w:pPr>
      <w:bookmarkStart w:id="60" w:name="_Toc397945040"/>
      <w:bookmarkStart w:id="61" w:name="_Toc400020863"/>
      <w:bookmarkStart w:id="62" w:name="_Toc400106131"/>
      <w:r>
        <w:rPr>
          <w:lang w:eastAsia="en-AU"/>
        </w:rPr>
        <w:t>3.3</w:t>
      </w:r>
      <w:r>
        <w:rPr>
          <w:lang w:eastAsia="en-AU"/>
        </w:rPr>
        <w:tab/>
      </w:r>
      <w:r w:rsidRPr="00F06651">
        <w:rPr>
          <w:lang w:eastAsia="en-AU"/>
        </w:rPr>
        <w:t xml:space="preserve">IARC </w:t>
      </w:r>
      <w:r w:rsidR="00E330F4">
        <w:rPr>
          <w:lang w:eastAsia="en-AU"/>
        </w:rPr>
        <w:t>c</w:t>
      </w:r>
      <w:r w:rsidRPr="00F06651">
        <w:rPr>
          <w:lang w:eastAsia="en-AU"/>
        </w:rPr>
        <w:t>lassification for radio frequency fields</w:t>
      </w:r>
      <w:bookmarkEnd w:id="60"/>
      <w:bookmarkEnd w:id="61"/>
      <w:bookmarkEnd w:id="62"/>
    </w:p>
    <w:p w14:paraId="363FD5AB" w14:textId="77777777" w:rsidR="00AA662C" w:rsidRPr="00F06651" w:rsidRDefault="00AA662C" w:rsidP="00075050">
      <w:pPr>
        <w:rPr>
          <w:lang w:eastAsia="en-AU"/>
        </w:rPr>
      </w:pPr>
      <w:r w:rsidRPr="00F06651">
        <w:rPr>
          <w:lang w:eastAsia="en-AU"/>
        </w:rPr>
        <w:t>The International Agency for Research on Cancer (IARC) is the specialized cancer agency of the World Health Organization. The objective of the IARC is to promote international collaboration in cancer research. The Agency is inter-disciplinary, bringing together skills in epidemiology, laboratory sciences and biostatistics to identify the causes of cancer so that preventive measures may be adopted and the burden of disease and associated suffering reduced.</w:t>
      </w:r>
    </w:p>
    <w:p w14:paraId="49F4CEAC" w14:textId="77777777" w:rsidR="00AA662C" w:rsidRPr="00F06651" w:rsidRDefault="00AA662C" w:rsidP="00075050">
      <w:pPr>
        <w:rPr>
          <w:lang w:eastAsia="en-AU"/>
        </w:rPr>
      </w:pPr>
      <w:r w:rsidRPr="00F06651">
        <w:rPr>
          <w:lang w:eastAsia="en-AU"/>
        </w:rPr>
        <w:t xml:space="preserve">The IARC Monographs Programme is a core element of the Agency's portfolio of activities, with international expert working groups evaluating the evidence of the carcinogenicity of specific exposures. </w:t>
      </w:r>
    </w:p>
    <w:p w14:paraId="4FA9763F" w14:textId="0EE1B7D6" w:rsidR="00AA662C" w:rsidRPr="00F06651" w:rsidRDefault="0013599C" w:rsidP="00871FE7">
      <w:pPr>
        <w:keepNext/>
        <w:keepLines/>
        <w:rPr>
          <w:lang w:eastAsia="en-AU"/>
        </w:rPr>
      </w:pPr>
      <w:r>
        <w:rPr>
          <w:lang w:eastAsia="en-AU"/>
        </w:rPr>
        <w:t xml:space="preserve">In May </w:t>
      </w:r>
      <w:r w:rsidR="00AA662C" w:rsidRPr="00F06651">
        <w:rPr>
          <w:lang w:eastAsia="en-AU"/>
        </w:rPr>
        <w:t>2011, 30 scientists from 14 countries met at the IARC</w:t>
      </w:r>
      <w:r w:rsidR="00AA662C" w:rsidRPr="00F06651">
        <w:rPr>
          <w:vertAlign w:val="superscript"/>
          <w:lang w:eastAsia="en-AU"/>
        </w:rPr>
        <w:footnoteReference w:id="7"/>
      </w:r>
      <w:r w:rsidR="00AA662C" w:rsidRPr="00F06651">
        <w:rPr>
          <w:lang w:eastAsia="en-AU"/>
        </w:rPr>
        <w:t xml:space="preserve"> in order to assess RF</w:t>
      </w:r>
      <w:r w:rsidR="008A5C1C">
        <w:rPr>
          <w:lang w:eastAsia="en-AU"/>
        </w:rPr>
        <w:t>-</w:t>
      </w:r>
      <w:r w:rsidR="00AA662C" w:rsidRPr="00F06651">
        <w:rPr>
          <w:lang w:eastAsia="en-AU"/>
        </w:rPr>
        <w:t xml:space="preserve">EMF. This assessment was published as </w:t>
      </w:r>
      <w:r w:rsidR="00B733D1">
        <w:rPr>
          <w:lang w:eastAsia="en-AU"/>
        </w:rPr>
        <w:t>V</w:t>
      </w:r>
      <w:r w:rsidR="00AA662C" w:rsidRPr="00F06651">
        <w:rPr>
          <w:lang w:eastAsia="en-AU"/>
        </w:rPr>
        <w:t>olume 102 of the IARC Monographs</w:t>
      </w:r>
      <w:r w:rsidR="00AA662C" w:rsidRPr="00F06651">
        <w:rPr>
          <w:vertAlign w:val="superscript"/>
          <w:lang w:eastAsia="en-AU"/>
        </w:rPr>
        <w:footnoteReference w:id="8"/>
      </w:r>
      <w:r w:rsidR="00AA662C" w:rsidRPr="00F06651">
        <w:rPr>
          <w:lang w:eastAsia="en-AU"/>
        </w:rPr>
        <w:t>. Based on mixed epidemiological evidence on humans regarding an association between exposure to RF</w:t>
      </w:r>
      <w:r w:rsidR="008A5C1C">
        <w:rPr>
          <w:lang w:eastAsia="en-AU"/>
        </w:rPr>
        <w:t>-</w:t>
      </w:r>
      <w:r w:rsidR="00AA662C" w:rsidRPr="00F06651">
        <w:rPr>
          <w:lang w:eastAsia="en-AU"/>
        </w:rPr>
        <w:t>EMF from wireless phones and head cancers (glioma and acoustic neuroma), RF</w:t>
      </w:r>
      <w:r w:rsidR="008A5C1C">
        <w:rPr>
          <w:lang w:eastAsia="en-AU"/>
        </w:rPr>
        <w:t>-</w:t>
      </w:r>
      <w:r w:rsidR="00AA662C" w:rsidRPr="00F06651">
        <w:rPr>
          <w:lang w:eastAsia="en-AU"/>
        </w:rPr>
        <w:t>EMF fields have been classified by the IARC as possibly carcinogenic to humans (Group 2B). The Group 2B category is used when a causal association is considered credible, but when chance, bias or confounding cannot be ruled out with reasonable confidence.</w:t>
      </w:r>
    </w:p>
    <w:p w14:paraId="332A3FF4" w14:textId="77777777" w:rsidR="00AA662C" w:rsidRPr="00F06651" w:rsidRDefault="00AA662C" w:rsidP="00075050">
      <w:pPr>
        <w:rPr>
          <w:lang w:eastAsia="en-AU"/>
        </w:rPr>
      </w:pPr>
      <w:r w:rsidRPr="00F06651">
        <w:rPr>
          <w:lang w:eastAsia="en-AU"/>
        </w:rPr>
        <w:t>Following the IARC classification</w:t>
      </w:r>
      <w:r w:rsidR="00B733D1">
        <w:rPr>
          <w:lang w:eastAsia="en-AU"/>
        </w:rPr>
        <w:t>,</w:t>
      </w:r>
      <w:r w:rsidRPr="00F06651">
        <w:rPr>
          <w:lang w:eastAsia="en-AU"/>
        </w:rPr>
        <w:t xml:space="preserve"> the WHO</w:t>
      </w:r>
      <w:r w:rsidRPr="00F06651">
        <w:rPr>
          <w:vertAlign w:val="superscript"/>
          <w:lang w:eastAsia="en-AU"/>
        </w:rPr>
        <w:footnoteReference w:id="9"/>
      </w:r>
      <w:r w:rsidRPr="00F06651">
        <w:rPr>
          <w:lang w:eastAsia="en-AU"/>
        </w:rPr>
        <w:t xml:space="preserve"> issued an updated Fact Sheet in June 2011, stating that: ‘</w:t>
      </w:r>
      <w:r w:rsidRPr="00F06651">
        <w:rPr>
          <w:i/>
          <w:lang w:eastAsia="en-AU"/>
        </w:rPr>
        <w:t xml:space="preserve">To date no adverse health effects have been established as being caused by mobile phone use’. </w:t>
      </w:r>
      <w:r w:rsidRPr="00F06651">
        <w:rPr>
          <w:lang w:eastAsia="en-AU"/>
        </w:rPr>
        <w:t>The WHO Fact Sheet</w:t>
      </w:r>
      <w:r w:rsidRPr="00F06651">
        <w:rPr>
          <w:i/>
          <w:lang w:eastAsia="en-AU"/>
        </w:rPr>
        <w:t xml:space="preserve"> </w:t>
      </w:r>
      <w:r w:rsidRPr="00F06651">
        <w:rPr>
          <w:lang w:eastAsia="en-AU"/>
        </w:rPr>
        <w:t>notes that:</w:t>
      </w:r>
    </w:p>
    <w:p w14:paraId="76E45126" w14:textId="77777777" w:rsidR="00AA662C" w:rsidRPr="00075050" w:rsidRDefault="00AA662C" w:rsidP="00075050">
      <w:pPr>
        <w:rPr>
          <w:bCs/>
          <w:i/>
          <w:iCs/>
          <w:kern w:val="36"/>
          <w:szCs w:val="24"/>
          <w:lang w:eastAsia="en-AU"/>
        </w:rPr>
      </w:pPr>
      <w:r w:rsidRPr="00075050">
        <w:rPr>
          <w:i/>
          <w:iCs/>
          <w:lang w:eastAsia="en-AU"/>
        </w:rPr>
        <w:lastRenderedPageBreak/>
        <w:t>‘While an increased risk of brain tumors is not established, the increasing use of mobile phones and the lack of data for mobile phone use over time periods longer than 15 years warrant further research of mobile phone use and brain cancer risk. In particular, with the recent popularity of mobile phone use among younger people, and therefore a potentially longer lifetime of exposure, WHO has promoted further research on this group. Several studies investigating potential health effects in children and adolescents are underway.’</w:t>
      </w:r>
    </w:p>
    <w:p w14:paraId="300A1305" w14:textId="77777777" w:rsidR="00AA662C" w:rsidRPr="00F06651" w:rsidRDefault="00AA662C" w:rsidP="00075050">
      <w:pPr>
        <w:rPr>
          <w:lang w:eastAsia="en-AU"/>
        </w:rPr>
      </w:pPr>
      <w:r w:rsidRPr="00F06651">
        <w:rPr>
          <w:lang w:eastAsia="en-AU"/>
        </w:rPr>
        <w:t>The WHO</w:t>
      </w:r>
      <w:r w:rsidRPr="00F06651">
        <w:rPr>
          <w:vertAlign w:val="superscript"/>
          <w:lang w:eastAsia="en-AU"/>
        </w:rPr>
        <w:footnoteReference w:id="10"/>
      </w:r>
      <w:r w:rsidRPr="00F06651">
        <w:rPr>
          <w:lang w:eastAsia="en-AU"/>
        </w:rPr>
        <w:t xml:space="preserve"> states that studies to date provide no indication that environmental exposure to RF fields, such as from base stations, increases the risk of cancer or any other disease. </w:t>
      </w:r>
    </w:p>
    <w:p w14:paraId="0D88762B" w14:textId="77777777" w:rsidR="00AA662C" w:rsidRPr="00F06651" w:rsidRDefault="00AA662C" w:rsidP="00075050">
      <w:pPr>
        <w:rPr>
          <w:lang w:eastAsia="en-AU"/>
        </w:rPr>
      </w:pPr>
      <w:r w:rsidRPr="00F06651">
        <w:rPr>
          <w:lang w:eastAsia="en-AU"/>
        </w:rPr>
        <w:t>Furthermore, WHO</w:t>
      </w:r>
      <w:r w:rsidRPr="00F06651">
        <w:rPr>
          <w:vertAlign w:val="superscript"/>
          <w:lang w:eastAsia="en-AU"/>
        </w:rPr>
        <w:footnoteReference w:id="11"/>
      </w:r>
      <w:r w:rsidRPr="00F06651">
        <w:rPr>
          <w:lang w:eastAsia="en-AU"/>
        </w:rPr>
        <w:t xml:space="preserve"> Fact Sheet 304 states:</w:t>
      </w:r>
    </w:p>
    <w:p w14:paraId="472A10CF" w14:textId="77777777" w:rsidR="00AA662C" w:rsidRDefault="00AA662C" w:rsidP="00AA662C">
      <w:pPr>
        <w:tabs>
          <w:tab w:val="clear" w:pos="794"/>
          <w:tab w:val="clear" w:pos="1191"/>
          <w:tab w:val="clear" w:pos="1588"/>
          <w:tab w:val="clear" w:pos="1985"/>
        </w:tabs>
        <w:spacing w:after="200" w:line="276" w:lineRule="auto"/>
        <w:rPr>
          <w:rFonts w:eastAsia="SimSun"/>
          <w:i/>
          <w:iCs/>
          <w:color w:val="000000"/>
          <w:szCs w:val="22"/>
          <w:lang w:eastAsia="en-AU"/>
        </w:rPr>
      </w:pPr>
      <w:r w:rsidRPr="00F06651">
        <w:rPr>
          <w:rFonts w:eastAsia="SimSun"/>
          <w:i/>
          <w:iCs/>
          <w:color w:val="000000"/>
          <w:szCs w:val="22"/>
          <w:lang w:eastAsia="en-AU"/>
        </w:rPr>
        <w:t>‘Considering the very low exposure levels and research results collected to date, there is no convincing scientific evidence that the weak signals from RF Base stations and wireless networks cause adverse health effects.’</w:t>
      </w:r>
    </w:p>
    <w:p w14:paraId="33D3B017" w14:textId="6CDD6DF2" w:rsidR="000029BA" w:rsidRPr="00F06651" w:rsidRDefault="000029BA" w:rsidP="00AA662C">
      <w:pPr>
        <w:tabs>
          <w:tab w:val="clear" w:pos="794"/>
          <w:tab w:val="clear" w:pos="1191"/>
          <w:tab w:val="clear" w:pos="1588"/>
          <w:tab w:val="clear" w:pos="1985"/>
        </w:tabs>
        <w:spacing w:after="200" w:line="276" w:lineRule="auto"/>
        <w:rPr>
          <w:rFonts w:eastAsia="SimSun"/>
          <w:i/>
          <w:iCs/>
          <w:color w:val="000000"/>
          <w:szCs w:val="22"/>
          <w:lang w:eastAsia="en-AU"/>
        </w:rPr>
      </w:pPr>
      <w:r>
        <w:rPr>
          <w:lang w:eastAsia="en-AU"/>
        </w:rPr>
        <w:t>Further information on the IARC classification for RF</w:t>
      </w:r>
      <w:r w:rsidR="008A5C1C">
        <w:rPr>
          <w:lang w:eastAsia="en-AU"/>
        </w:rPr>
        <w:t>-</w:t>
      </w:r>
      <w:r>
        <w:rPr>
          <w:lang w:eastAsia="en-AU"/>
        </w:rPr>
        <w:t xml:space="preserve">EMF is available </w:t>
      </w:r>
      <w:r w:rsidR="00EF0ED5">
        <w:rPr>
          <w:lang w:eastAsia="en-AU"/>
        </w:rPr>
        <w:t>(</w:t>
      </w:r>
      <w:r w:rsidRPr="000029BA">
        <w:rPr>
          <w:lang w:eastAsia="en-AU"/>
        </w:rPr>
        <w:t xml:space="preserve">Supplement 1 </w:t>
      </w:r>
      <w:r w:rsidR="00AC5979">
        <w:rPr>
          <w:lang w:eastAsia="en-AU"/>
        </w:rPr>
        <w:t xml:space="preserve">to </w:t>
      </w:r>
      <w:r w:rsidR="00B733D1">
        <w:rPr>
          <w:lang w:eastAsia="en-AU"/>
        </w:rPr>
        <w:t xml:space="preserve">Recommendation </w:t>
      </w:r>
      <w:r w:rsidRPr="000029BA">
        <w:rPr>
          <w:lang w:eastAsia="en-AU"/>
        </w:rPr>
        <w:t>ITU-T K.91</w:t>
      </w:r>
      <w:r w:rsidR="00EF0ED5">
        <w:rPr>
          <w:lang w:eastAsia="en-AU"/>
        </w:rPr>
        <w:t>)</w:t>
      </w:r>
      <w:r>
        <w:rPr>
          <w:lang w:eastAsia="en-AU"/>
        </w:rPr>
        <w:t>.</w:t>
      </w:r>
    </w:p>
    <w:p w14:paraId="5B17227E" w14:textId="12BE9583" w:rsidR="00AA662C" w:rsidRPr="00F06651" w:rsidRDefault="00AA662C" w:rsidP="00075050">
      <w:pPr>
        <w:pStyle w:val="Heading1"/>
      </w:pPr>
      <w:bookmarkStart w:id="63" w:name="_Toc397945041"/>
      <w:bookmarkStart w:id="64" w:name="_Toc400020864"/>
      <w:bookmarkStart w:id="65" w:name="_Toc400106132"/>
      <w:r>
        <w:t>4</w:t>
      </w:r>
      <w:r>
        <w:tab/>
      </w:r>
      <w:r w:rsidRPr="00F06651">
        <w:t xml:space="preserve">EMF </w:t>
      </w:r>
      <w:r w:rsidR="0026422F">
        <w:t>e</w:t>
      </w:r>
      <w:r w:rsidRPr="00F06651">
        <w:t xml:space="preserve">xposure </w:t>
      </w:r>
      <w:r w:rsidR="0026422F">
        <w:t>l</w:t>
      </w:r>
      <w:r w:rsidRPr="00F06651">
        <w:t>imits</w:t>
      </w:r>
      <w:bookmarkEnd w:id="63"/>
      <w:bookmarkEnd w:id="64"/>
      <w:bookmarkEnd w:id="65"/>
      <w:r w:rsidRPr="00F06651">
        <w:t xml:space="preserve"> </w:t>
      </w:r>
    </w:p>
    <w:p w14:paraId="21932832" w14:textId="77777777" w:rsidR="00AA662C" w:rsidRPr="00F06651" w:rsidRDefault="00AA662C" w:rsidP="00075050">
      <w:pPr>
        <w:rPr>
          <w:lang w:eastAsia="zh-CN"/>
        </w:rPr>
      </w:pPr>
      <w:r w:rsidRPr="00F06651">
        <w:rPr>
          <w:lang w:eastAsia="zh-CN"/>
        </w:rPr>
        <w:t>Scientific research over many decades has enabled national and international health authorities to establish safety limits for exposure to electromagnetic fields. Exposure limits vary depending on the EMF frequency and incorporate conservative safety margins for added protection.</w:t>
      </w:r>
    </w:p>
    <w:p w14:paraId="2579D9A3" w14:textId="77777777" w:rsidR="00AA662C" w:rsidRPr="00F06651" w:rsidRDefault="00AA662C" w:rsidP="00075050">
      <w:pPr>
        <w:rPr>
          <w:lang w:eastAsia="zh-CN"/>
        </w:rPr>
      </w:pPr>
      <w:r w:rsidRPr="00F06651">
        <w:rPr>
          <w:lang w:eastAsia="zh-CN"/>
        </w:rPr>
        <w:t>In the following sections</w:t>
      </w:r>
      <w:r w:rsidR="0026422F">
        <w:rPr>
          <w:lang w:eastAsia="zh-CN"/>
        </w:rPr>
        <w:t>,</w:t>
      </w:r>
      <w:r w:rsidRPr="00F06651">
        <w:rPr>
          <w:lang w:eastAsia="zh-CN"/>
        </w:rPr>
        <w:t xml:space="preserve"> the basis for the international EMF exposure limits is summarized along with information on application of the limits to workers and the general public. The methods used for assessing compliance with EMF exposure standards are introduced and typical compliance zones for mobile communication network antenna are described.</w:t>
      </w:r>
    </w:p>
    <w:p w14:paraId="4E9F0307" w14:textId="347A6BCD" w:rsidR="00AA662C" w:rsidRPr="00F06651" w:rsidRDefault="00AA662C" w:rsidP="00075050">
      <w:pPr>
        <w:pStyle w:val="Heading2"/>
        <w:rPr>
          <w:lang w:eastAsia="en-AU"/>
        </w:rPr>
      </w:pPr>
      <w:bookmarkStart w:id="66" w:name="_Toc397945042"/>
      <w:bookmarkStart w:id="67" w:name="_Toc400020865"/>
      <w:bookmarkStart w:id="68" w:name="_Toc400106133"/>
      <w:r>
        <w:rPr>
          <w:lang w:eastAsia="en-AU"/>
        </w:rPr>
        <w:t>4.1</w:t>
      </w:r>
      <w:r>
        <w:rPr>
          <w:lang w:eastAsia="en-AU"/>
        </w:rPr>
        <w:tab/>
      </w:r>
      <w:r w:rsidRPr="00F06651">
        <w:rPr>
          <w:lang w:eastAsia="en-AU"/>
        </w:rPr>
        <w:t xml:space="preserve">Internationally </w:t>
      </w:r>
      <w:r w:rsidR="0026422F">
        <w:rPr>
          <w:lang w:eastAsia="en-AU"/>
        </w:rPr>
        <w:t>h</w:t>
      </w:r>
      <w:r w:rsidRPr="00F06651">
        <w:rPr>
          <w:lang w:eastAsia="en-AU"/>
        </w:rPr>
        <w:t>armonized EMF limits</w:t>
      </w:r>
      <w:bookmarkEnd w:id="66"/>
      <w:bookmarkEnd w:id="67"/>
      <w:bookmarkEnd w:id="68"/>
      <w:r w:rsidRPr="00F06651">
        <w:rPr>
          <w:lang w:eastAsia="en-AU"/>
        </w:rPr>
        <w:t xml:space="preserve"> </w:t>
      </w:r>
    </w:p>
    <w:p w14:paraId="454401F4" w14:textId="0A079E94" w:rsidR="00AA662C" w:rsidRPr="00F06651" w:rsidRDefault="00AA662C" w:rsidP="00075050">
      <w:pPr>
        <w:keepNext/>
        <w:keepLines/>
        <w:rPr>
          <w:lang w:eastAsia="zh-CN"/>
        </w:rPr>
      </w:pPr>
      <w:r w:rsidRPr="00F06651">
        <w:rPr>
          <w:lang w:eastAsia="zh-CN"/>
        </w:rPr>
        <w:t xml:space="preserve">The WHO encourages the adoption of exposure limits that provide similar levels of health protection for all people. The </w:t>
      </w:r>
      <w:r w:rsidR="007D2B85" w:rsidRPr="007D2B85">
        <w:rPr>
          <w:lang w:eastAsia="zh-CN"/>
        </w:rPr>
        <w:t>International Commission on Non-Ioni</w:t>
      </w:r>
      <w:r w:rsidR="0026422F">
        <w:rPr>
          <w:lang w:eastAsia="zh-CN"/>
        </w:rPr>
        <w:t>z</w:t>
      </w:r>
      <w:r w:rsidR="007D2B85" w:rsidRPr="007D2B85">
        <w:rPr>
          <w:lang w:eastAsia="zh-CN"/>
        </w:rPr>
        <w:t xml:space="preserve">ing Radiation Protection (ICNIRP) is a non-governmental organization </w:t>
      </w:r>
      <w:r w:rsidR="0026422F">
        <w:rPr>
          <w:lang w:eastAsia="zh-CN"/>
        </w:rPr>
        <w:t>which has</w:t>
      </w:r>
      <w:r w:rsidR="00AC5979">
        <w:rPr>
          <w:lang w:eastAsia="zh-CN"/>
        </w:rPr>
        <w:t xml:space="preserve"> </w:t>
      </w:r>
      <w:r w:rsidR="007D2B85" w:rsidRPr="007D2B85">
        <w:rPr>
          <w:lang w:eastAsia="zh-CN"/>
        </w:rPr>
        <w:t xml:space="preserve">official relations with </w:t>
      </w:r>
      <w:r w:rsidR="007D2B85">
        <w:rPr>
          <w:lang w:eastAsia="zh-CN"/>
        </w:rPr>
        <w:t xml:space="preserve">the </w:t>
      </w:r>
      <w:r w:rsidRPr="00F06651">
        <w:rPr>
          <w:lang w:eastAsia="zh-CN"/>
        </w:rPr>
        <w:t>WHO. The ICNIRP guidelines form the basis of WHO</w:t>
      </w:r>
      <w:r w:rsidRPr="00F06651">
        <w:rPr>
          <w:vertAlign w:val="superscript"/>
          <w:lang w:eastAsia="zh-CN"/>
        </w:rPr>
        <w:footnoteReference w:id="12"/>
      </w:r>
      <w:r w:rsidRPr="00F06651">
        <w:rPr>
          <w:lang w:eastAsia="zh-CN"/>
        </w:rPr>
        <w:t xml:space="preserve"> and ITU </w:t>
      </w:r>
      <w:r w:rsidR="0026422F">
        <w:rPr>
          <w:lang w:eastAsia="zh-CN"/>
        </w:rPr>
        <w:t>R</w:t>
      </w:r>
      <w:r w:rsidRPr="00F06651">
        <w:rPr>
          <w:lang w:eastAsia="zh-CN"/>
        </w:rPr>
        <w:t>ecommendations to governments and have been widely adopted around the world.</w:t>
      </w:r>
    </w:p>
    <w:p w14:paraId="5D0BC262" w14:textId="50708ABF" w:rsidR="00AA662C" w:rsidRPr="00F06651" w:rsidRDefault="00AA662C" w:rsidP="00075050">
      <w:pPr>
        <w:rPr>
          <w:lang w:eastAsia="zh-CN"/>
        </w:rPr>
      </w:pPr>
      <w:r w:rsidRPr="00F06651">
        <w:rPr>
          <w:lang w:eastAsia="zh-CN"/>
        </w:rPr>
        <w:t>ITU</w:t>
      </w:r>
      <w:r w:rsidRPr="00F06651">
        <w:rPr>
          <w:vertAlign w:val="superscript"/>
          <w:lang w:eastAsia="zh-CN"/>
        </w:rPr>
        <w:footnoteReference w:id="13"/>
      </w:r>
      <w:r w:rsidRPr="00F06651">
        <w:rPr>
          <w:lang w:eastAsia="zh-CN"/>
        </w:rPr>
        <w:t xml:space="preserve"> recommends the exposure limits for EMF developed by ICNIRP where no national limits exist. National EMF exposure limits based on the ICNIRP guidelines provide a global reference, an internationally harmoni</w:t>
      </w:r>
      <w:r w:rsidR="0026422F">
        <w:rPr>
          <w:lang w:eastAsia="zh-CN"/>
        </w:rPr>
        <w:t>z</w:t>
      </w:r>
      <w:r w:rsidRPr="00F06651">
        <w:rPr>
          <w:lang w:eastAsia="zh-CN"/>
        </w:rPr>
        <w:t xml:space="preserve">ed approach and </w:t>
      </w:r>
      <w:r w:rsidR="0026422F">
        <w:rPr>
          <w:lang w:eastAsia="zh-CN"/>
        </w:rPr>
        <w:t xml:space="preserve">a </w:t>
      </w:r>
      <w:r w:rsidRPr="00F06651">
        <w:rPr>
          <w:lang w:eastAsia="zh-CN"/>
        </w:rPr>
        <w:t>global consistency of exposure protection.</w:t>
      </w:r>
    </w:p>
    <w:p w14:paraId="272D1427" w14:textId="08879157" w:rsidR="00AA662C" w:rsidRPr="00F06651" w:rsidRDefault="00AA662C" w:rsidP="00075050">
      <w:pPr>
        <w:rPr>
          <w:lang w:eastAsia="zh-CN"/>
        </w:rPr>
      </w:pPr>
      <w:r w:rsidRPr="00F06651">
        <w:rPr>
          <w:lang w:eastAsia="zh-CN"/>
        </w:rPr>
        <w:t xml:space="preserve">The ICNIRP EMF </w:t>
      </w:r>
      <w:r w:rsidR="0026422F">
        <w:rPr>
          <w:lang w:eastAsia="zh-CN"/>
        </w:rPr>
        <w:t>g</w:t>
      </w:r>
      <w:r w:rsidRPr="00F06651">
        <w:rPr>
          <w:lang w:eastAsia="zh-CN"/>
        </w:rPr>
        <w:t>uidelines cover the frequency range 0-300 GHz which includes the frequency of all wireless ICT systems and devices.</w:t>
      </w:r>
    </w:p>
    <w:p w14:paraId="076ADAE3" w14:textId="77777777" w:rsidR="00AA662C" w:rsidRPr="00F06651" w:rsidRDefault="00AA662C" w:rsidP="00075050">
      <w:pPr>
        <w:rPr>
          <w:rFonts w:cs="Arial"/>
          <w:lang w:eastAsia="zh-CN"/>
        </w:rPr>
      </w:pPr>
      <w:r w:rsidRPr="00D06831">
        <w:rPr>
          <w:lang w:eastAsia="zh-CN"/>
        </w:rPr>
        <w:t>The ICNIRP EMF</w:t>
      </w:r>
      <w:r w:rsidRPr="00F06651">
        <w:rPr>
          <w:lang w:eastAsia="zh-CN"/>
        </w:rPr>
        <w:t xml:space="preserve"> guidelines are based on a threshold level of exposure above which health effects have been established. A reduction factor is then applied to establish a safe exposure level for workers (occupational exposure, factor of 10) and the general public (factor of 50). </w:t>
      </w:r>
      <w:r w:rsidRPr="00F06651">
        <w:rPr>
          <w:rFonts w:cs="Arial"/>
          <w:lang w:eastAsia="zh-CN"/>
        </w:rPr>
        <w:t>The rationale explaining the lower safety factor for the occupational exposure is provided in Annex 2.</w:t>
      </w:r>
    </w:p>
    <w:p w14:paraId="295BEB37" w14:textId="77777777" w:rsidR="00AA662C" w:rsidRPr="00F06651" w:rsidRDefault="00AA662C" w:rsidP="00075050">
      <w:pPr>
        <w:rPr>
          <w:lang w:eastAsia="zh-CN"/>
        </w:rPr>
      </w:pPr>
      <w:r w:rsidRPr="00F06651">
        <w:rPr>
          <w:lang w:eastAsia="zh-CN"/>
        </w:rPr>
        <w:lastRenderedPageBreak/>
        <w:t>The basis of the ICNIRP guidelines at radio frequencies are established effects that are related, in the radio</w:t>
      </w:r>
      <w:r w:rsidR="00D06831">
        <w:rPr>
          <w:lang w:eastAsia="zh-CN"/>
        </w:rPr>
        <w:t xml:space="preserve"> </w:t>
      </w:r>
      <w:r w:rsidRPr="00F06651">
        <w:rPr>
          <w:lang w:eastAsia="zh-CN"/>
        </w:rPr>
        <w:t>frequency (RF) domain, to temperature rise (i.e., thermal effects). ICNIRP states that non-thermal effects have not been established and their relevance to human health is uncertain. Therefore, ICNIRP states that it is impossible to use reports of such effects as a basis for setting limits on human exposure to these fields.</w:t>
      </w:r>
    </w:p>
    <w:p w14:paraId="465B7206" w14:textId="77777777" w:rsidR="00AA662C" w:rsidRPr="00F06651" w:rsidRDefault="00AA662C" w:rsidP="00075050">
      <w:pPr>
        <w:rPr>
          <w:lang w:eastAsia="zh-CN"/>
        </w:rPr>
      </w:pPr>
      <w:r w:rsidRPr="00F06651">
        <w:rPr>
          <w:lang w:eastAsia="zh-CN"/>
        </w:rPr>
        <w:t xml:space="preserve">The reduction factors for </w:t>
      </w:r>
      <w:r w:rsidR="00D06831">
        <w:rPr>
          <w:lang w:eastAsia="zh-CN"/>
        </w:rPr>
        <w:t xml:space="preserve">the </w:t>
      </w:r>
      <w:r w:rsidRPr="00F06651">
        <w:rPr>
          <w:lang w:eastAsia="zh-CN"/>
        </w:rPr>
        <w:t>general public and workers, as shown in Figure 10, are designed to account for any scientific uncertainties, variations in the population health and environmental conditions.</w:t>
      </w:r>
    </w:p>
    <w:p w14:paraId="3D32303D" w14:textId="77777777" w:rsidR="00AA662C" w:rsidRPr="00F06651" w:rsidRDefault="00AA662C" w:rsidP="00075050">
      <w:pPr>
        <w:pStyle w:val="Figure"/>
        <w:rPr>
          <w:lang w:eastAsia="en-AU"/>
        </w:rPr>
      </w:pPr>
      <w:r w:rsidRPr="00F06651">
        <w:rPr>
          <w:noProof/>
          <w:lang w:val="en-US" w:eastAsia="zh-CN"/>
        </w:rPr>
        <w:drawing>
          <wp:inline distT="0" distB="0" distL="0" distR="0" wp14:anchorId="28316311" wp14:editId="09B23CF3">
            <wp:extent cx="3912870" cy="2464851"/>
            <wp:effectExtent l="1905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3916090" cy="2466880"/>
                    </a:xfrm>
                    <a:prstGeom prst="rect">
                      <a:avLst/>
                    </a:prstGeom>
                    <a:noFill/>
                    <a:ln w="9525">
                      <a:noFill/>
                      <a:miter lim="800000"/>
                      <a:headEnd/>
                      <a:tailEnd/>
                    </a:ln>
                  </pic:spPr>
                </pic:pic>
              </a:graphicData>
            </a:graphic>
          </wp:inline>
        </w:drawing>
      </w:r>
    </w:p>
    <w:p w14:paraId="497168C1" w14:textId="77777777" w:rsidR="007632F7" w:rsidRDefault="000E4A5B" w:rsidP="0049069D">
      <w:pPr>
        <w:pStyle w:val="FigureNoTitle"/>
        <w:rPr>
          <w:b w:val="0"/>
          <w:sz w:val="18"/>
        </w:rPr>
      </w:pPr>
      <w:r w:rsidRPr="002E4045">
        <w:rPr>
          <w:b w:val="0"/>
          <w:sz w:val="18"/>
          <w:lang w:eastAsia="en-AU"/>
        </w:rPr>
        <w:t xml:space="preserve">Source: ICNIRP presentation: EMF Safety Guidelines - The ICNIRP View presented at the ITU Workshop on Human Exposure to Electromagnetic Fields, Turin, 9 May 2013 available at </w:t>
      </w:r>
      <w:hyperlink r:id="rId34" w:history="1">
        <w:r w:rsidRPr="002E4045">
          <w:rPr>
            <w:b w:val="0"/>
            <w:sz w:val="18"/>
          </w:rPr>
          <w:t>http://emfguide.itu.int/pdfs/ITU-EMF-Workshop-Turin2013-ICNIRP-Matthes.pdf</w:t>
        </w:r>
      </w:hyperlink>
      <w:r w:rsidR="007632F7">
        <w:rPr>
          <w:b w:val="0"/>
          <w:sz w:val="18"/>
        </w:rPr>
        <w:t xml:space="preserve"> </w:t>
      </w:r>
    </w:p>
    <w:p w14:paraId="1ECC90BA" w14:textId="3F96C20D" w:rsidR="00075050" w:rsidRDefault="00AA662C" w:rsidP="0049069D">
      <w:pPr>
        <w:pStyle w:val="FigureNoTitle"/>
        <w:rPr>
          <w:lang w:eastAsia="en-AU"/>
        </w:rPr>
      </w:pPr>
      <w:r w:rsidRPr="00F06651">
        <w:rPr>
          <w:lang w:eastAsia="en-AU"/>
        </w:rPr>
        <w:t xml:space="preserve">Figure </w:t>
      </w:r>
      <w:bookmarkStart w:id="69" w:name="f_icnirp_reduction_factors"/>
      <w:bookmarkEnd w:id="69"/>
      <w:r w:rsidR="00C37C93">
        <w:rPr>
          <w:noProof/>
          <w:lang w:eastAsia="en-AU"/>
        </w:rPr>
        <w:t>10</w:t>
      </w:r>
      <w:r w:rsidRPr="00F06651">
        <w:rPr>
          <w:lang w:eastAsia="en-AU"/>
        </w:rPr>
        <w:t xml:space="preserve"> </w:t>
      </w:r>
      <w:r w:rsidR="0049069D">
        <w:rPr>
          <w:lang w:eastAsia="en-AU"/>
        </w:rPr>
        <w:t>–</w:t>
      </w:r>
      <w:r w:rsidRPr="00F06651">
        <w:rPr>
          <w:lang w:eastAsia="en-AU"/>
        </w:rPr>
        <w:t xml:space="preserve"> ICNIRP </w:t>
      </w:r>
      <w:r w:rsidR="00D06831">
        <w:rPr>
          <w:lang w:eastAsia="en-AU"/>
        </w:rPr>
        <w:t>e</w:t>
      </w:r>
      <w:r w:rsidRPr="00F06651">
        <w:rPr>
          <w:lang w:eastAsia="en-AU"/>
        </w:rPr>
        <w:t xml:space="preserve">xposure </w:t>
      </w:r>
      <w:r w:rsidR="00D06831">
        <w:rPr>
          <w:lang w:eastAsia="en-AU"/>
        </w:rPr>
        <w:t>l</w:t>
      </w:r>
      <w:r w:rsidRPr="00F06651">
        <w:rPr>
          <w:lang w:eastAsia="en-AU"/>
        </w:rPr>
        <w:t xml:space="preserve">imits and </w:t>
      </w:r>
      <w:r w:rsidR="00D06831">
        <w:rPr>
          <w:lang w:eastAsia="en-AU"/>
        </w:rPr>
        <w:t>r</w:t>
      </w:r>
      <w:r w:rsidRPr="00F06651">
        <w:rPr>
          <w:lang w:eastAsia="en-AU"/>
        </w:rPr>
        <w:t xml:space="preserve">eduction </w:t>
      </w:r>
      <w:r w:rsidR="00D06831">
        <w:rPr>
          <w:lang w:eastAsia="en-AU"/>
        </w:rPr>
        <w:t>f</w:t>
      </w:r>
      <w:r w:rsidRPr="00F06651">
        <w:rPr>
          <w:lang w:eastAsia="en-AU"/>
        </w:rPr>
        <w:t>actor</w:t>
      </w:r>
    </w:p>
    <w:p w14:paraId="28D8F687" w14:textId="53DF62D0" w:rsidR="00AA662C" w:rsidRPr="00F06651" w:rsidRDefault="00AA662C" w:rsidP="00075050">
      <w:pPr>
        <w:pStyle w:val="Figurelegend"/>
        <w:rPr>
          <w:lang w:eastAsia="en-AU"/>
        </w:rPr>
      </w:pPr>
    </w:p>
    <w:p w14:paraId="26767369" w14:textId="7E901ED0" w:rsidR="00AA662C" w:rsidRPr="00F06651" w:rsidRDefault="00AA662C" w:rsidP="00AA662C">
      <w:pPr>
        <w:spacing w:after="200" w:line="276" w:lineRule="auto"/>
        <w:rPr>
          <w:rFonts w:eastAsia="SimSun"/>
          <w:iCs/>
          <w:color w:val="000000"/>
          <w:szCs w:val="24"/>
          <w:lang w:eastAsia="zh-CN"/>
        </w:rPr>
      </w:pPr>
      <w:r w:rsidRPr="00F06651">
        <w:rPr>
          <w:rFonts w:eastAsia="SimSun"/>
          <w:iCs/>
          <w:color w:val="000000"/>
          <w:szCs w:val="24"/>
          <w:lang w:eastAsia="zh-CN"/>
        </w:rPr>
        <w:t>ICNIRP (1998</w:t>
      </w:r>
      <w:r w:rsidR="007632F7">
        <w:rPr>
          <w:rFonts w:eastAsia="SimSun"/>
          <w:iCs/>
          <w:color w:val="000000"/>
          <w:szCs w:val="24"/>
          <w:lang w:eastAsia="zh-CN"/>
        </w:rPr>
        <w:t>,</w:t>
      </w:r>
      <w:r w:rsidRPr="00F06651">
        <w:rPr>
          <w:rFonts w:eastAsia="SimSun"/>
          <w:iCs/>
          <w:color w:val="000000"/>
          <w:szCs w:val="24"/>
          <w:lang w:eastAsia="zh-CN"/>
        </w:rPr>
        <w:t xml:space="preserve"> p.511, </w:t>
      </w:r>
      <w:r w:rsidR="007632F7">
        <w:t>T</w:t>
      </w:r>
      <w:r w:rsidRPr="00075050">
        <w:t xml:space="preserve">ables 6 and 7; see Annex 2 of this </w:t>
      </w:r>
      <w:r w:rsidR="007632F7">
        <w:t>Technical R</w:t>
      </w:r>
      <w:r w:rsidRPr="00075050">
        <w:t>eport) define the exposure thresholds. The basic restriction expressed in watt/kg are the fundamental limits while the reference levels, expressed in V/m, A/m or W/m</w:t>
      </w:r>
      <w:r w:rsidRPr="00675310">
        <w:rPr>
          <w:vertAlign w:val="superscript"/>
        </w:rPr>
        <w:t>2</w:t>
      </w:r>
      <w:r w:rsidRPr="00075050">
        <w:t>, are derived from the basic restrictions and the relationship between exposure</w:t>
      </w:r>
      <w:r w:rsidRPr="00F06651">
        <w:rPr>
          <w:rFonts w:eastAsia="SimSun"/>
          <w:iCs/>
          <w:color w:val="000000"/>
          <w:szCs w:val="24"/>
          <w:lang w:eastAsia="zh-CN"/>
        </w:rPr>
        <w:t xml:space="preserve"> to an incident field and </w:t>
      </w:r>
      <w:r w:rsidR="007632F7">
        <w:rPr>
          <w:rFonts w:eastAsia="SimSun"/>
          <w:iCs/>
          <w:color w:val="000000"/>
          <w:szCs w:val="24"/>
          <w:lang w:eastAsia="zh-CN"/>
        </w:rPr>
        <w:t xml:space="preserve">the </w:t>
      </w:r>
      <w:r w:rsidRPr="00F06651">
        <w:rPr>
          <w:rFonts w:eastAsia="SimSun"/>
          <w:iCs/>
          <w:color w:val="000000"/>
          <w:szCs w:val="24"/>
          <w:lang w:eastAsia="zh-CN"/>
        </w:rPr>
        <w:t xml:space="preserve">power absorbed by a human body. Annex 2 of this </w:t>
      </w:r>
      <w:r w:rsidR="007632F7">
        <w:rPr>
          <w:rFonts w:eastAsia="SimSun"/>
          <w:iCs/>
          <w:color w:val="000000"/>
          <w:szCs w:val="24"/>
          <w:lang w:eastAsia="zh-CN"/>
        </w:rPr>
        <w:t>Technical R</w:t>
      </w:r>
      <w:r w:rsidRPr="00F06651">
        <w:rPr>
          <w:rFonts w:eastAsia="SimSun"/>
          <w:iCs/>
          <w:color w:val="000000"/>
          <w:szCs w:val="24"/>
          <w:lang w:eastAsia="zh-CN"/>
        </w:rPr>
        <w:t xml:space="preserve">eport provides a summary of the ICNIRP </w:t>
      </w:r>
      <w:r w:rsidR="007632F7">
        <w:rPr>
          <w:rFonts w:eastAsia="SimSun"/>
          <w:iCs/>
          <w:color w:val="000000"/>
          <w:szCs w:val="24"/>
          <w:lang w:eastAsia="zh-CN"/>
        </w:rPr>
        <w:t>g</w:t>
      </w:r>
      <w:r w:rsidRPr="00F06651">
        <w:rPr>
          <w:rFonts w:eastAsia="SimSun"/>
          <w:iCs/>
          <w:color w:val="000000"/>
          <w:szCs w:val="24"/>
          <w:lang w:eastAsia="zh-CN"/>
        </w:rPr>
        <w:t>uidelines. Figures 11 and 12</w:t>
      </w:r>
      <w:r w:rsidR="0049069D">
        <w:rPr>
          <w:rFonts w:eastAsia="SimSun"/>
          <w:iCs/>
          <w:color w:val="000000"/>
          <w:szCs w:val="24"/>
          <w:lang w:eastAsia="zh-CN"/>
        </w:rPr>
        <w:t xml:space="preserve"> </w:t>
      </w:r>
      <w:r w:rsidRPr="00F06651">
        <w:rPr>
          <w:rFonts w:eastAsia="SimSun"/>
          <w:iCs/>
          <w:color w:val="000000"/>
          <w:szCs w:val="24"/>
          <w:lang w:eastAsia="zh-CN"/>
        </w:rPr>
        <w:t>depict ICNIRP reference levels at different frequencies for the electric field (Figure 11) and power density (</w:t>
      </w:r>
      <w:r w:rsidR="007632F7">
        <w:rPr>
          <w:rFonts w:eastAsia="SimSun"/>
          <w:iCs/>
          <w:color w:val="000000"/>
          <w:szCs w:val="24"/>
          <w:lang w:eastAsia="zh-CN"/>
        </w:rPr>
        <w:t>F</w:t>
      </w:r>
      <w:r w:rsidRPr="00F06651">
        <w:rPr>
          <w:rFonts w:eastAsia="SimSun"/>
          <w:iCs/>
          <w:color w:val="000000"/>
          <w:szCs w:val="24"/>
          <w:lang w:eastAsia="zh-CN"/>
        </w:rPr>
        <w:t>igure 12). The limit values are shown for both occupational (solid-red) and general public (dashed-green) exposures (Mazar, forthcoming).</w:t>
      </w:r>
    </w:p>
    <w:p w14:paraId="293638DF" w14:textId="77777777" w:rsidR="00AA662C" w:rsidRPr="00075050" w:rsidRDefault="00AA662C" w:rsidP="00075050">
      <w:pPr>
        <w:pStyle w:val="Figure"/>
        <w:rPr>
          <w:noProof/>
          <w:lang w:val="en-US" w:eastAsia="zh-CN"/>
        </w:rPr>
      </w:pPr>
      <w:r w:rsidRPr="00075050">
        <w:rPr>
          <w:noProof/>
          <w:lang w:val="en-US" w:eastAsia="zh-CN"/>
        </w:rPr>
        <w:lastRenderedPageBreak/>
        <w:drawing>
          <wp:inline distT="0" distB="0" distL="0" distR="0" wp14:anchorId="15D8EB7B" wp14:editId="3DCE7FD0">
            <wp:extent cx="4483100" cy="22589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05981" cy="2270494"/>
                    </a:xfrm>
                    <a:prstGeom prst="rect">
                      <a:avLst/>
                    </a:prstGeom>
                  </pic:spPr>
                </pic:pic>
              </a:graphicData>
            </a:graphic>
          </wp:inline>
        </w:drawing>
      </w:r>
    </w:p>
    <w:p w14:paraId="20307F8E" w14:textId="77777777" w:rsidR="007632F7" w:rsidRPr="00F06651" w:rsidRDefault="007632F7" w:rsidP="007632F7">
      <w:pPr>
        <w:pStyle w:val="Figurelegend"/>
        <w:keepNext w:val="0"/>
        <w:keepLines w:val="0"/>
        <w:rPr>
          <w:lang w:eastAsia="zh-CN"/>
        </w:rPr>
      </w:pPr>
      <w:r w:rsidRPr="00F06651">
        <w:rPr>
          <w:lang w:eastAsia="zh-CN"/>
        </w:rPr>
        <w:t>Source: Mazar, ‘International, Regional and National Regulation and Standardisation’ [forthcoming].</w:t>
      </w:r>
    </w:p>
    <w:p w14:paraId="7F9A3B6E" w14:textId="77777777" w:rsidR="00075050" w:rsidRDefault="00AA662C">
      <w:pPr>
        <w:pStyle w:val="FigureNoTitle"/>
        <w:rPr>
          <w:lang w:eastAsia="en-AU"/>
        </w:rPr>
      </w:pPr>
      <w:r w:rsidRPr="00F06651">
        <w:rPr>
          <w:lang w:eastAsia="en-AU"/>
        </w:rPr>
        <w:t xml:space="preserve">Figure </w:t>
      </w:r>
      <w:r w:rsidR="00C37C93">
        <w:rPr>
          <w:noProof/>
          <w:lang w:eastAsia="en-AU"/>
        </w:rPr>
        <w:t>11</w:t>
      </w:r>
      <w:r w:rsidRPr="00F06651">
        <w:rPr>
          <w:lang w:eastAsia="en-AU"/>
        </w:rPr>
        <w:t xml:space="preserve"> </w:t>
      </w:r>
      <w:r w:rsidR="0049069D">
        <w:rPr>
          <w:lang w:eastAsia="en-AU"/>
        </w:rPr>
        <w:t>–</w:t>
      </w:r>
      <w:r w:rsidRPr="00F06651">
        <w:rPr>
          <w:lang w:eastAsia="en-AU"/>
        </w:rPr>
        <w:t xml:space="preserve"> ICNIRP electric field strength reference levels for </w:t>
      </w:r>
      <w:r w:rsidR="0049069D">
        <w:rPr>
          <w:lang w:eastAsia="en-AU"/>
        </w:rPr>
        <w:br/>
      </w:r>
      <w:r w:rsidRPr="00F06651">
        <w:rPr>
          <w:lang w:eastAsia="en-AU"/>
        </w:rPr>
        <w:t>public and occupational exposures</w:t>
      </w:r>
    </w:p>
    <w:p w14:paraId="67CA1CB9" w14:textId="77777777" w:rsidR="00AA662C" w:rsidRPr="00075050" w:rsidRDefault="00AA662C" w:rsidP="00075050">
      <w:pPr>
        <w:pStyle w:val="Figure"/>
        <w:keepNext w:val="0"/>
        <w:keepLines w:val="0"/>
        <w:rPr>
          <w:noProof/>
          <w:lang w:val="en-US" w:eastAsia="zh-CN"/>
        </w:rPr>
      </w:pPr>
      <w:r w:rsidRPr="00075050">
        <w:rPr>
          <w:noProof/>
          <w:lang w:val="en-US" w:eastAsia="zh-CN"/>
        </w:rPr>
        <w:drawing>
          <wp:inline distT="0" distB="0" distL="0" distR="0" wp14:anchorId="360A15E5" wp14:editId="3BF6C909">
            <wp:extent cx="5383530" cy="253746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BCE123" w14:textId="77777777" w:rsidR="007632F7" w:rsidRPr="00F06651" w:rsidRDefault="007632F7" w:rsidP="007632F7">
      <w:pPr>
        <w:pStyle w:val="Figurelegend"/>
        <w:rPr>
          <w:lang w:eastAsia="zh-CN"/>
        </w:rPr>
      </w:pPr>
      <w:r w:rsidRPr="00F06651">
        <w:rPr>
          <w:lang w:eastAsia="zh-CN"/>
        </w:rPr>
        <w:t>Source: Mazar, ‘International, Regional and National Regulation and Standardisation’ [forthcoming]</w:t>
      </w:r>
      <w:r>
        <w:rPr>
          <w:lang w:eastAsia="zh-CN"/>
        </w:rPr>
        <w:t>.</w:t>
      </w:r>
    </w:p>
    <w:p w14:paraId="1C15E631" w14:textId="77777777" w:rsidR="00075050" w:rsidRDefault="00AA662C" w:rsidP="0049069D">
      <w:pPr>
        <w:pStyle w:val="FigureNoTitle"/>
        <w:rPr>
          <w:lang w:eastAsia="zh-CN"/>
        </w:rPr>
      </w:pPr>
      <w:r w:rsidRPr="00F06651">
        <w:rPr>
          <w:lang w:eastAsia="zh-CN"/>
        </w:rPr>
        <w:t xml:space="preserve">Figure </w:t>
      </w:r>
      <w:bookmarkStart w:id="70" w:name="f_icnirp_pwr_density"/>
      <w:bookmarkEnd w:id="70"/>
      <w:r w:rsidR="00C37C93">
        <w:rPr>
          <w:noProof/>
          <w:lang w:eastAsia="zh-CN"/>
        </w:rPr>
        <w:t>12</w:t>
      </w:r>
      <w:r w:rsidRPr="00F06651">
        <w:rPr>
          <w:lang w:eastAsia="zh-CN"/>
        </w:rPr>
        <w:t xml:space="preserve"> </w:t>
      </w:r>
      <w:r w:rsidR="0049069D">
        <w:rPr>
          <w:lang w:eastAsia="en-AU"/>
        </w:rPr>
        <w:t>–</w:t>
      </w:r>
      <w:r w:rsidRPr="00F06651">
        <w:rPr>
          <w:lang w:eastAsia="zh-CN"/>
        </w:rPr>
        <w:t xml:space="preserve"> ICNIRP power density reference levels above 10</w:t>
      </w:r>
      <w:r w:rsidR="007632F7">
        <w:rPr>
          <w:lang w:eastAsia="zh-CN"/>
        </w:rPr>
        <w:t xml:space="preserve"> </w:t>
      </w:r>
      <w:r w:rsidRPr="00F06651">
        <w:rPr>
          <w:lang w:eastAsia="zh-CN"/>
        </w:rPr>
        <w:t>MHz for public and occupational exposures</w:t>
      </w:r>
    </w:p>
    <w:p w14:paraId="3DA4E318" w14:textId="77777777" w:rsidR="00AA662C" w:rsidRPr="00F06651" w:rsidRDefault="00AA662C" w:rsidP="00075050">
      <w:pPr>
        <w:pStyle w:val="Heading2"/>
        <w:rPr>
          <w:lang w:eastAsia="en-AU"/>
        </w:rPr>
      </w:pPr>
      <w:bookmarkStart w:id="71" w:name="_Toc397945045"/>
      <w:bookmarkStart w:id="72" w:name="_Toc400020866"/>
      <w:bookmarkStart w:id="73" w:name="_Toc400106134"/>
      <w:r>
        <w:rPr>
          <w:lang w:eastAsia="en-AU"/>
        </w:rPr>
        <w:t>4.2</w:t>
      </w:r>
      <w:r>
        <w:rPr>
          <w:lang w:eastAsia="en-AU"/>
        </w:rPr>
        <w:tab/>
      </w:r>
      <w:r w:rsidRPr="00F06651">
        <w:rPr>
          <w:lang w:eastAsia="en-AU"/>
        </w:rPr>
        <w:t>EMF safety training</w:t>
      </w:r>
      <w:bookmarkEnd w:id="71"/>
      <w:bookmarkEnd w:id="72"/>
      <w:bookmarkEnd w:id="73"/>
      <w:r w:rsidRPr="00F06651">
        <w:rPr>
          <w:lang w:eastAsia="en-AU"/>
        </w:rPr>
        <w:t xml:space="preserve"> </w:t>
      </w:r>
    </w:p>
    <w:p w14:paraId="79A8E462" w14:textId="79FB02DA" w:rsidR="00AA662C" w:rsidRPr="00F06651" w:rsidRDefault="00AA662C" w:rsidP="00075050">
      <w:pPr>
        <w:rPr>
          <w:lang w:eastAsia="zh-CN"/>
        </w:rPr>
      </w:pPr>
      <w:r w:rsidRPr="00F06651">
        <w:rPr>
          <w:lang w:eastAsia="zh-CN"/>
        </w:rPr>
        <w:t>Speciali</w:t>
      </w:r>
      <w:r w:rsidR="005F318A">
        <w:rPr>
          <w:lang w:eastAsia="zh-CN"/>
        </w:rPr>
        <w:t>z</w:t>
      </w:r>
      <w:r w:rsidRPr="00F06651">
        <w:rPr>
          <w:lang w:eastAsia="zh-CN"/>
        </w:rPr>
        <w:t>ed EMF safety training is very important for workers that need to access areas where the EMF exposure levels exceed the general public limits, for example</w:t>
      </w:r>
      <w:r w:rsidR="005F318A">
        <w:rPr>
          <w:lang w:eastAsia="zh-CN"/>
        </w:rPr>
        <w:t>,</w:t>
      </w:r>
      <w:r w:rsidRPr="00F06651">
        <w:rPr>
          <w:lang w:eastAsia="zh-CN"/>
        </w:rPr>
        <w:t xml:space="preserve"> on radio towers or on building rooftops with antennas. EMF safety training is also very important for workers that service or work ICT devices and equipment. These program</w:t>
      </w:r>
      <w:r w:rsidR="005F318A">
        <w:rPr>
          <w:lang w:eastAsia="zh-CN"/>
        </w:rPr>
        <w:t>me</w:t>
      </w:r>
      <w:r w:rsidRPr="00F06651">
        <w:rPr>
          <w:lang w:eastAsia="zh-CN"/>
        </w:rPr>
        <w:t>s can be tailored to suit the level of work and expertise required in each case.</w:t>
      </w:r>
    </w:p>
    <w:p w14:paraId="5F4E8D8B" w14:textId="77777777" w:rsidR="00AA662C" w:rsidRPr="00F06651" w:rsidRDefault="00AA662C" w:rsidP="00075050">
      <w:pPr>
        <w:rPr>
          <w:lang w:eastAsia="zh-CN"/>
        </w:rPr>
      </w:pPr>
      <w:r w:rsidRPr="00F06651">
        <w:rPr>
          <w:lang w:eastAsia="zh-CN"/>
        </w:rPr>
        <w:t>EMF safety training typically covers the following topics:</w:t>
      </w:r>
    </w:p>
    <w:p w14:paraId="6398F6C5" w14:textId="77777777" w:rsidR="00AA662C" w:rsidRPr="00F06651" w:rsidRDefault="00075050" w:rsidP="00075050">
      <w:pPr>
        <w:pStyle w:val="enumlev1"/>
      </w:pPr>
      <w:r>
        <w:t>•</w:t>
      </w:r>
      <w:r>
        <w:tab/>
      </w:r>
      <w:r w:rsidR="00AA662C" w:rsidRPr="00F06651">
        <w:t>Understanding EMF safety limits.</w:t>
      </w:r>
    </w:p>
    <w:p w14:paraId="7E3FC545" w14:textId="77777777" w:rsidR="00AA662C" w:rsidRPr="00F06651" w:rsidRDefault="00075050" w:rsidP="00075050">
      <w:pPr>
        <w:pStyle w:val="enumlev1"/>
      </w:pPr>
      <w:r>
        <w:t>•</w:t>
      </w:r>
      <w:r>
        <w:tab/>
      </w:r>
      <w:r w:rsidR="00AA662C" w:rsidRPr="00F06651">
        <w:t>Identifying ICT equipment and antennas.</w:t>
      </w:r>
    </w:p>
    <w:p w14:paraId="6F7FE2DF" w14:textId="77777777" w:rsidR="00AA662C" w:rsidRPr="00F06651" w:rsidRDefault="00075050" w:rsidP="00075050">
      <w:pPr>
        <w:pStyle w:val="enumlev1"/>
      </w:pPr>
      <w:r>
        <w:t>•</w:t>
      </w:r>
      <w:r>
        <w:tab/>
      </w:r>
      <w:r w:rsidR="00AA662C" w:rsidRPr="00F06651">
        <w:t>Identifying areas that exceed public exposure limits around antenna installations.</w:t>
      </w:r>
    </w:p>
    <w:p w14:paraId="182F7A21" w14:textId="77777777" w:rsidR="00AA662C" w:rsidRPr="00F06651" w:rsidRDefault="00075050" w:rsidP="00075050">
      <w:pPr>
        <w:pStyle w:val="enumlev1"/>
      </w:pPr>
      <w:r>
        <w:t>•</w:t>
      </w:r>
      <w:r>
        <w:tab/>
      </w:r>
      <w:r w:rsidR="00AA662C" w:rsidRPr="00F06651">
        <w:t>Working safely on antennas.</w:t>
      </w:r>
    </w:p>
    <w:p w14:paraId="706CF3DD" w14:textId="77777777" w:rsidR="00AA662C" w:rsidRPr="00F06651" w:rsidRDefault="00075050" w:rsidP="00075050">
      <w:pPr>
        <w:pStyle w:val="enumlev1"/>
      </w:pPr>
      <w:r>
        <w:lastRenderedPageBreak/>
        <w:t>•</w:t>
      </w:r>
      <w:r>
        <w:tab/>
      </w:r>
      <w:r w:rsidR="00AA662C" w:rsidRPr="00F06651">
        <w:t>Working safely on transmitters.</w:t>
      </w:r>
    </w:p>
    <w:p w14:paraId="1ED4681D" w14:textId="77777777" w:rsidR="00AA662C" w:rsidRPr="00F06651" w:rsidRDefault="00075050" w:rsidP="00075050">
      <w:pPr>
        <w:pStyle w:val="enumlev1"/>
      </w:pPr>
      <w:r>
        <w:t>•</w:t>
      </w:r>
      <w:r>
        <w:tab/>
      </w:r>
      <w:r w:rsidR="00AA662C" w:rsidRPr="00F06651">
        <w:t>Using EMF safety meters and personal monitors.</w:t>
      </w:r>
    </w:p>
    <w:p w14:paraId="55AAD9B4" w14:textId="77777777" w:rsidR="00AA662C" w:rsidRPr="00F06651" w:rsidRDefault="00AA662C" w:rsidP="00075050">
      <w:pPr>
        <w:rPr>
          <w:lang w:eastAsia="zh-CN"/>
        </w:rPr>
      </w:pPr>
      <w:r w:rsidRPr="00F06651">
        <w:rPr>
          <w:lang w:eastAsia="zh-CN"/>
        </w:rPr>
        <w:t>The IEEE recommended practice for RF safety programs provides guidance on topics that should be included in RF safety awareness training (IEEE C95.7, 2005).</w:t>
      </w:r>
    </w:p>
    <w:p w14:paraId="166EBEF0" w14:textId="77777777" w:rsidR="00AA662C" w:rsidRPr="00F06651" w:rsidRDefault="00AA662C" w:rsidP="00075050">
      <w:pPr>
        <w:pStyle w:val="Heading2"/>
        <w:rPr>
          <w:lang w:eastAsia="en-AU"/>
        </w:rPr>
      </w:pPr>
      <w:bookmarkStart w:id="74" w:name="_Toc397945046"/>
      <w:bookmarkStart w:id="75" w:name="_Toc400020867"/>
      <w:bookmarkStart w:id="76" w:name="_Toc400106135"/>
      <w:r>
        <w:rPr>
          <w:lang w:eastAsia="en-AU"/>
        </w:rPr>
        <w:t>4.3</w:t>
      </w:r>
      <w:r>
        <w:rPr>
          <w:lang w:eastAsia="en-AU"/>
        </w:rPr>
        <w:tab/>
      </w:r>
      <w:r w:rsidRPr="00F06651">
        <w:rPr>
          <w:lang w:eastAsia="en-AU"/>
        </w:rPr>
        <w:t>Compliance assessment standards for wireless networks and devices</w:t>
      </w:r>
      <w:bookmarkEnd w:id="74"/>
      <w:bookmarkEnd w:id="75"/>
      <w:bookmarkEnd w:id="76"/>
    </w:p>
    <w:p w14:paraId="319FA9EC" w14:textId="2DA9579D" w:rsidR="00AA662C" w:rsidRPr="00F06651" w:rsidRDefault="00AA662C" w:rsidP="00075050">
      <w:pPr>
        <w:rPr>
          <w:lang w:eastAsia="zh-CN"/>
        </w:rPr>
      </w:pPr>
      <w:r w:rsidRPr="00FE1EDB">
        <w:rPr>
          <w:lang w:eastAsia="zh-CN"/>
        </w:rPr>
        <w:t>Compliance with public</w:t>
      </w:r>
      <w:r w:rsidRPr="00F06651">
        <w:rPr>
          <w:lang w:eastAsia="zh-CN"/>
        </w:rPr>
        <w:t xml:space="preserve"> or worker (occupational) EMF exposure limits can be assessed through calculation or measurement.</w:t>
      </w:r>
      <w:r w:rsidRPr="00F06651">
        <w:rPr>
          <w:rFonts w:ascii="Calibri" w:hAnsi="Calibri" w:cs="Arial"/>
          <w:sz w:val="22"/>
          <w:szCs w:val="22"/>
          <w:lang w:eastAsia="zh-CN"/>
        </w:rPr>
        <w:t xml:space="preserve"> </w:t>
      </w:r>
      <w:r w:rsidRPr="00F06651">
        <w:rPr>
          <w:lang w:eastAsia="zh-CN"/>
        </w:rPr>
        <w:t xml:space="preserve">Detailed guidance on assessments is provided in technical standards produced by ITU and other international organizations such as the International Electrotechnical Commission (IEC) or </w:t>
      </w:r>
      <w:r w:rsidR="00FE1EDB">
        <w:rPr>
          <w:lang w:eastAsia="zh-CN"/>
        </w:rPr>
        <w:t xml:space="preserve">the </w:t>
      </w:r>
      <w:r w:rsidRPr="00F06651">
        <w:rPr>
          <w:lang w:eastAsia="zh-CN"/>
        </w:rPr>
        <w:t>European Committee for Electrotechnical Standardi</w:t>
      </w:r>
      <w:r w:rsidR="00B86D50">
        <w:rPr>
          <w:lang w:eastAsia="zh-CN"/>
        </w:rPr>
        <w:t>z</w:t>
      </w:r>
      <w:r w:rsidRPr="00F06651">
        <w:rPr>
          <w:lang w:eastAsia="zh-CN"/>
        </w:rPr>
        <w:t>ation (CENELEC). Key standards are mentioned in the relevant sections that follow. In some cases</w:t>
      </w:r>
      <w:r w:rsidR="00BB6AB9">
        <w:rPr>
          <w:lang w:eastAsia="zh-CN"/>
        </w:rPr>
        <w:t>,</w:t>
      </w:r>
      <w:r w:rsidRPr="00F06651">
        <w:rPr>
          <w:lang w:eastAsia="zh-CN"/>
        </w:rPr>
        <w:t xml:space="preserve"> national requirements may be specified based on the international technical standards.</w:t>
      </w:r>
    </w:p>
    <w:p w14:paraId="55468711" w14:textId="7C32AB2C" w:rsidR="00AA662C" w:rsidRPr="00F06651" w:rsidRDefault="00AA662C" w:rsidP="00AC5979">
      <w:pPr>
        <w:rPr>
          <w:lang w:eastAsia="zh-CN"/>
        </w:rPr>
      </w:pPr>
      <w:r w:rsidRPr="00F06651">
        <w:rPr>
          <w:lang w:eastAsia="zh-CN"/>
        </w:rPr>
        <w:t xml:space="preserve">In general, calculation may be used for simpler installations where only one significant RF source is present, or </w:t>
      </w:r>
      <w:r w:rsidR="00BB6AB9">
        <w:rPr>
          <w:lang w:eastAsia="zh-CN"/>
        </w:rPr>
        <w:t xml:space="preserve">where </w:t>
      </w:r>
      <w:r w:rsidRPr="00F06651">
        <w:rPr>
          <w:lang w:eastAsia="zh-CN"/>
        </w:rPr>
        <w:t>there are few objects in the nearby environment, for example</w:t>
      </w:r>
      <w:r w:rsidR="00BB6AB9">
        <w:rPr>
          <w:lang w:eastAsia="zh-CN"/>
        </w:rPr>
        <w:t>,</w:t>
      </w:r>
      <w:r w:rsidRPr="00F06651">
        <w:rPr>
          <w:lang w:eastAsia="zh-CN"/>
        </w:rPr>
        <w:t xml:space="preserve"> calculation of compliance boundaries for antennas on a mobile base station mast. Some sophisticated calculation tools allow for assessments for very complex installations, and can consider the effects of the surrounding environment. </w:t>
      </w:r>
      <w:r w:rsidR="00AC5979">
        <w:rPr>
          <w:lang w:eastAsia="zh-CN"/>
        </w:rPr>
        <w:t>Furthermore</w:t>
      </w:r>
      <w:r w:rsidRPr="00F06651">
        <w:rPr>
          <w:lang w:eastAsia="zh-CN"/>
        </w:rPr>
        <w:t xml:space="preserve"> calculations are the only tool in the case of installations that are in the planning stage or not operating yet. Measurements may be required for complex sites with multiple transmitters or many reflecting objects, for example</w:t>
      </w:r>
      <w:r w:rsidR="00BB6AB9">
        <w:rPr>
          <w:lang w:eastAsia="zh-CN"/>
        </w:rPr>
        <w:t>,</w:t>
      </w:r>
      <w:r w:rsidRPr="00F06651">
        <w:rPr>
          <w:lang w:eastAsia="zh-CN"/>
        </w:rPr>
        <w:t xml:space="preserve"> a rooftop with many antennas that have overlapping transmission patterns. For some types of low power antennas or devices with integral antennas</w:t>
      </w:r>
      <w:r w:rsidR="00BB6AB9">
        <w:rPr>
          <w:lang w:eastAsia="zh-CN"/>
        </w:rPr>
        <w:t>,</w:t>
      </w:r>
      <w:r w:rsidRPr="00F06651">
        <w:rPr>
          <w:lang w:eastAsia="zh-CN"/>
        </w:rPr>
        <w:t xml:space="preserve"> the manufacturer may provide the compliance information. This may include position requirements to ensure that </w:t>
      </w:r>
      <w:r w:rsidR="00BB6AB9">
        <w:rPr>
          <w:lang w:eastAsia="zh-CN"/>
        </w:rPr>
        <w:t xml:space="preserve">the </w:t>
      </w:r>
      <w:r w:rsidRPr="00F06651">
        <w:rPr>
          <w:lang w:eastAsia="zh-CN"/>
        </w:rPr>
        <w:t>public or workers cannot access areas close to the antenna (</w:t>
      </w:r>
      <w:r w:rsidR="0013599C">
        <w:rPr>
          <w:lang w:eastAsia="zh-CN"/>
        </w:rPr>
        <w:t xml:space="preserve">Recommendation </w:t>
      </w:r>
      <w:r w:rsidRPr="00F06651">
        <w:rPr>
          <w:lang w:eastAsia="zh-CN"/>
        </w:rPr>
        <w:t xml:space="preserve">ITU-T K.61 </w:t>
      </w:r>
      <w:r w:rsidR="00BB6AB9">
        <w:rPr>
          <w:lang w:eastAsia="zh-CN"/>
        </w:rPr>
        <w:t>(</w:t>
      </w:r>
      <w:r w:rsidRPr="00F06651">
        <w:rPr>
          <w:lang w:eastAsia="zh-CN"/>
        </w:rPr>
        <w:t>2008</w:t>
      </w:r>
      <w:r w:rsidR="00BB6AB9">
        <w:rPr>
          <w:lang w:eastAsia="zh-CN"/>
        </w:rPr>
        <w:t>)</w:t>
      </w:r>
      <w:r w:rsidRPr="00F06651">
        <w:rPr>
          <w:lang w:eastAsia="zh-CN"/>
        </w:rPr>
        <w:t xml:space="preserve">; IEC 62232 </w:t>
      </w:r>
      <w:r w:rsidR="00BB6AB9">
        <w:rPr>
          <w:lang w:eastAsia="zh-CN"/>
        </w:rPr>
        <w:t>(</w:t>
      </w:r>
      <w:r w:rsidRPr="00F06651">
        <w:rPr>
          <w:lang w:eastAsia="zh-CN"/>
        </w:rPr>
        <w:t>2011</w:t>
      </w:r>
      <w:r w:rsidR="00BB6AB9">
        <w:rPr>
          <w:lang w:eastAsia="zh-CN"/>
        </w:rPr>
        <w:t>)</w:t>
      </w:r>
      <w:r w:rsidRPr="00F06651">
        <w:rPr>
          <w:lang w:eastAsia="zh-CN"/>
        </w:rPr>
        <w:t>).</w:t>
      </w:r>
    </w:p>
    <w:p w14:paraId="0DB88A32" w14:textId="77777777" w:rsidR="00AA662C" w:rsidRPr="00F06651" w:rsidRDefault="00AA662C" w:rsidP="00075050">
      <w:pPr>
        <w:pStyle w:val="Heading2"/>
        <w:rPr>
          <w:lang w:eastAsia="en-AU"/>
        </w:rPr>
      </w:pPr>
      <w:bookmarkStart w:id="77" w:name="_Toc397945047"/>
      <w:bookmarkStart w:id="78" w:name="_Toc400020868"/>
      <w:bookmarkStart w:id="79" w:name="_Toc400106136"/>
      <w:r>
        <w:rPr>
          <w:lang w:eastAsia="en-AU"/>
        </w:rPr>
        <w:t>4.4</w:t>
      </w:r>
      <w:r>
        <w:rPr>
          <w:lang w:eastAsia="en-AU"/>
        </w:rPr>
        <w:tab/>
      </w:r>
      <w:r w:rsidRPr="00F06651">
        <w:rPr>
          <w:lang w:eastAsia="en-AU"/>
        </w:rPr>
        <w:t>Compliance for wireless networks</w:t>
      </w:r>
      <w:bookmarkEnd w:id="77"/>
      <w:bookmarkEnd w:id="78"/>
      <w:bookmarkEnd w:id="79"/>
    </w:p>
    <w:p w14:paraId="7B9A4CAB" w14:textId="6FF06F13" w:rsidR="00AA662C" w:rsidRPr="00F06651" w:rsidRDefault="00AA662C" w:rsidP="00075050">
      <w:pPr>
        <w:rPr>
          <w:lang w:eastAsia="zh-CN"/>
        </w:rPr>
      </w:pPr>
      <w:r w:rsidRPr="00F06651">
        <w:rPr>
          <w:lang w:eastAsia="zh-CN"/>
        </w:rPr>
        <w:t>In principle, RF</w:t>
      </w:r>
      <w:r w:rsidR="008A5C1C">
        <w:rPr>
          <w:lang w:eastAsia="zh-CN"/>
        </w:rPr>
        <w:t>-</w:t>
      </w:r>
      <w:r w:rsidRPr="00F06651">
        <w:rPr>
          <w:lang w:eastAsia="zh-CN"/>
        </w:rPr>
        <w:t xml:space="preserve">EMF levels decrease when a person moves further away from the source, (for example, a transmitting antenna). For each antenna, the RF </w:t>
      </w:r>
      <w:r w:rsidR="00E0336C">
        <w:rPr>
          <w:lang w:eastAsia="zh-CN"/>
        </w:rPr>
        <w:t xml:space="preserve">exposure </w:t>
      </w:r>
      <w:r w:rsidRPr="00F06651">
        <w:rPr>
          <w:lang w:eastAsia="zh-CN"/>
        </w:rPr>
        <w:t>level can be calculated based on its emission characteristics, or measured using appropriate methods (</w:t>
      </w:r>
      <w:r w:rsidR="0013599C">
        <w:rPr>
          <w:lang w:eastAsia="zh-CN"/>
        </w:rPr>
        <w:t xml:space="preserve">Recommendation </w:t>
      </w:r>
      <w:r w:rsidRPr="00F06651">
        <w:rPr>
          <w:lang w:eastAsia="zh-CN"/>
        </w:rPr>
        <w:t xml:space="preserve">ITU-T K.61: 2008; IEC 62232, 2011). The distance at which the RF </w:t>
      </w:r>
      <w:r w:rsidR="00E0336C">
        <w:rPr>
          <w:lang w:eastAsia="zh-CN"/>
        </w:rPr>
        <w:t xml:space="preserve">exposure </w:t>
      </w:r>
      <w:r w:rsidRPr="00F06651">
        <w:rPr>
          <w:lang w:eastAsia="zh-CN"/>
        </w:rPr>
        <w:t xml:space="preserve">level is always below the RF </w:t>
      </w:r>
      <w:r w:rsidR="00E0336C">
        <w:rPr>
          <w:lang w:eastAsia="zh-CN"/>
        </w:rPr>
        <w:t xml:space="preserve">exposure </w:t>
      </w:r>
      <w:r w:rsidRPr="00F06651">
        <w:rPr>
          <w:lang w:eastAsia="zh-CN"/>
        </w:rPr>
        <w:t>limit is called the ‘compliance distance’. Th</w:t>
      </w:r>
      <w:r w:rsidR="005D6E5B">
        <w:rPr>
          <w:lang w:eastAsia="zh-CN"/>
        </w:rPr>
        <w:t xml:space="preserve">e compliance </w:t>
      </w:r>
      <w:r w:rsidRPr="00F06651">
        <w:rPr>
          <w:lang w:eastAsia="zh-CN"/>
        </w:rPr>
        <w:t xml:space="preserve">distance may be based on </w:t>
      </w:r>
      <w:r w:rsidR="005D6E5B">
        <w:rPr>
          <w:lang w:eastAsia="zh-CN"/>
        </w:rPr>
        <w:t xml:space="preserve">a </w:t>
      </w:r>
      <w:r w:rsidR="00E0336C">
        <w:rPr>
          <w:lang w:eastAsia="zh-CN"/>
        </w:rPr>
        <w:t>field stre</w:t>
      </w:r>
      <w:r w:rsidR="005D6E5B">
        <w:rPr>
          <w:lang w:eastAsia="zh-CN"/>
        </w:rPr>
        <w:t xml:space="preserve">ngth, power density or </w:t>
      </w:r>
      <w:r w:rsidR="00BB1CAE">
        <w:rPr>
          <w:lang w:eastAsia="zh-CN"/>
        </w:rPr>
        <w:t>a s</w:t>
      </w:r>
      <w:r w:rsidRPr="00F06651">
        <w:rPr>
          <w:lang w:eastAsia="zh-CN"/>
        </w:rPr>
        <w:t xml:space="preserve">pecific </w:t>
      </w:r>
      <w:r w:rsidR="00BB1CAE">
        <w:rPr>
          <w:lang w:eastAsia="zh-CN"/>
        </w:rPr>
        <w:t>a</w:t>
      </w:r>
      <w:r w:rsidRPr="00F06651">
        <w:rPr>
          <w:lang w:eastAsia="zh-CN"/>
        </w:rPr>
        <w:t xml:space="preserve">bsorption </w:t>
      </w:r>
      <w:r w:rsidR="00BB1CAE">
        <w:rPr>
          <w:lang w:eastAsia="zh-CN"/>
        </w:rPr>
        <w:t>r</w:t>
      </w:r>
      <w:r w:rsidRPr="00F06651">
        <w:rPr>
          <w:lang w:eastAsia="zh-CN"/>
        </w:rPr>
        <w:t xml:space="preserve">ate (SAR) evaluation (for example, for </w:t>
      </w:r>
      <w:r w:rsidR="000029BA">
        <w:rPr>
          <w:lang w:eastAsia="zh-CN"/>
        </w:rPr>
        <w:t xml:space="preserve">small cells, </w:t>
      </w:r>
      <w:r w:rsidRPr="00F06651">
        <w:rPr>
          <w:lang w:eastAsia="zh-CN"/>
        </w:rPr>
        <w:t xml:space="preserve">portable devices and tablets). </w:t>
      </w:r>
      <w:r w:rsidR="00EB6B31" w:rsidRPr="00F06651">
        <w:rPr>
          <w:lang w:eastAsia="zh-CN"/>
        </w:rPr>
        <w:t>In either case</w:t>
      </w:r>
      <w:r w:rsidR="00BB1CAE">
        <w:rPr>
          <w:lang w:eastAsia="zh-CN"/>
        </w:rPr>
        <w:t>,</w:t>
      </w:r>
      <w:r w:rsidR="00EB6B31">
        <w:rPr>
          <w:lang w:eastAsia="zh-CN"/>
        </w:rPr>
        <w:t xml:space="preserve"> </w:t>
      </w:r>
      <w:r w:rsidR="00EB6B31" w:rsidRPr="00F06651">
        <w:rPr>
          <w:lang w:eastAsia="zh-CN"/>
        </w:rPr>
        <w:t>the</w:t>
      </w:r>
      <w:r w:rsidRPr="00F06651">
        <w:rPr>
          <w:lang w:eastAsia="zh-CN"/>
        </w:rPr>
        <w:t xml:space="preserve"> compliance distance incorporates a conservative safety margin. </w:t>
      </w:r>
    </w:p>
    <w:p w14:paraId="697C3846" w14:textId="77777777" w:rsidR="00AA662C" w:rsidRPr="00F06651" w:rsidRDefault="00AA662C" w:rsidP="00075050">
      <w:pPr>
        <w:rPr>
          <w:lang w:eastAsia="zh-CN"/>
        </w:rPr>
      </w:pPr>
      <w:r w:rsidRPr="00F06651">
        <w:rPr>
          <w:lang w:eastAsia="zh-CN"/>
        </w:rPr>
        <w:t>It is also possible to determine a three dimensional (3D) compliance boundary around an antenna. The region inside the compliance boundary is often called the ‘exclusion zone’.</w:t>
      </w:r>
    </w:p>
    <w:p w14:paraId="5D87D4E2" w14:textId="75E21BB1" w:rsidR="00AA662C" w:rsidRPr="00F06651" w:rsidRDefault="00AA662C" w:rsidP="00075050">
      <w:pPr>
        <w:rPr>
          <w:lang w:eastAsia="zh-CN"/>
        </w:rPr>
      </w:pPr>
      <w:r w:rsidRPr="00F06651">
        <w:rPr>
          <w:lang w:eastAsia="zh-CN"/>
        </w:rPr>
        <w:t xml:space="preserve">The advantage of defining a compliance boundary is that it specifies the compliance distance in all directions. </w:t>
      </w:r>
      <w:r w:rsidR="00ED56E5">
        <w:rPr>
          <w:lang w:eastAsia="zh-CN"/>
        </w:rPr>
        <w:t>B</w:t>
      </w:r>
      <w:r w:rsidRPr="00F06651">
        <w:rPr>
          <w:lang w:eastAsia="zh-CN"/>
        </w:rPr>
        <w:t xml:space="preserve">ase station antennas are </w:t>
      </w:r>
      <w:r w:rsidR="00ED56E5">
        <w:rPr>
          <w:lang w:eastAsia="zh-CN"/>
        </w:rPr>
        <w:t xml:space="preserve">usually </w:t>
      </w:r>
      <w:r w:rsidRPr="00F06651">
        <w:rPr>
          <w:lang w:eastAsia="zh-CN"/>
        </w:rPr>
        <w:t>directional and therefore the RF level behind the antenna is much smaller than in front of it.</w:t>
      </w:r>
    </w:p>
    <w:p w14:paraId="3EFEBAD1" w14:textId="77777777" w:rsidR="00AA662C" w:rsidRPr="00F06651" w:rsidRDefault="00AA662C" w:rsidP="00075050">
      <w:pPr>
        <w:pStyle w:val="Heading2"/>
        <w:rPr>
          <w:lang w:eastAsia="en-AU"/>
        </w:rPr>
      </w:pPr>
      <w:bookmarkStart w:id="80" w:name="_Toc397945048"/>
      <w:bookmarkStart w:id="81" w:name="_Toc400020869"/>
      <w:bookmarkStart w:id="82" w:name="_Toc400106137"/>
      <w:r>
        <w:rPr>
          <w:lang w:eastAsia="en-AU"/>
        </w:rPr>
        <w:t>4.5</w:t>
      </w:r>
      <w:r>
        <w:rPr>
          <w:lang w:eastAsia="en-AU"/>
        </w:rPr>
        <w:tab/>
      </w:r>
      <w:r w:rsidRPr="00F06651">
        <w:rPr>
          <w:lang w:eastAsia="en-AU"/>
        </w:rPr>
        <w:t>Typical antenna compliance zones for workers</w:t>
      </w:r>
      <w:bookmarkEnd w:id="80"/>
      <w:bookmarkEnd w:id="81"/>
      <w:bookmarkEnd w:id="82"/>
      <w:r w:rsidRPr="00F06651">
        <w:rPr>
          <w:lang w:eastAsia="en-AU"/>
        </w:rPr>
        <w:t xml:space="preserve"> </w:t>
      </w:r>
    </w:p>
    <w:p w14:paraId="4D51C029" w14:textId="77E18717" w:rsidR="00AA662C" w:rsidRPr="00F06651" w:rsidRDefault="00AA662C" w:rsidP="00075050">
      <w:pPr>
        <w:rPr>
          <w:lang w:eastAsia="zh-CN"/>
        </w:rPr>
      </w:pPr>
      <w:r w:rsidRPr="00F06651">
        <w:rPr>
          <w:lang w:eastAsia="zh-CN"/>
        </w:rPr>
        <w:t xml:space="preserve">The following typical types of antenna are commonly found at a base station or at antenna sites. A photo of the antenna(s) is given to illustrate each antenna as well as a diagram indicating the shape of the compliance boundary (shown in blue) for workers. Please note that while the locations described refer to areas directly in line with the antenna, the exclusion zone/compliance boundary in other directions (e.g. above, below, behind) may, though small (in the range of several </w:t>
      </w:r>
      <w:r w:rsidR="00E816EE" w:rsidRPr="00F06651">
        <w:rPr>
          <w:lang w:eastAsia="zh-CN"/>
        </w:rPr>
        <w:t>centimetres</w:t>
      </w:r>
      <w:r w:rsidRPr="00F06651">
        <w:rPr>
          <w:lang w:eastAsia="zh-CN"/>
        </w:rPr>
        <w:t xml:space="preserve">), exist. </w:t>
      </w:r>
      <w:r w:rsidR="00ED56E5">
        <w:rPr>
          <w:lang w:eastAsia="zh-CN"/>
        </w:rPr>
        <w:t>In addition</w:t>
      </w:r>
      <w:r w:rsidRPr="00F06651">
        <w:rPr>
          <w:lang w:eastAsia="zh-CN"/>
        </w:rPr>
        <w:t>, the exclusion for the public will be somewhat larger.</w:t>
      </w:r>
    </w:p>
    <w:p w14:paraId="5445D5BC" w14:textId="77777777" w:rsidR="00AA662C" w:rsidRPr="00F06651" w:rsidRDefault="00AA662C" w:rsidP="00AA662C">
      <w:pPr>
        <w:spacing w:after="200" w:line="276" w:lineRule="auto"/>
        <w:rPr>
          <w:rFonts w:eastAsia="SimSun"/>
          <w:szCs w:val="24"/>
          <w:lang w:eastAsia="zh-CN"/>
        </w:rPr>
      </w:pPr>
    </w:p>
    <w:tbl>
      <w:tblPr>
        <w:tblStyle w:val="TableGrid1"/>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7"/>
        <w:gridCol w:w="4813"/>
      </w:tblGrid>
      <w:tr w:rsidR="00AA662C" w:rsidRPr="00F06651" w14:paraId="72050385" w14:textId="77777777" w:rsidTr="003C2262">
        <w:trPr>
          <w:cantSplit/>
        </w:trPr>
        <w:tc>
          <w:tcPr>
            <w:tcW w:w="4300" w:type="dxa"/>
            <w:tcBorders>
              <w:top w:val="single" w:sz="4" w:space="0" w:color="auto"/>
              <w:left w:val="single" w:sz="4" w:space="0" w:color="auto"/>
            </w:tcBorders>
          </w:tcPr>
          <w:p w14:paraId="16257C45" w14:textId="220873AB" w:rsidR="00AA662C" w:rsidRPr="0013599C" w:rsidRDefault="00AA662C" w:rsidP="003C2262">
            <w:pPr>
              <w:tabs>
                <w:tab w:val="clear" w:pos="794"/>
                <w:tab w:val="clear" w:pos="1191"/>
                <w:tab w:val="clear" w:pos="1588"/>
                <w:tab w:val="clear" w:pos="1985"/>
              </w:tabs>
              <w:rPr>
                <w:rFonts w:asciiTheme="majorBidi" w:hAnsiTheme="majorBidi" w:cstheme="majorBidi"/>
                <w:b/>
                <w:bCs/>
                <w:szCs w:val="24"/>
                <w:lang w:eastAsia="zh-CN"/>
              </w:rPr>
            </w:pPr>
            <w:r w:rsidRPr="0013599C">
              <w:rPr>
                <w:rFonts w:asciiTheme="majorBidi" w:hAnsiTheme="majorBidi" w:cstheme="majorBidi"/>
                <w:b/>
                <w:bCs/>
                <w:szCs w:val="24"/>
                <w:lang w:eastAsia="zh-CN"/>
              </w:rPr>
              <w:lastRenderedPageBreak/>
              <w:t>Omnidirectional coverage</w:t>
            </w:r>
          </w:p>
        </w:tc>
        <w:tc>
          <w:tcPr>
            <w:tcW w:w="4845" w:type="dxa"/>
            <w:tcBorders>
              <w:top w:val="single" w:sz="4" w:space="0" w:color="auto"/>
              <w:right w:val="single" w:sz="4" w:space="0" w:color="auto"/>
            </w:tcBorders>
          </w:tcPr>
          <w:p w14:paraId="371D16EB" w14:textId="77777777" w:rsidR="00AA662C" w:rsidRPr="00F06651" w:rsidRDefault="00AA662C" w:rsidP="003C2262">
            <w:pPr>
              <w:tabs>
                <w:tab w:val="clear" w:pos="794"/>
                <w:tab w:val="clear" w:pos="1191"/>
                <w:tab w:val="clear" w:pos="1588"/>
                <w:tab w:val="clear" w:pos="1985"/>
              </w:tabs>
              <w:rPr>
                <w:rFonts w:asciiTheme="majorBidi" w:hAnsiTheme="majorBidi" w:cstheme="majorBidi"/>
                <w:noProof/>
                <w:lang w:eastAsia="en-GB"/>
              </w:rPr>
            </w:pPr>
          </w:p>
        </w:tc>
      </w:tr>
      <w:tr w:rsidR="00AA662C" w:rsidRPr="00F06651" w14:paraId="132F97C5" w14:textId="77777777" w:rsidTr="003C2262">
        <w:trPr>
          <w:cantSplit/>
        </w:trPr>
        <w:tc>
          <w:tcPr>
            <w:tcW w:w="4300" w:type="dxa"/>
            <w:tcBorders>
              <w:left w:val="single" w:sz="4" w:space="0" w:color="auto"/>
              <w:bottom w:val="single" w:sz="4" w:space="0" w:color="auto"/>
            </w:tcBorders>
          </w:tcPr>
          <w:p w14:paraId="4564F077" w14:textId="77777777"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szCs w:val="24"/>
                <w:lang w:eastAsia="zh-CN"/>
              </w:rPr>
              <w:t>These antennas radiate RF energy equally in all directions in the horizontal plane. The antenna input power is typically 10 – 80 watts, and the compliance boundary for a worker typically extends 0.1 – 1.5 meters from the antenna.</w:t>
            </w:r>
          </w:p>
        </w:tc>
        <w:tc>
          <w:tcPr>
            <w:tcW w:w="4845" w:type="dxa"/>
            <w:tcBorders>
              <w:bottom w:val="single" w:sz="4" w:space="0" w:color="auto"/>
              <w:right w:val="single" w:sz="4" w:space="0" w:color="auto"/>
            </w:tcBorders>
          </w:tcPr>
          <w:p w14:paraId="4C69D57A" w14:textId="77777777"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noProof/>
                <w:lang w:val="en-US" w:eastAsia="zh-CN"/>
              </w:rPr>
              <w:drawing>
                <wp:inline distT="0" distB="0" distL="0" distR="0" wp14:anchorId="058B25C1" wp14:editId="46341B87">
                  <wp:extent cx="2686493" cy="1459254"/>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687629" cy="1459871"/>
                          </a:xfrm>
                          <a:prstGeom prst="rect">
                            <a:avLst/>
                          </a:prstGeom>
                        </pic:spPr>
                      </pic:pic>
                    </a:graphicData>
                  </a:graphic>
                </wp:inline>
              </w:drawing>
            </w:r>
          </w:p>
        </w:tc>
      </w:tr>
    </w:tbl>
    <w:p w14:paraId="23DE0A01" w14:textId="77777777" w:rsidR="00AA662C" w:rsidRPr="00F06651" w:rsidRDefault="00AA662C" w:rsidP="00AA662C">
      <w:pPr>
        <w:tabs>
          <w:tab w:val="clear" w:pos="794"/>
          <w:tab w:val="clear" w:pos="1191"/>
          <w:tab w:val="clear" w:pos="1588"/>
          <w:tab w:val="clear" w:pos="1985"/>
          <w:tab w:val="left" w:pos="5009"/>
        </w:tabs>
        <w:spacing w:after="200" w:line="276" w:lineRule="auto"/>
        <w:ind w:left="709"/>
        <w:rPr>
          <w:rFonts w:ascii="Calibri" w:eastAsia="SimSun" w:hAnsi="Calibri" w:cs="Arial"/>
          <w:noProof/>
          <w:sz w:val="22"/>
          <w:szCs w:val="22"/>
          <w:lang w:eastAsia="en-GB"/>
        </w:rPr>
      </w:pPr>
    </w:p>
    <w:p w14:paraId="18328D00" w14:textId="77777777" w:rsidR="00AA662C" w:rsidRPr="00F06651" w:rsidRDefault="00AA662C" w:rsidP="00AA662C">
      <w:pPr>
        <w:rPr>
          <w:noProof/>
          <w:lang w:eastAsia="en-GB"/>
        </w:rPr>
      </w:pPr>
      <w:r w:rsidRPr="00F06651">
        <w:rPr>
          <w:noProof/>
          <w:lang w:eastAsia="en-GB"/>
        </w:rPr>
        <w:br w:type="page"/>
      </w:r>
    </w:p>
    <w:p w14:paraId="6657FB29" w14:textId="77777777" w:rsidR="00AA662C" w:rsidRPr="00F06651" w:rsidRDefault="00AA662C" w:rsidP="00AA662C">
      <w:pPr>
        <w:tabs>
          <w:tab w:val="clear" w:pos="794"/>
          <w:tab w:val="clear" w:pos="1191"/>
          <w:tab w:val="clear" w:pos="1588"/>
          <w:tab w:val="clear" w:pos="1985"/>
          <w:tab w:val="left" w:pos="5009"/>
        </w:tabs>
        <w:spacing w:after="200" w:line="276" w:lineRule="auto"/>
        <w:ind w:left="709"/>
        <w:rPr>
          <w:rFonts w:ascii="Calibri" w:eastAsia="SimSun" w:hAnsi="Calibri" w:cs="Arial"/>
          <w:noProof/>
          <w:sz w:val="22"/>
          <w:szCs w:val="22"/>
          <w:lang w:eastAsia="en-GB"/>
        </w:rPr>
      </w:pPr>
    </w:p>
    <w:tbl>
      <w:tblPr>
        <w:tblStyle w:val="TableGrid1"/>
        <w:tblW w:w="0" w:type="auto"/>
        <w:tblInd w:w="709" w:type="dxa"/>
        <w:tblLook w:val="04A0" w:firstRow="1" w:lastRow="0" w:firstColumn="1" w:lastColumn="0" w:noHBand="0" w:noVBand="1"/>
      </w:tblPr>
      <w:tblGrid>
        <w:gridCol w:w="4094"/>
        <w:gridCol w:w="4826"/>
      </w:tblGrid>
      <w:tr w:rsidR="00AA662C" w:rsidRPr="00F06651" w14:paraId="2D9F91BA" w14:textId="77777777" w:rsidTr="003C2262">
        <w:trPr>
          <w:cantSplit/>
        </w:trPr>
        <w:tc>
          <w:tcPr>
            <w:tcW w:w="4300" w:type="dxa"/>
            <w:tcBorders>
              <w:top w:val="single" w:sz="4" w:space="0" w:color="auto"/>
              <w:left w:val="single" w:sz="4" w:space="0" w:color="auto"/>
              <w:bottom w:val="nil"/>
              <w:right w:val="nil"/>
            </w:tcBorders>
          </w:tcPr>
          <w:p w14:paraId="584B3CA5" w14:textId="77777777" w:rsidR="00AA662C" w:rsidRPr="0013599C" w:rsidRDefault="00AA662C" w:rsidP="003C2262">
            <w:pPr>
              <w:tabs>
                <w:tab w:val="clear" w:pos="794"/>
                <w:tab w:val="clear" w:pos="1191"/>
                <w:tab w:val="clear" w:pos="1588"/>
                <w:tab w:val="clear" w:pos="1985"/>
              </w:tabs>
              <w:rPr>
                <w:rFonts w:asciiTheme="majorBidi" w:hAnsiTheme="majorBidi" w:cstheme="majorBidi"/>
                <w:b/>
                <w:bCs/>
                <w:szCs w:val="24"/>
                <w:lang w:eastAsia="zh-CN"/>
              </w:rPr>
            </w:pPr>
            <w:r w:rsidRPr="0013599C">
              <w:rPr>
                <w:rFonts w:asciiTheme="majorBidi" w:hAnsiTheme="majorBidi" w:cstheme="majorBidi"/>
                <w:b/>
                <w:bCs/>
                <w:szCs w:val="24"/>
                <w:lang w:eastAsia="zh-CN"/>
              </w:rPr>
              <w:t>Sector coverage</w:t>
            </w:r>
          </w:p>
        </w:tc>
        <w:tc>
          <w:tcPr>
            <w:tcW w:w="4845" w:type="dxa"/>
            <w:tcBorders>
              <w:top w:val="single" w:sz="4" w:space="0" w:color="auto"/>
              <w:left w:val="nil"/>
              <w:bottom w:val="nil"/>
              <w:right w:val="single" w:sz="4" w:space="0" w:color="auto"/>
            </w:tcBorders>
          </w:tcPr>
          <w:p w14:paraId="59625D3B" w14:textId="77777777" w:rsidR="00AA662C" w:rsidRPr="00F06651" w:rsidRDefault="00AA662C" w:rsidP="003C2262">
            <w:pPr>
              <w:tabs>
                <w:tab w:val="clear" w:pos="794"/>
                <w:tab w:val="clear" w:pos="1191"/>
                <w:tab w:val="clear" w:pos="1588"/>
                <w:tab w:val="clear" w:pos="1985"/>
              </w:tabs>
              <w:rPr>
                <w:rFonts w:asciiTheme="majorBidi" w:hAnsiTheme="majorBidi" w:cstheme="majorBidi"/>
                <w:noProof/>
                <w:lang w:eastAsia="en-GB"/>
              </w:rPr>
            </w:pPr>
          </w:p>
        </w:tc>
      </w:tr>
      <w:tr w:rsidR="00AA662C" w:rsidRPr="00F06651" w14:paraId="08D8799C" w14:textId="77777777" w:rsidTr="003C2262">
        <w:trPr>
          <w:cantSplit/>
        </w:trPr>
        <w:tc>
          <w:tcPr>
            <w:tcW w:w="4300" w:type="dxa"/>
            <w:tcBorders>
              <w:top w:val="nil"/>
              <w:left w:val="single" w:sz="4" w:space="0" w:color="auto"/>
              <w:bottom w:val="single" w:sz="4" w:space="0" w:color="auto"/>
              <w:right w:val="nil"/>
            </w:tcBorders>
          </w:tcPr>
          <w:p w14:paraId="5DA6589F" w14:textId="394A39C5"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szCs w:val="24"/>
                <w:lang w:eastAsia="zh-CN"/>
              </w:rPr>
              <w:t xml:space="preserve">These antennas restrict most of their radiated RF energy to a narrow angular sector in their forward direction (typically 60 to 120 degrees in the horizontal plane, typically 8 to 14 degrees in the vertical plane). The photograph shows </w:t>
            </w:r>
            <w:r w:rsidR="00ED56E5">
              <w:rPr>
                <w:rFonts w:asciiTheme="majorBidi" w:hAnsiTheme="majorBidi" w:cstheme="majorBidi"/>
                <w:szCs w:val="24"/>
                <w:lang w:eastAsia="zh-CN"/>
              </w:rPr>
              <w:t>two</w:t>
            </w:r>
            <w:r w:rsidRPr="00F06651">
              <w:rPr>
                <w:rFonts w:asciiTheme="majorBidi" w:hAnsiTheme="majorBidi" w:cstheme="majorBidi"/>
                <w:szCs w:val="24"/>
                <w:lang w:eastAsia="zh-CN"/>
              </w:rPr>
              <w:t xml:space="preserve"> sector antennas, one mounted above the other. The antenna input power is typically 10 – 80 watts, and the compliance boundary for a worker extends typically 0.2 – 3 meters from the front face of the antenna.</w:t>
            </w:r>
          </w:p>
          <w:p w14:paraId="51A2B39D" w14:textId="0E397686"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szCs w:val="24"/>
                <w:lang w:eastAsia="zh-CN"/>
              </w:rPr>
              <w:t>In the diagram</w:t>
            </w:r>
            <w:r w:rsidR="00E816EE">
              <w:rPr>
                <w:rFonts w:asciiTheme="majorBidi" w:hAnsiTheme="majorBidi" w:cstheme="majorBidi"/>
                <w:szCs w:val="24"/>
                <w:lang w:eastAsia="zh-CN"/>
              </w:rPr>
              <w:t>,</w:t>
            </w:r>
            <w:r w:rsidRPr="00F06651">
              <w:rPr>
                <w:rFonts w:asciiTheme="majorBidi" w:hAnsiTheme="majorBidi" w:cstheme="majorBidi"/>
                <w:szCs w:val="24"/>
                <w:lang w:eastAsia="zh-CN"/>
              </w:rPr>
              <w:t xml:space="preserve"> the compliance zone is shown conservatively as covering the full height of the antenna</w:t>
            </w:r>
            <w:r w:rsidR="00E816EE">
              <w:rPr>
                <w:rFonts w:asciiTheme="majorBidi" w:hAnsiTheme="majorBidi" w:cstheme="majorBidi"/>
                <w:szCs w:val="24"/>
                <w:lang w:eastAsia="zh-CN"/>
              </w:rPr>
              <w:t>;</w:t>
            </w:r>
            <w:r w:rsidRPr="00F06651">
              <w:rPr>
                <w:rFonts w:asciiTheme="majorBidi" w:hAnsiTheme="majorBidi" w:cstheme="majorBidi"/>
                <w:szCs w:val="24"/>
                <w:lang w:eastAsia="zh-CN"/>
              </w:rPr>
              <w:t xml:space="preserve"> however, due to the vertical antenna pattern </w:t>
            </w:r>
            <w:r w:rsidR="00E816EE" w:rsidRPr="00F06651">
              <w:rPr>
                <w:rFonts w:asciiTheme="majorBidi" w:hAnsiTheme="majorBidi" w:cstheme="majorBidi"/>
                <w:szCs w:val="24"/>
                <w:lang w:eastAsia="zh-CN"/>
              </w:rPr>
              <w:t>beam width</w:t>
            </w:r>
            <w:r w:rsidRPr="00F06651">
              <w:rPr>
                <w:rFonts w:asciiTheme="majorBidi" w:hAnsiTheme="majorBidi" w:cstheme="majorBidi"/>
                <w:szCs w:val="24"/>
                <w:lang w:eastAsia="zh-CN"/>
              </w:rPr>
              <w:t xml:space="preserve"> the exclusion zone boundary may be narrower in the vertical direction. </w:t>
            </w:r>
          </w:p>
          <w:p w14:paraId="69D15E6E" w14:textId="77777777"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szCs w:val="24"/>
                <w:lang w:eastAsia="zh-CN"/>
              </w:rPr>
              <w:t>Where antennas are mounted on the exterior wall of a building</w:t>
            </w:r>
            <w:r w:rsidR="00E816EE">
              <w:rPr>
                <w:rFonts w:asciiTheme="majorBidi" w:hAnsiTheme="majorBidi" w:cstheme="majorBidi"/>
                <w:szCs w:val="24"/>
                <w:lang w:eastAsia="zh-CN"/>
              </w:rPr>
              <w:t>,</w:t>
            </w:r>
            <w:r w:rsidRPr="00F06651">
              <w:rPr>
                <w:rFonts w:asciiTheme="majorBidi" w:hAnsiTheme="majorBidi" w:cstheme="majorBidi"/>
                <w:szCs w:val="24"/>
                <w:lang w:eastAsia="zh-CN"/>
              </w:rPr>
              <w:t xml:space="preserve"> there is typically no compliance zone within the building to the rear of the antenna.</w:t>
            </w:r>
          </w:p>
        </w:tc>
        <w:tc>
          <w:tcPr>
            <w:tcW w:w="4845" w:type="dxa"/>
            <w:tcBorders>
              <w:top w:val="nil"/>
              <w:left w:val="nil"/>
              <w:bottom w:val="single" w:sz="4" w:space="0" w:color="auto"/>
              <w:right w:val="single" w:sz="4" w:space="0" w:color="auto"/>
            </w:tcBorders>
          </w:tcPr>
          <w:p w14:paraId="20209E58" w14:textId="77777777"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noProof/>
                <w:lang w:val="en-US" w:eastAsia="zh-CN"/>
              </w:rPr>
              <w:drawing>
                <wp:inline distT="0" distB="0" distL="0" distR="0" wp14:anchorId="5810EFA5" wp14:editId="1CC67279">
                  <wp:extent cx="2782571" cy="1382232"/>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780342" cy="1381125"/>
                          </a:xfrm>
                          <a:prstGeom prst="rect">
                            <a:avLst/>
                          </a:prstGeom>
                        </pic:spPr>
                      </pic:pic>
                    </a:graphicData>
                  </a:graphic>
                </wp:inline>
              </w:drawing>
            </w:r>
          </w:p>
          <w:p w14:paraId="1E675D87" w14:textId="77777777"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p>
          <w:p w14:paraId="7E7BC96C" w14:textId="77777777"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p>
          <w:p w14:paraId="6DEB3C14" w14:textId="77777777"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p>
          <w:p w14:paraId="746CB13D" w14:textId="77777777"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noProof/>
                <w:szCs w:val="24"/>
                <w:lang w:val="en-US" w:eastAsia="zh-CN"/>
              </w:rPr>
              <w:drawing>
                <wp:inline distT="0" distB="0" distL="0" distR="0" wp14:anchorId="04224428" wp14:editId="319D6EDA">
                  <wp:extent cx="2015765" cy="1133475"/>
                  <wp:effectExtent l="19050" t="0" r="35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2015765" cy="1133475"/>
                          </a:xfrm>
                          <a:prstGeom prst="rect">
                            <a:avLst/>
                          </a:prstGeom>
                          <a:noFill/>
                          <a:ln w="9525">
                            <a:noFill/>
                            <a:miter lim="800000"/>
                            <a:headEnd/>
                            <a:tailEnd/>
                          </a:ln>
                        </pic:spPr>
                      </pic:pic>
                    </a:graphicData>
                  </a:graphic>
                </wp:inline>
              </w:drawing>
            </w:r>
          </w:p>
        </w:tc>
      </w:tr>
    </w:tbl>
    <w:p w14:paraId="73BE004E" w14:textId="77777777" w:rsidR="00AA662C" w:rsidRPr="00F06651" w:rsidRDefault="00AA662C" w:rsidP="00AA662C">
      <w:pPr>
        <w:tabs>
          <w:tab w:val="clear" w:pos="794"/>
          <w:tab w:val="clear" w:pos="1191"/>
          <w:tab w:val="clear" w:pos="1588"/>
          <w:tab w:val="clear" w:pos="1985"/>
        </w:tabs>
        <w:ind w:left="709"/>
        <w:rPr>
          <w:rFonts w:eastAsia="SimSun"/>
          <w:sz w:val="22"/>
          <w:szCs w:val="24"/>
          <w:lang w:eastAsia="zh-CN"/>
        </w:rPr>
      </w:pPr>
    </w:p>
    <w:tbl>
      <w:tblPr>
        <w:tblStyle w:val="TableGrid1"/>
        <w:tblW w:w="0" w:type="auto"/>
        <w:tblInd w:w="709" w:type="dxa"/>
        <w:tblBorders>
          <w:insideH w:val="none" w:sz="0" w:space="0" w:color="auto"/>
          <w:insideV w:val="none" w:sz="0" w:space="0" w:color="auto"/>
        </w:tblBorders>
        <w:tblLook w:val="04A0" w:firstRow="1" w:lastRow="0" w:firstColumn="1" w:lastColumn="0" w:noHBand="0" w:noVBand="1"/>
      </w:tblPr>
      <w:tblGrid>
        <w:gridCol w:w="4109"/>
        <w:gridCol w:w="4811"/>
      </w:tblGrid>
      <w:tr w:rsidR="00AA662C" w:rsidRPr="00F06651" w14:paraId="5D2E216A" w14:textId="77777777" w:rsidTr="003C2262">
        <w:tc>
          <w:tcPr>
            <w:tcW w:w="4300" w:type="dxa"/>
          </w:tcPr>
          <w:p w14:paraId="5B1E97BC" w14:textId="77777777" w:rsidR="00AA662C" w:rsidRPr="0013599C" w:rsidRDefault="00AA662C" w:rsidP="003C2262">
            <w:pPr>
              <w:tabs>
                <w:tab w:val="clear" w:pos="794"/>
                <w:tab w:val="clear" w:pos="1191"/>
                <w:tab w:val="clear" w:pos="1588"/>
                <w:tab w:val="clear" w:pos="1985"/>
              </w:tabs>
              <w:rPr>
                <w:rFonts w:asciiTheme="majorBidi" w:hAnsiTheme="majorBidi" w:cstheme="majorBidi"/>
                <w:b/>
                <w:bCs/>
                <w:szCs w:val="24"/>
                <w:lang w:eastAsia="zh-CN"/>
              </w:rPr>
            </w:pPr>
            <w:r w:rsidRPr="0013599C">
              <w:rPr>
                <w:rFonts w:asciiTheme="majorBidi" w:hAnsiTheme="majorBidi" w:cstheme="majorBidi"/>
                <w:b/>
                <w:bCs/>
                <w:szCs w:val="24"/>
                <w:lang w:eastAsia="zh-CN"/>
              </w:rPr>
              <w:t xml:space="preserve">Complex or shared base stations </w:t>
            </w:r>
          </w:p>
        </w:tc>
        <w:tc>
          <w:tcPr>
            <w:tcW w:w="4845" w:type="dxa"/>
          </w:tcPr>
          <w:p w14:paraId="3FAFFA9D" w14:textId="77777777" w:rsidR="00AA662C" w:rsidRPr="00F06651" w:rsidRDefault="00AA662C" w:rsidP="003C2262">
            <w:pPr>
              <w:tabs>
                <w:tab w:val="clear" w:pos="794"/>
                <w:tab w:val="clear" w:pos="1191"/>
                <w:tab w:val="clear" w:pos="1588"/>
                <w:tab w:val="clear" w:pos="1985"/>
              </w:tabs>
              <w:rPr>
                <w:noProof/>
                <w:lang w:eastAsia="en-GB"/>
              </w:rPr>
            </w:pPr>
          </w:p>
        </w:tc>
      </w:tr>
      <w:tr w:rsidR="00AA662C" w:rsidRPr="00F06651" w14:paraId="0D1FF29A" w14:textId="77777777" w:rsidTr="003C2262">
        <w:tc>
          <w:tcPr>
            <w:tcW w:w="4300" w:type="dxa"/>
          </w:tcPr>
          <w:p w14:paraId="4DC4CB2E" w14:textId="73886DFA"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szCs w:val="24"/>
                <w:lang w:eastAsia="zh-CN"/>
              </w:rPr>
              <w:t xml:space="preserve">Antennas are often grouped together on masts. The combination illustrated here is that of an omnidirectional antenna mounted above a cluster of </w:t>
            </w:r>
            <w:r w:rsidR="00E816EE">
              <w:rPr>
                <w:rFonts w:asciiTheme="majorBidi" w:hAnsiTheme="majorBidi" w:cstheme="majorBidi"/>
                <w:szCs w:val="24"/>
                <w:lang w:eastAsia="zh-CN"/>
              </w:rPr>
              <w:t>three</w:t>
            </w:r>
            <w:r w:rsidRPr="00F06651">
              <w:rPr>
                <w:rFonts w:asciiTheme="majorBidi" w:hAnsiTheme="majorBidi" w:cstheme="majorBidi"/>
                <w:szCs w:val="24"/>
                <w:lang w:eastAsia="zh-CN"/>
              </w:rPr>
              <w:t xml:space="preserve"> sector antennas. In the case that multiple antennas are present on a site, whenever an additional antenna is installed, the compliance boundary of each antenna should be evaluated again, taking into account the additional exposure of the newly installed antenna.</w:t>
            </w:r>
          </w:p>
          <w:p w14:paraId="11B37E3A" w14:textId="77777777" w:rsidR="00AA662C" w:rsidRPr="00F06651" w:rsidRDefault="00AA662C" w:rsidP="003C2262">
            <w:pPr>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szCs w:val="24"/>
                <w:lang w:eastAsia="zh-CN"/>
              </w:rPr>
              <w:t>In the diagram</w:t>
            </w:r>
            <w:r w:rsidR="00E816EE">
              <w:rPr>
                <w:rFonts w:asciiTheme="majorBidi" w:hAnsiTheme="majorBidi" w:cstheme="majorBidi"/>
                <w:szCs w:val="24"/>
                <w:lang w:eastAsia="zh-CN"/>
              </w:rPr>
              <w:t>,</w:t>
            </w:r>
            <w:r w:rsidRPr="00F06651">
              <w:rPr>
                <w:rFonts w:asciiTheme="majorBidi" w:hAnsiTheme="majorBidi" w:cstheme="majorBidi"/>
                <w:szCs w:val="24"/>
                <w:lang w:eastAsia="zh-CN"/>
              </w:rPr>
              <w:t xml:space="preserve"> the compliance boundaries are shown independently for each antenna. For antennas that are close together or operate at high powers</w:t>
            </w:r>
            <w:r w:rsidR="00E816EE">
              <w:rPr>
                <w:rFonts w:asciiTheme="majorBidi" w:hAnsiTheme="majorBidi" w:cstheme="majorBidi"/>
                <w:szCs w:val="24"/>
                <w:lang w:eastAsia="zh-CN"/>
              </w:rPr>
              <w:t>,</w:t>
            </w:r>
            <w:r w:rsidRPr="00F06651">
              <w:rPr>
                <w:rFonts w:asciiTheme="majorBidi" w:hAnsiTheme="majorBidi" w:cstheme="majorBidi"/>
                <w:szCs w:val="24"/>
                <w:lang w:eastAsia="zh-CN"/>
              </w:rPr>
              <w:t xml:space="preserve"> the zones may overlap leading to large exclusion zones than for the individual antennas.</w:t>
            </w:r>
          </w:p>
        </w:tc>
        <w:tc>
          <w:tcPr>
            <w:tcW w:w="4845" w:type="dxa"/>
          </w:tcPr>
          <w:p w14:paraId="2DFE3ABB" w14:textId="77777777" w:rsidR="00AA662C" w:rsidRPr="00F06651" w:rsidRDefault="00AA662C" w:rsidP="003C2262">
            <w:pPr>
              <w:tabs>
                <w:tab w:val="clear" w:pos="794"/>
                <w:tab w:val="clear" w:pos="1191"/>
                <w:tab w:val="clear" w:pos="1588"/>
                <w:tab w:val="clear" w:pos="1985"/>
              </w:tabs>
              <w:rPr>
                <w:szCs w:val="24"/>
                <w:lang w:eastAsia="zh-CN"/>
              </w:rPr>
            </w:pPr>
            <w:r w:rsidRPr="00F06651">
              <w:rPr>
                <w:noProof/>
                <w:lang w:val="en-US" w:eastAsia="zh-CN"/>
              </w:rPr>
              <w:drawing>
                <wp:inline distT="0" distB="0" distL="0" distR="0" wp14:anchorId="7FB25D22" wp14:editId="78ABED8A">
                  <wp:extent cx="2640709" cy="1431851"/>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639703" cy="1431305"/>
                          </a:xfrm>
                          <a:prstGeom prst="rect">
                            <a:avLst/>
                          </a:prstGeom>
                        </pic:spPr>
                      </pic:pic>
                    </a:graphicData>
                  </a:graphic>
                </wp:inline>
              </w:drawing>
            </w:r>
          </w:p>
        </w:tc>
      </w:tr>
    </w:tbl>
    <w:p w14:paraId="1DAAA92E" w14:textId="77777777" w:rsidR="00AA662C" w:rsidRPr="00F06651" w:rsidRDefault="00AA662C" w:rsidP="00075050">
      <w:pPr>
        <w:keepNext/>
        <w:keepLines/>
        <w:tabs>
          <w:tab w:val="clear" w:pos="794"/>
          <w:tab w:val="clear" w:pos="1191"/>
          <w:tab w:val="clear" w:pos="1588"/>
          <w:tab w:val="clear" w:pos="1985"/>
        </w:tabs>
        <w:ind w:left="709"/>
        <w:rPr>
          <w:rFonts w:eastAsia="SimSun"/>
          <w:sz w:val="22"/>
          <w:szCs w:val="24"/>
          <w:lang w:eastAsia="zh-CN"/>
        </w:rPr>
      </w:pPr>
    </w:p>
    <w:tbl>
      <w:tblPr>
        <w:tblStyle w:val="TableGrid1"/>
        <w:tblW w:w="0" w:type="auto"/>
        <w:tblInd w:w="709" w:type="dxa"/>
        <w:tblBorders>
          <w:insideH w:val="none" w:sz="0" w:space="0" w:color="auto"/>
          <w:insideV w:val="none" w:sz="0" w:space="0" w:color="auto"/>
        </w:tblBorders>
        <w:tblLook w:val="04A0" w:firstRow="1" w:lastRow="0" w:firstColumn="1" w:lastColumn="0" w:noHBand="0" w:noVBand="1"/>
      </w:tblPr>
      <w:tblGrid>
        <w:gridCol w:w="4096"/>
        <w:gridCol w:w="4824"/>
      </w:tblGrid>
      <w:tr w:rsidR="00AA662C" w:rsidRPr="00F06651" w14:paraId="26589C68" w14:textId="77777777" w:rsidTr="003C2262">
        <w:tc>
          <w:tcPr>
            <w:tcW w:w="4300" w:type="dxa"/>
          </w:tcPr>
          <w:p w14:paraId="37291C22" w14:textId="77777777" w:rsidR="00AA662C" w:rsidRPr="0013599C" w:rsidRDefault="00AA662C" w:rsidP="00075050">
            <w:pPr>
              <w:keepNext/>
              <w:keepLines/>
              <w:tabs>
                <w:tab w:val="clear" w:pos="794"/>
                <w:tab w:val="clear" w:pos="1191"/>
                <w:tab w:val="clear" w:pos="1588"/>
                <w:tab w:val="clear" w:pos="1985"/>
              </w:tabs>
              <w:rPr>
                <w:rFonts w:asciiTheme="majorBidi" w:hAnsiTheme="majorBidi" w:cstheme="majorBidi"/>
                <w:b/>
                <w:bCs/>
                <w:szCs w:val="24"/>
                <w:lang w:eastAsia="zh-CN"/>
              </w:rPr>
            </w:pPr>
            <w:r w:rsidRPr="0013599C">
              <w:rPr>
                <w:rFonts w:asciiTheme="majorBidi" w:hAnsiTheme="majorBidi" w:cstheme="majorBidi"/>
                <w:b/>
                <w:bCs/>
                <w:szCs w:val="24"/>
                <w:lang w:eastAsia="zh-CN"/>
              </w:rPr>
              <w:t>Small cells</w:t>
            </w:r>
          </w:p>
        </w:tc>
        <w:tc>
          <w:tcPr>
            <w:tcW w:w="4845" w:type="dxa"/>
          </w:tcPr>
          <w:p w14:paraId="3F2916B3" w14:textId="77777777" w:rsidR="00AA662C" w:rsidRPr="00F06651" w:rsidRDefault="00AA662C" w:rsidP="00075050">
            <w:pPr>
              <w:keepNext/>
              <w:keepLines/>
              <w:tabs>
                <w:tab w:val="clear" w:pos="794"/>
                <w:tab w:val="clear" w:pos="1191"/>
                <w:tab w:val="clear" w:pos="1588"/>
                <w:tab w:val="clear" w:pos="1985"/>
              </w:tabs>
              <w:rPr>
                <w:rFonts w:asciiTheme="majorBidi" w:hAnsiTheme="majorBidi" w:cstheme="majorBidi"/>
                <w:noProof/>
                <w:lang w:eastAsia="en-GB"/>
              </w:rPr>
            </w:pPr>
          </w:p>
        </w:tc>
      </w:tr>
      <w:tr w:rsidR="00AA662C" w:rsidRPr="00F06651" w14:paraId="66B8BB95" w14:textId="77777777" w:rsidTr="003C2262">
        <w:tc>
          <w:tcPr>
            <w:tcW w:w="4300" w:type="dxa"/>
          </w:tcPr>
          <w:p w14:paraId="30751148" w14:textId="53F0139E" w:rsidR="00AA662C" w:rsidRPr="00F06651" w:rsidRDefault="00AA662C" w:rsidP="00075050">
            <w:pPr>
              <w:keepNext/>
              <w:keepLines/>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szCs w:val="24"/>
                <w:lang w:eastAsia="zh-CN"/>
              </w:rPr>
              <w:t xml:space="preserve">Small cells are low-powered radio access nodes that operate in licensed or unlicensed spectrum that have a range of a few meters up to 1 to 2 </w:t>
            </w:r>
            <w:r w:rsidR="0010036F" w:rsidRPr="00F06651">
              <w:rPr>
                <w:rFonts w:asciiTheme="majorBidi" w:hAnsiTheme="majorBidi" w:cstheme="majorBidi"/>
                <w:szCs w:val="24"/>
                <w:lang w:eastAsia="zh-CN"/>
              </w:rPr>
              <w:t>kilometres</w:t>
            </w:r>
            <w:r w:rsidRPr="00F06651">
              <w:rPr>
                <w:rFonts w:asciiTheme="majorBidi" w:hAnsiTheme="majorBidi" w:cstheme="majorBidi"/>
                <w:szCs w:val="24"/>
                <w:lang w:eastAsia="zh-CN"/>
              </w:rPr>
              <w:t xml:space="preserve">. Small cells can be used to provide in-building or outdoor wireless service. They are often used to increase the network capacity and coverage in localized areas. </w:t>
            </w:r>
          </w:p>
          <w:p w14:paraId="1624C649" w14:textId="77777777" w:rsidR="00AA662C" w:rsidRPr="00F06651" w:rsidRDefault="00AA662C" w:rsidP="00075050">
            <w:pPr>
              <w:keepNext/>
              <w:keepLines/>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szCs w:val="24"/>
                <w:lang w:eastAsia="zh-CN"/>
              </w:rPr>
              <w:t>As these are low powered devices</w:t>
            </w:r>
            <w:r w:rsidR="0010036F">
              <w:rPr>
                <w:rFonts w:asciiTheme="majorBidi" w:hAnsiTheme="majorBidi" w:cstheme="majorBidi"/>
                <w:szCs w:val="24"/>
                <w:lang w:eastAsia="zh-CN"/>
              </w:rPr>
              <w:t>,</w:t>
            </w:r>
            <w:r w:rsidRPr="00F06651">
              <w:rPr>
                <w:rFonts w:asciiTheme="majorBidi" w:hAnsiTheme="majorBidi" w:cstheme="majorBidi"/>
                <w:szCs w:val="24"/>
                <w:lang w:eastAsia="zh-CN"/>
              </w:rPr>
              <w:t xml:space="preserve"> compliance distances are very small and may be incorporated within the antenna cover. For some sites</w:t>
            </w:r>
            <w:r w:rsidR="0010036F">
              <w:rPr>
                <w:rFonts w:asciiTheme="majorBidi" w:hAnsiTheme="majorBidi" w:cstheme="majorBidi"/>
                <w:szCs w:val="24"/>
                <w:lang w:eastAsia="zh-CN"/>
              </w:rPr>
              <w:t>,</w:t>
            </w:r>
            <w:r w:rsidRPr="00F06651">
              <w:rPr>
                <w:rFonts w:asciiTheme="majorBidi" w:hAnsiTheme="majorBidi" w:cstheme="majorBidi"/>
                <w:szCs w:val="24"/>
                <w:lang w:eastAsia="zh-CN"/>
              </w:rPr>
              <w:t xml:space="preserve"> installation recommendations may be provided to ensure compliance with limits.</w:t>
            </w:r>
          </w:p>
        </w:tc>
        <w:tc>
          <w:tcPr>
            <w:tcW w:w="4845" w:type="dxa"/>
          </w:tcPr>
          <w:p w14:paraId="1BD78ACE" w14:textId="77777777" w:rsidR="00AA662C" w:rsidRPr="00F06651" w:rsidRDefault="00AA662C" w:rsidP="00075050">
            <w:pPr>
              <w:keepNext/>
              <w:keepLines/>
              <w:tabs>
                <w:tab w:val="clear" w:pos="794"/>
                <w:tab w:val="clear" w:pos="1191"/>
                <w:tab w:val="clear" w:pos="1588"/>
                <w:tab w:val="clear" w:pos="1985"/>
              </w:tabs>
              <w:rPr>
                <w:rFonts w:asciiTheme="majorBidi" w:hAnsiTheme="majorBidi" w:cstheme="majorBidi"/>
                <w:noProof/>
                <w:highlight w:val="yellow"/>
                <w:lang w:eastAsia="en-GB"/>
              </w:rPr>
            </w:pPr>
            <w:r w:rsidRPr="00F06651">
              <w:rPr>
                <w:rFonts w:asciiTheme="majorBidi" w:hAnsiTheme="majorBidi" w:cstheme="majorBidi"/>
                <w:noProof/>
                <w:lang w:val="en-US" w:eastAsia="zh-CN"/>
              </w:rPr>
              <w:drawing>
                <wp:inline distT="0" distB="0" distL="0" distR="0" wp14:anchorId="76C4C1A3" wp14:editId="754589D1">
                  <wp:extent cx="2785314" cy="1809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8991" cy="1812139"/>
                          </a:xfrm>
                          <a:prstGeom prst="rect">
                            <a:avLst/>
                          </a:prstGeom>
                          <a:noFill/>
                        </pic:spPr>
                      </pic:pic>
                    </a:graphicData>
                  </a:graphic>
                </wp:inline>
              </w:drawing>
            </w:r>
          </w:p>
          <w:p w14:paraId="36F4C1BA" w14:textId="77777777" w:rsidR="00AA662C" w:rsidRPr="00F06651" w:rsidRDefault="00AA662C" w:rsidP="00075050">
            <w:pPr>
              <w:keepNext/>
              <w:keepLines/>
              <w:tabs>
                <w:tab w:val="clear" w:pos="794"/>
                <w:tab w:val="clear" w:pos="1191"/>
                <w:tab w:val="clear" w:pos="1588"/>
                <w:tab w:val="clear" w:pos="1985"/>
              </w:tabs>
              <w:rPr>
                <w:rFonts w:asciiTheme="majorBidi" w:hAnsiTheme="majorBidi" w:cstheme="majorBidi"/>
                <w:szCs w:val="24"/>
                <w:lang w:eastAsia="zh-CN"/>
              </w:rPr>
            </w:pPr>
          </w:p>
        </w:tc>
      </w:tr>
    </w:tbl>
    <w:p w14:paraId="58013A1D" w14:textId="77777777" w:rsidR="00AA662C" w:rsidRPr="00F06651" w:rsidRDefault="00AA662C" w:rsidP="00AA662C">
      <w:pPr>
        <w:tabs>
          <w:tab w:val="clear" w:pos="794"/>
          <w:tab w:val="clear" w:pos="1191"/>
          <w:tab w:val="clear" w:pos="1588"/>
          <w:tab w:val="clear" w:pos="1985"/>
        </w:tabs>
        <w:ind w:left="709"/>
        <w:rPr>
          <w:rFonts w:eastAsia="SimSun"/>
          <w:sz w:val="22"/>
          <w:szCs w:val="24"/>
          <w:lang w:eastAsia="zh-CN"/>
        </w:rPr>
      </w:pPr>
    </w:p>
    <w:tbl>
      <w:tblPr>
        <w:tblStyle w:val="TableGrid1"/>
        <w:tblW w:w="0" w:type="auto"/>
        <w:tblInd w:w="709" w:type="dxa"/>
        <w:tblBorders>
          <w:insideH w:val="none" w:sz="0" w:space="0" w:color="auto"/>
          <w:insideV w:val="none" w:sz="0" w:space="0" w:color="auto"/>
        </w:tblBorders>
        <w:tblLook w:val="04A0" w:firstRow="1" w:lastRow="0" w:firstColumn="1" w:lastColumn="0" w:noHBand="0" w:noVBand="1"/>
      </w:tblPr>
      <w:tblGrid>
        <w:gridCol w:w="3486"/>
        <w:gridCol w:w="4866"/>
      </w:tblGrid>
      <w:tr w:rsidR="00AA662C" w:rsidRPr="00F06651" w14:paraId="70326B51" w14:textId="77777777" w:rsidTr="003C2262">
        <w:trPr>
          <w:cantSplit/>
        </w:trPr>
        <w:tc>
          <w:tcPr>
            <w:tcW w:w="3486" w:type="dxa"/>
          </w:tcPr>
          <w:p w14:paraId="421F5575" w14:textId="77777777" w:rsidR="00AA662C" w:rsidRPr="0013599C" w:rsidRDefault="00AA662C" w:rsidP="00BE191B">
            <w:pPr>
              <w:keepNext/>
              <w:keepLines/>
              <w:tabs>
                <w:tab w:val="clear" w:pos="794"/>
                <w:tab w:val="clear" w:pos="1191"/>
                <w:tab w:val="clear" w:pos="1588"/>
                <w:tab w:val="clear" w:pos="1985"/>
              </w:tabs>
              <w:rPr>
                <w:rFonts w:asciiTheme="majorBidi" w:hAnsiTheme="majorBidi" w:cstheme="majorBidi"/>
                <w:b/>
                <w:bCs/>
                <w:szCs w:val="24"/>
                <w:lang w:eastAsia="zh-CN"/>
              </w:rPr>
            </w:pPr>
            <w:r w:rsidRPr="0013599C">
              <w:rPr>
                <w:rFonts w:asciiTheme="majorBidi" w:hAnsiTheme="majorBidi" w:cstheme="majorBidi"/>
                <w:b/>
                <w:bCs/>
                <w:szCs w:val="24"/>
                <w:lang w:eastAsia="zh-CN"/>
              </w:rPr>
              <w:lastRenderedPageBreak/>
              <w:t>Radio relay (also known as fixed point-to-point radio link)</w:t>
            </w:r>
          </w:p>
        </w:tc>
        <w:tc>
          <w:tcPr>
            <w:tcW w:w="4866" w:type="dxa"/>
          </w:tcPr>
          <w:p w14:paraId="471E4B0F" w14:textId="77777777" w:rsidR="00AA662C" w:rsidRPr="00F06651" w:rsidRDefault="00AA662C" w:rsidP="00BE191B">
            <w:pPr>
              <w:keepNext/>
              <w:keepLines/>
              <w:tabs>
                <w:tab w:val="clear" w:pos="794"/>
                <w:tab w:val="clear" w:pos="1191"/>
                <w:tab w:val="clear" w:pos="1588"/>
                <w:tab w:val="clear" w:pos="1985"/>
              </w:tabs>
              <w:rPr>
                <w:noProof/>
                <w:lang w:eastAsia="en-GB"/>
              </w:rPr>
            </w:pPr>
          </w:p>
        </w:tc>
      </w:tr>
      <w:tr w:rsidR="00AA662C" w:rsidRPr="00F06651" w14:paraId="7D826EB3" w14:textId="77777777" w:rsidTr="003C2262">
        <w:trPr>
          <w:cantSplit/>
        </w:trPr>
        <w:tc>
          <w:tcPr>
            <w:tcW w:w="3486" w:type="dxa"/>
          </w:tcPr>
          <w:p w14:paraId="594BFFB4" w14:textId="77777777" w:rsidR="00AA662C" w:rsidRPr="00F06651" w:rsidRDefault="00AA662C" w:rsidP="00BE191B">
            <w:pPr>
              <w:keepNext/>
              <w:keepLines/>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szCs w:val="24"/>
                <w:lang w:eastAsia="zh-CN"/>
              </w:rPr>
              <w:t>Radio relays operate in frequency bands that typically range from 1.4 GHz up to 86 GHz and beyond. The most common antenna type is a parabolic dish antenna characterized by high directivity and low radiation outside the main beam direction. Radio relays generally operate in line of sight and are therefore installed so that the radio path is inaccessible by the general public.</w:t>
            </w:r>
          </w:p>
          <w:p w14:paraId="539D9134" w14:textId="77777777" w:rsidR="00AA662C" w:rsidRPr="00F06651" w:rsidRDefault="00AA662C" w:rsidP="00BE191B">
            <w:pPr>
              <w:keepNext/>
              <w:keepLines/>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szCs w:val="24"/>
                <w:lang w:eastAsia="zh-CN"/>
              </w:rPr>
              <w:t>The distance in front of the dish antenna to the EMF exposure compliance boundary can range from centimetres to metres depending on the transmitter power used, antenna dimensions and gain.</w:t>
            </w:r>
            <w:r w:rsidR="0049069D">
              <w:rPr>
                <w:rFonts w:asciiTheme="majorBidi" w:hAnsiTheme="majorBidi" w:cstheme="majorBidi"/>
                <w:szCs w:val="24"/>
                <w:lang w:eastAsia="zh-CN"/>
              </w:rPr>
              <w:t xml:space="preserve"> </w:t>
            </w:r>
            <w:r w:rsidRPr="00F06651">
              <w:rPr>
                <w:rFonts w:asciiTheme="majorBidi" w:hAnsiTheme="majorBidi" w:cstheme="majorBidi"/>
                <w:szCs w:val="24"/>
                <w:lang w:eastAsia="zh-CN"/>
              </w:rPr>
              <w:t>It is recommended that the compliance distance be assessed either by measurement or calculation as part of the site safety assessment.</w:t>
            </w:r>
            <w:r w:rsidR="0049069D">
              <w:rPr>
                <w:rFonts w:asciiTheme="majorBidi" w:hAnsiTheme="majorBidi" w:cstheme="majorBidi"/>
                <w:szCs w:val="24"/>
                <w:lang w:eastAsia="zh-CN"/>
              </w:rPr>
              <w:t xml:space="preserve"> </w:t>
            </w:r>
            <w:r w:rsidRPr="00F06651">
              <w:rPr>
                <w:rFonts w:asciiTheme="majorBidi" w:hAnsiTheme="majorBidi" w:cstheme="majorBidi"/>
                <w:szCs w:val="24"/>
                <w:lang w:eastAsia="zh-CN"/>
              </w:rPr>
              <w:t xml:space="preserve"> </w:t>
            </w:r>
          </w:p>
          <w:p w14:paraId="5ED8588C" w14:textId="77777777" w:rsidR="00AA662C" w:rsidRPr="00F06651" w:rsidRDefault="00AA662C" w:rsidP="00BE191B">
            <w:pPr>
              <w:keepNext/>
              <w:keepLines/>
              <w:tabs>
                <w:tab w:val="clear" w:pos="794"/>
                <w:tab w:val="clear" w:pos="1191"/>
                <w:tab w:val="clear" w:pos="1588"/>
                <w:tab w:val="clear" w:pos="1985"/>
              </w:tabs>
              <w:rPr>
                <w:rFonts w:asciiTheme="majorBidi" w:hAnsiTheme="majorBidi" w:cstheme="majorBidi"/>
                <w:szCs w:val="24"/>
                <w:lang w:eastAsia="zh-CN"/>
              </w:rPr>
            </w:pPr>
            <w:r w:rsidRPr="00F06651">
              <w:rPr>
                <w:rFonts w:asciiTheme="majorBidi" w:hAnsiTheme="majorBidi" w:cstheme="majorBidi"/>
                <w:szCs w:val="24"/>
                <w:lang w:eastAsia="zh-CN"/>
              </w:rPr>
              <w:t>If the antenna is accessible, workers should never step in front of the dish up to the EMF exposure boundary to ensure compliance with the safety guidelines, and also because it will interrupt radio link.</w:t>
            </w:r>
          </w:p>
        </w:tc>
        <w:tc>
          <w:tcPr>
            <w:tcW w:w="4866" w:type="dxa"/>
          </w:tcPr>
          <w:p w14:paraId="2CC9D8D7" w14:textId="77777777" w:rsidR="00AA662C" w:rsidRDefault="00AA662C" w:rsidP="00BE191B">
            <w:pPr>
              <w:keepNext/>
              <w:keepLines/>
              <w:tabs>
                <w:tab w:val="clear" w:pos="794"/>
                <w:tab w:val="clear" w:pos="1191"/>
                <w:tab w:val="clear" w:pos="1588"/>
                <w:tab w:val="clear" w:pos="1985"/>
              </w:tabs>
              <w:rPr>
                <w:szCs w:val="24"/>
                <w:lang w:eastAsia="zh-CN"/>
              </w:rPr>
            </w:pPr>
            <w:r w:rsidRPr="00F06651">
              <w:rPr>
                <w:noProof/>
                <w:lang w:val="en-US" w:eastAsia="zh-CN"/>
              </w:rPr>
              <w:drawing>
                <wp:inline distT="0" distB="0" distL="0" distR="0" wp14:anchorId="07C4FDA8" wp14:editId="2B43CAB5">
                  <wp:extent cx="2948763" cy="1743616"/>
                  <wp:effectExtent l="0" t="0" r="444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2949359" cy="1743969"/>
                          </a:xfrm>
                          <a:prstGeom prst="rect">
                            <a:avLst/>
                          </a:prstGeom>
                        </pic:spPr>
                      </pic:pic>
                    </a:graphicData>
                  </a:graphic>
                </wp:inline>
              </w:drawing>
            </w:r>
          </w:p>
          <w:p w14:paraId="56906BBF" w14:textId="77777777" w:rsidR="0091790D" w:rsidRPr="00F06651" w:rsidRDefault="001F125D" w:rsidP="001F125D">
            <w:pPr>
              <w:keepNext/>
              <w:keepLines/>
              <w:tabs>
                <w:tab w:val="clear" w:pos="794"/>
                <w:tab w:val="clear" w:pos="1191"/>
                <w:tab w:val="clear" w:pos="1588"/>
                <w:tab w:val="clear" w:pos="1985"/>
              </w:tabs>
              <w:jc w:val="center"/>
              <w:rPr>
                <w:szCs w:val="24"/>
                <w:lang w:eastAsia="zh-CN"/>
              </w:rPr>
            </w:pPr>
            <w:r w:rsidRPr="00675310">
              <w:rPr>
                <w:noProof/>
                <w:szCs w:val="24"/>
                <w:lang w:val="en-US" w:eastAsia="zh-CN"/>
              </w:rPr>
              <w:drawing>
                <wp:inline distT="0" distB="0" distL="0" distR="0" wp14:anchorId="62C44FD4" wp14:editId="20375C32">
                  <wp:extent cx="1924050" cy="255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10625-00003.jpg"/>
                          <pic:cNvPicPr/>
                        </pic:nvPicPr>
                        <pic:blipFill rotWithShape="1">
                          <a:blip r:embed="rId43" cstate="print">
                            <a:extLst>
                              <a:ext uri="{BEBA8EAE-BF5A-486C-A8C5-ECC9F3942E4B}">
                                <a14:imgProps xmlns:a14="http://schemas.microsoft.com/office/drawing/2010/main">
                                  <a14:imgLayer r:embed="rId44">
                                    <a14:imgEffect>
                                      <a14:brightnessContrast bright="30000"/>
                                    </a14:imgEffect>
                                  </a14:imgLayer>
                                </a14:imgProps>
                              </a:ext>
                              <a:ext uri="{28A0092B-C50C-407E-A947-70E740481C1C}">
                                <a14:useLocalDpi xmlns:a14="http://schemas.microsoft.com/office/drawing/2010/main" val="0"/>
                              </a:ext>
                            </a:extLst>
                          </a:blip>
                          <a:srcRect l="36081" r="32504" b="43693"/>
                          <a:stretch/>
                        </pic:blipFill>
                        <pic:spPr bwMode="auto">
                          <a:xfrm>
                            <a:off x="0" y="0"/>
                            <a:ext cx="1922853" cy="25511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FDDD3F3" w14:textId="77777777" w:rsidR="00AA0248" w:rsidRDefault="00AA0248" w:rsidP="0010036F">
      <w:pPr>
        <w:pStyle w:val="Figurelegend"/>
        <w:keepNext w:val="0"/>
        <w:keepLines w:val="0"/>
        <w:rPr>
          <w:lang w:eastAsia="zh-CN"/>
        </w:rPr>
      </w:pPr>
    </w:p>
    <w:p w14:paraId="4C18BBC3" w14:textId="3C2D81B8" w:rsidR="0010036F" w:rsidRPr="00F06651" w:rsidRDefault="0010036F" w:rsidP="0010036F">
      <w:pPr>
        <w:pStyle w:val="Figurelegend"/>
        <w:keepNext w:val="0"/>
        <w:keepLines w:val="0"/>
        <w:rPr>
          <w:lang w:eastAsia="zh-CN"/>
        </w:rPr>
      </w:pPr>
      <w:r w:rsidRPr="00F06651">
        <w:rPr>
          <w:lang w:eastAsia="zh-CN"/>
        </w:rPr>
        <w:t xml:space="preserve">Source: </w:t>
      </w:r>
      <w:r w:rsidR="00AA0248">
        <w:rPr>
          <w:lang w:eastAsia="zh-CN"/>
        </w:rPr>
        <w:t>A</w:t>
      </w:r>
      <w:r w:rsidRPr="00F06651">
        <w:rPr>
          <w:lang w:eastAsia="zh-CN"/>
        </w:rPr>
        <w:t>dapted from GSMA and MMF (2008)</w:t>
      </w:r>
      <w:r>
        <w:rPr>
          <w:lang w:eastAsia="zh-CN"/>
        </w:rPr>
        <w:t>.</w:t>
      </w:r>
    </w:p>
    <w:p w14:paraId="6BE8014D" w14:textId="77777777" w:rsidR="00075050" w:rsidRDefault="00AA662C" w:rsidP="0049069D">
      <w:pPr>
        <w:pStyle w:val="FigureNoTitle"/>
        <w:rPr>
          <w:lang w:eastAsia="zh-CN"/>
        </w:rPr>
      </w:pPr>
      <w:r w:rsidRPr="00F06651">
        <w:rPr>
          <w:lang w:eastAsia="zh-CN"/>
        </w:rPr>
        <w:t xml:space="preserve">Figure </w:t>
      </w:r>
      <w:bookmarkStart w:id="83" w:name="f_example_compliance_zone"/>
      <w:bookmarkEnd w:id="83"/>
      <w:r w:rsidR="00C37C93">
        <w:rPr>
          <w:noProof/>
          <w:lang w:eastAsia="zh-CN"/>
        </w:rPr>
        <w:t>13</w:t>
      </w:r>
      <w:r w:rsidRPr="00F06651">
        <w:rPr>
          <w:lang w:eastAsia="zh-CN"/>
        </w:rPr>
        <w:t xml:space="preserve"> </w:t>
      </w:r>
      <w:r w:rsidR="0049069D">
        <w:rPr>
          <w:lang w:eastAsia="en-AU"/>
        </w:rPr>
        <w:t>–</w:t>
      </w:r>
      <w:r w:rsidRPr="00F06651">
        <w:rPr>
          <w:lang w:eastAsia="zh-CN"/>
        </w:rPr>
        <w:t xml:space="preserve"> Examples of typical worker compliance zones for a range of antenna installations used for mobile networks</w:t>
      </w:r>
    </w:p>
    <w:p w14:paraId="57AD431D" w14:textId="77777777" w:rsidR="00AA662C" w:rsidRPr="00F06651" w:rsidRDefault="00AA662C" w:rsidP="00075050">
      <w:pPr>
        <w:rPr>
          <w:iCs/>
          <w:color w:val="000000"/>
          <w:lang w:eastAsia="zh-CN"/>
        </w:rPr>
      </w:pPr>
      <w:r w:rsidRPr="00F06651">
        <w:rPr>
          <w:lang w:eastAsia="zh-CN"/>
        </w:rPr>
        <w:t xml:space="preserve">The shape of the compliance boundary in the diagrams </w:t>
      </w:r>
      <w:r w:rsidR="005D6E5B">
        <w:rPr>
          <w:lang w:eastAsia="zh-CN"/>
        </w:rPr>
        <w:t>above</w:t>
      </w:r>
      <w:r w:rsidR="005D6E5B" w:rsidRPr="00F06651">
        <w:rPr>
          <w:lang w:eastAsia="zh-CN"/>
        </w:rPr>
        <w:t xml:space="preserve"> </w:t>
      </w:r>
      <w:r w:rsidRPr="00F06651">
        <w:rPr>
          <w:lang w:eastAsia="zh-CN"/>
        </w:rPr>
        <w:t>is very simplified and tends to overestimate the likely real exposure levels as it does not take account of the antenna radiation pattern. In practice, simplified or more complex diagrams may be used depending on regulatory or national practice approaches. It is important that the zones are clear to persons who may be using the diagrams.</w:t>
      </w:r>
    </w:p>
    <w:p w14:paraId="2CF482DB" w14:textId="0FE9AF58" w:rsidR="00AA662C" w:rsidRPr="00F06651" w:rsidRDefault="00AA662C" w:rsidP="00075050">
      <w:pPr>
        <w:pStyle w:val="Heading2"/>
        <w:rPr>
          <w:lang w:eastAsia="en-AU"/>
        </w:rPr>
      </w:pPr>
      <w:bookmarkStart w:id="84" w:name="_Toc397945049"/>
      <w:bookmarkStart w:id="85" w:name="_Toc400020870"/>
      <w:bookmarkStart w:id="86" w:name="_Toc400106138"/>
      <w:r>
        <w:rPr>
          <w:lang w:eastAsia="en-AU"/>
        </w:rPr>
        <w:t>4.6</w:t>
      </w:r>
      <w:r>
        <w:rPr>
          <w:lang w:eastAsia="en-AU"/>
        </w:rPr>
        <w:tab/>
      </w:r>
      <w:r w:rsidRPr="00F06651">
        <w:rPr>
          <w:lang w:eastAsia="en-AU"/>
        </w:rPr>
        <w:t xml:space="preserve">Compliance for </w:t>
      </w:r>
      <w:r w:rsidR="00A17BA9">
        <w:rPr>
          <w:lang w:eastAsia="en-AU"/>
        </w:rPr>
        <w:t>w</w:t>
      </w:r>
      <w:r w:rsidRPr="00F06651">
        <w:rPr>
          <w:lang w:eastAsia="en-AU"/>
        </w:rPr>
        <w:t xml:space="preserve">ireless </w:t>
      </w:r>
      <w:r w:rsidR="00A17BA9">
        <w:rPr>
          <w:lang w:eastAsia="en-AU"/>
        </w:rPr>
        <w:t>d</w:t>
      </w:r>
      <w:r w:rsidRPr="00F06651">
        <w:rPr>
          <w:lang w:eastAsia="en-AU"/>
        </w:rPr>
        <w:t>evices</w:t>
      </w:r>
      <w:bookmarkEnd w:id="84"/>
      <w:bookmarkEnd w:id="85"/>
      <w:bookmarkEnd w:id="86"/>
    </w:p>
    <w:p w14:paraId="3B4CE4CC" w14:textId="6E1AAB6A" w:rsidR="00AA662C" w:rsidRPr="00F06651" w:rsidRDefault="00AA662C" w:rsidP="00075050">
      <w:pPr>
        <w:rPr>
          <w:lang w:eastAsia="zh-CN"/>
        </w:rPr>
      </w:pPr>
      <w:r w:rsidRPr="004C135C">
        <w:rPr>
          <w:lang w:eastAsia="zh-CN"/>
        </w:rPr>
        <w:t>Low power</w:t>
      </w:r>
      <w:r w:rsidRPr="00F06651">
        <w:rPr>
          <w:lang w:eastAsia="zh-CN"/>
        </w:rPr>
        <w:t xml:space="preserve"> wireless devices include mobile phones, tablets, wireless sensors and supporting infrastructure such as wireless access points. </w:t>
      </w:r>
      <w:r w:rsidR="004C135C">
        <w:rPr>
          <w:lang w:eastAsia="zh-CN"/>
        </w:rPr>
        <w:t>In general</w:t>
      </w:r>
      <w:r w:rsidRPr="00F06651">
        <w:rPr>
          <w:lang w:eastAsia="zh-CN"/>
        </w:rPr>
        <w:t xml:space="preserve">, these devices will be designed and tested for compliance by the manufacturer and no further action is required other than follow any installation or usage instructions provided by the manufacturer. The IEC has </w:t>
      </w:r>
      <w:r w:rsidR="006E3E43">
        <w:rPr>
          <w:lang w:eastAsia="zh-CN"/>
        </w:rPr>
        <w:t>published</w:t>
      </w:r>
      <w:r w:rsidRPr="00F06651">
        <w:rPr>
          <w:lang w:eastAsia="zh-CN"/>
        </w:rPr>
        <w:t xml:space="preserve"> technical standards </w:t>
      </w:r>
      <w:r w:rsidR="006E3E43">
        <w:rPr>
          <w:lang w:eastAsia="zh-CN"/>
        </w:rPr>
        <w:t>to assess</w:t>
      </w:r>
      <w:r w:rsidRPr="00F06651">
        <w:rPr>
          <w:lang w:eastAsia="zh-CN"/>
        </w:rPr>
        <w:t xml:space="preserve"> compliance of devices intended for use close to the ear (IEC 62209-1, 2005) and close to the </w:t>
      </w:r>
      <w:r w:rsidRPr="00F06651">
        <w:rPr>
          <w:lang w:eastAsia="zh-CN"/>
        </w:rPr>
        <w:lastRenderedPageBreak/>
        <w:t>body (IEC 62209-2, 2010). The device manufacturer should provide a copy of the compliance assessment and documentation on request. However, national requirements may differ.</w:t>
      </w:r>
    </w:p>
    <w:p w14:paraId="0FF24CC4" w14:textId="745C0C24" w:rsidR="00AA662C" w:rsidRPr="00F06651" w:rsidRDefault="00AA662C" w:rsidP="00075050">
      <w:pPr>
        <w:pStyle w:val="Heading2"/>
        <w:rPr>
          <w:lang w:eastAsia="en-AU"/>
        </w:rPr>
      </w:pPr>
      <w:bookmarkStart w:id="87" w:name="_Toc397945050"/>
      <w:bookmarkStart w:id="88" w:name="_Toc400020871"/>
      <w:bookmarkStart w:id="89" w:name="_Toc400106139"/>
      <w:r>
        <w:rPr>
          <w:lang w:eastAsia="en-AU"/>
        </w:rPr>
        <w:t>4.7</w:t>
      </w:r>
      <w:r>
        <w:rPr>
          <w:lang w:eastAsia="en-AU"/>
        </w:rPr>
        <w:tab/>
      </w:r>
      <w:r w:rsidRPr="00F06651">
        <w:rPr>
          <w:lang w:eastAsia="en-AU"/>
        </w:rPr>
        <w:t xml:space="preserve">EMF </w:t>
      </w:r>
      <w:r w:rsidR="0004511A">
        <w:rPr>
          <w:lang w:eastAsia="en-AU"/>
        </w:rPr>
        <w:t>c</w:t>
      </w:r>
      <w:r w:rsidRPr="00F06651">
        <w:rPr>
          <w:lang w:eastAsia="en-AU"/>
        </w:rPr>
        <w:t xml:space="preserve">ompliance </w:t>
      </w:r>
      <w:r w:rsidR="0004511A">
        <w:rPr>
          <w:lang w:eastAsia="en-AU"/>
        </w:rPr>
        <w:t>f</w:t>
      </w:r>
      <w:r w:rsidRPr="00F06651">
        <w:rPr>
          <w:lang w:eastAsia="en-AU"/>
        </w:rPr>
        <w:t>ramework</w:t>
      </w:r>
      <w:bookmarkEnd w:id="87"/>
      <w:bookmarkEnd w:id="88"/>
      <w:bookmarkEnd w:id="89"/>
    </w:p>
    <w:p w14:paraId="5D77A8D5" w14:textId="77777777" w:rsidR="00AA662C" w:rsidRPr="00F06651" w:rsidRDefault="00AA662C" w:rsidP="00075050">
      <w:pPr>
        <w:rPr>
          <w:lang w:eastAsia="zh-CN"/>
        </w:rPr>
      </w:pPr>
      <w:r w:rsidRPr="006E00A8">
        <w:rPr>
          <w:lang w:eastAsia="zh-CN"/>
        </w:rPr>
        <w:t>A global EMF</w:t>
      </w:r>
      <w:r w:rsidRPr="00F06651">
        <w:rPr>
          <w:lang w:eastAsia="zh-CN"/>
        </w:rPr>
        <w:t xml:space="preserve"> compliance framework is important in order to ensure the protection of the public and </w:t>
      </w:r>
      <w:r w:rsidR="006E00A8">
        <w:rPr>
          <w:lang w:eastAsia="zh-CN"/>
        </w:rPr>
        <w:t xml:space="preserve">the </w:t>
      </w:r>
      <w:r w:rsidRPr="00F06651">
        <w:rPr>
          <w:lang w:eastAsia="zh-CN"/>
        </w:rPr>
        <w:t>workers from the adverse effects of EMF.</w:t>
      </w:r>
      <w:r w:rsidR="0049069D">
        <w:rPr>
          <w:lang w:eastAsia="zh-CN"/>
        </w:rPr>
        <w:t xml:space="preserve"> </w:t>
      </w:r>
    </w:p>
    <w:p w14:paraId="5294E4F8" w14:textId="77777777" w:rsidR="00AA662C" w:rsidRPr="00F06651" w:rsidRDefault="00AA662C" w:rsidP="00075050">
      <w:pPr>
        <w:rPr>
          <w:lang w:eastAsia="zh-CN"/>
        </w:rPr>
      </w:pPr>
      <w:r w:rsidRPr="00F06651">
        <w:rPr>
          <w:lang w:eastAsia="zh-CN"/>
        </w:rPr>
        <w:t>At the request of the International Advisory Committee (IAC) to the WHO’s International EMF Project, the WHO has developed a Model Act and a Model Regulation that provide the legal framework to ensure this protection at the national level. An important aspect of this model legislation is that it uses international standards that limit EMF exposure of people (that is the ICNIRP exposure guidelines) and international standards for assessing the emissions of EMF from devices (IEC and IEEE device emission standards).</w:t>
      </w:r>
    </w:p>
    <w:p w14:paraId="3520E605" w14:textId="77777777" w:rsidR="00AA662C" w:rsidRPr="00F06651" w:rsidRDefault="00AA662C" w:rsidP="00075050">
      <w:pPr>
        <w:rPr>
          <w:lang w:eastAsia="zh-CN"/>
        </w:rPr>
      </w:pPr>
      <w:r w:rsidRPr="00F06651">
        <w:rPr>
          <w:lang w:eastAsia="zh-CN"/>
        </w:rPr>
        <w:t>This Model Legislation follows the widely accepted practice among lawmakers of setting out an enabling Act that permits the responsible Minister or National Regulatory Agency to subsequently issue Regulations, Statutory Orders or Ordinances as appropriate, so as to deal with specific areas of concern. It comprises three main elements:</w:t>
      </w:r>
    </w:p>
    <w:p w14:paraId="4A25252F" w14:textId="77777777" w:rsidR="00AA662C" w:rsidRPr="00F06651" w:rsidRDefault="00075050" w:rsidP="00075050">
      <w:pPr>
        <w:pStyle w:val="enumlev1"/>
      </w:pPr>
      <w:r>
        <w:t>•</w:t>
      </w:r>
      <w:r>
        <w:tab/>
      </w:r>
      <w:r w:rsidR="00AA662C" w:rsidRPr="00F06651">
        <w:t xml:space="preserve">A Model Act to enable an Authority to initiate regulations and statutes that limit the exposure of its population to electromagnetic fields in the frequency range </w:t>
      </w:r>
      <w:r w:rsidR="00CC77E3">
        <w:t xml:space="preserve">from </w:t>
      </w:r>
      <w:r w:rsidR="00AA662C" w:rsidRPr="00F06651">
        <w:t>0 Hz to 300 GHz.</w:t>
      </w:r>
    </w:p>
    <w:p w14:paraId="0E104DF9" w14:textId="77777777" w:rsidR="00AA662C" w:rsidRPr="00F06651" w:rsidRDefault="00075050" w:rsidP="00075050">
      <w:pPr>
        <w:pStyle w:val="enumlev1"/>
      </w:pPr>
      <w:r>
        <w:t>•</w:t>
      </w:r>
      <w:r>
        <w:tab/>
      </w:r>
      <w:r w:rsidR="00AA662C" w:rsidRPr="00F06651">
        <w:t>A Model Regulation which sets out in detail the scope, application, exposure limits and compliance procedures that are permitted under the Act, in order to limit people’s exposure to electromagnetic fields (EMF).</w:t>
      </w:r>
    </w:p>
    <w:p w14:paraId="228C1164" w14:textId="77777777" w:rsidR="00AA662C" w:rsidRPr="00F06651" w:rsidRDefault="00075050" w:rsidP="00075050">
      <w:pPr>
        <w:pStyle w:val="enumlev1"/>
      </w:pPr>
      <w:r>
        <w:t>•</w:t>
      </w:r>
      <w:r>
        <w:tab/>
      </w:r>
      <w:r w:rsidR="00AA662C" w:rsidRPr="00F06651">
        <w:t>An Explanatory Memorandum describing the approach to the Act and its Regulations.</w:t>
      </w:r>
    </w:p>
    <w:p w14:paraId="7283EB30" w14:textId="6E0E79B2" w:rsidR="00AA662C" w:rsidRPr="00F06651" w:rsidRDefault="00AA662C" w:rsidP="00075050">
      <w:pPr>
        <w:rPr>
          <w:sz w:val="22"/>
          <w:lang w:eastAsia="zh-CN"/>
        </w:rPr>
      </w:pPr>
      <w:r w:rsidRPr="00F06651">
        <w:rPr>
          <w:lang w:eastAsia="zh-CN"/>
        </w:rPr>
        <w:t xml:space="preserve">The WHO model legislation for EMF is available from the EMF Project </w:t>
      </w:r>
      <w:r w:rsidR="00CC77E3">
        <w:rPr>
          <w:lang w:eastAsia="zh-CN"/>
        </w:rPr>
        <w:t>w</w:t>
      </w:r>
      <w:r w:rsidRPr="00F06651">
        <w:rPr>
          <w:lang w:eastAsia="zh-CN"/>
        </w:rPr>
        <w:t>ebsite</w:t>
      </w:r>
      <w:r w:rsidRPr="00F06651">
        <w:rPr>
          <w:vertAlign w:val="superscript"/>
          <w:lang w:eastAsia="zh-CN"/>
        </w:rPr>
        <w:footnoteReference w:id="14"/>
      </w:r>
      <w:r w:rsidRPr="00F06651">
        <w:rPr>
          <w:lang w:eastAsia="zh-CN"/>
        </w:rPr>
        <w:t xml:space="preserve">. </w:t>
      </w:r>
    </w:p>
    <w:p w14:paraId="49E283AD" w14:textId="77777777" w:rsidR="00AA662C" w:rsidRPr="00F06651" w:rsidRDefault="00AA662C" w:rsidP="00075050">
      <w:pPr>
        <w:rPr>
          <w:lang w:eastAsia="zh-CN"/>
        </w:rPr>
      </w:pPr>
      <w:r w:rsidRPr="00F06651">
        <w:rPr>
          <w:lang w:eastAsia="zh-CN"/>
        </w:rPr>
        <w:t xml:space="preserve">The WHO advises that if a national authority wants to develop its own exposure limits, it should use or take into account the WHO Framework for Developing EMF Standards. </w:t>
      </w:r>
    </w:p>
    <w:p w14:paraId="11E26BC7" w14:textId="3E989156" w:rsidR="00AA662C" w:rsidRPr="00F06651" w:rsidRDefault="00AA662C" w:rsidP="00075050">
      <w:pPr>
        <w:rPr>
          <w:lang w:eastAsia="zh-CN"/>
        </w:rPr>
      </w:pPr>
      <w:r w:rsidRPr="00F06651">
        <w:rPr>
          <w:lang w:eastAsia="zh-CN"/>
        </w:rPr>
        <w:t>ITU supports the model legislation as an effective model to regulate EMF exposure, as the harmoni</w:t>
      </w:r>
      <w:r w:rsidR="00A07AA8">
        <w:rPr>
          <w:lang w:eastAsia="zh-CN"/>
        </w:rPr>
        <w:t>z</w:t>
      </w:r>
      <w:r w:rsidRPr="00F06651">
        <w:rPr>
          <w:lang w:eastAsia="zh-CN"/>
        </w:rPr>
        <w:t xml:space="preserve">ed exposure level should </w:t>
      </w:r>
      <w:r w:rsidR="00CC77E3">
        <w:rPr>
          <w:lang w:eastAsia="zh-CN"/>
        </w:rPr>
        <w:t>be</w:t>
      </w:r>
      <w:r w:rsidRPr="00F06651">
        <w:rPr>
          <w:lang w:eastAsia="zh-CN"/>
        </w:rPr>
        <w:t xml:space="preserve"> equal to all humans, disregarding race or borders. </w:t>
      </w:r>
    </w:p>
    <w:p w14:paraId="364D624C" w14:textId="77777777" w:rsidR="00AA662C" w:rsidRPr="00F06651" w:rsidRDefault="00AA662C" w:rsidP="00075050">
      <w:pPr>
        <w:pStyle w:val="Heading2"/>
        <w:rPr>
          <w:lang w:eastAsia="en-AU"/>
        </w:rPr>
      </w:pPr>
      <w:bookmarkStart w:id="90" w:name="_Toc397945051"/>
      <w:bookmarkStart w:id="91" w:name="_Toc400020872"/>
      <w:bookmarkStart w:id="92" w:name="_Toc400106140"/>
      <w:r>
        <w:rPr>
          <w:lang w:eastAsia="en-AU"/>
        </w:rPr>
        <w:t>4.8</w:t>
      </w:r>
      <w:r>
        <w:rPr>
          <w:lang w:eastAsia="en-AU"/>
        </w:rPr>
        <w:tab/>
      </w:r>
      <w:r w:rsidRPr="00F06651">
        <w:rPr>
          <w:lang w:eastAsia="en-AU"/>
        </w:rPr>
        <w:t>Compliance assessment</w:t>
      </w:r>
      <w:bookmarkEnd w:id="90"/>
      <w:bookmarkEnd w:id="91"/>
      <w:bookmarkEnd w:id="92"/>
    </w:p>
    <w:p w14:paraId="51C0CF81" w14:textId="7747D783" w:rsidR="00AA662C" w:rsidRPr="00F06651" w:rsidRDefault="00AA662C" w:rsidP="00075050">
      <w:pPr>
        <w:rPr>
          <w:lang w:eastAsia="zh-CN"/>
        </w:rPr>
      </w:pPr>
      <w:r w:rsidRPr="00F06651">
        <w:rPr>
          <w:lang w:eastAsia="zh-CN"/>
        </w:rPr>
        <w:t>When a wireless access point or base station is installed</w:t>
      </w:r>
      <w:r w:rsidR="00CC77E3">
        <w:rPr>
          <w:lang w:eastAsia="zh-CN"/>
        </w:rPr>
        <w:t>,</w:t>
      </w:r>
      <w:r w:rsidRPr="00F06651">
        <w:rPr>
          <w:lang w:eastAsia="zh-CN"/>
        </w:rPr>
        <w:t xml:space="preserve"> there should be an assessment of compliance with exposure limits. In order to allow for accurate and efficient assessments, different approaches can be implemented depending on the characteristic of the antenna and/or on the installation type. In some specific cases, compliance with relevant exposure limits can be assessed without the need of conducting measurements</w:t>
      </w:r>
      <w:r w:rsidR="00CC77E3">
        <w:rPr>
          <w:lang w:eastAsia="zh-CN"/>
        </w:rPr>
        <w:t>,</w:t>
      </w:r>
      <w:r w:rsidRPr="00F06651">
        <w:rPr>
          <w:lang w:eastAsia="zh-CN"/>
        </w:rPr>
        <w:t xml:space="preserve"> </w:t>
      </w:r>
      <w:r w:rsidR="00CC77E3">
        <w:rPr>
          <w:lang w:eastAsia="zh-CN"/>
        </w:rPr>
        <w:t>f</w:t>
      </w:r>
      <w:r w:rsidRPr="00F06651">
        <w:rPr>
          <w:lang w:eastAsia="zh-CN"/>
        </w:rPr>
        <w:t xml:space="preserve">or example, where low power is transmitted, or where the position/orientation of the transmitters/antennas makes compliance zones inaccessible to the general public or where simpler calculation methods can be used </w:t>
      </w:r>
      <w:r w:rsidR="00CC77E3">
        <w:rPr>
          <w:lang w:eastAsia="zh-CN"/>
        </w:rPr>
        <w:t>(</w:t>
      </w:r>
      <w:r w:rsidR="0013599C">
        <w:rPr>
          <w:lang w:eastAsia="zh-CN"/>
        </w:rPr>
        <w:t xml:space="preserve">Recommendation </w:t>
      </w:r>
      <w:r w:rsidRPr="00F06651">
        <w:rPr>
          <w:lang w:eastAsia="zh-CN"/>
        </w:rPr>
        <w:t>ITU-T K.52</w:t>
      </w:r>
      <w:r w:rsidR="00CC77E3">
        <w:rPr>
          <w:lang w:eastAsia="zh-CN"/>
        </w:rPr>
        <w:t>)</w:t>
      </w:r>
      <w:r w:rsidRPr="00F06651">
        <w:rPr>
          <w:lang w:eastAsia="zh-CN"/>
        </w:rPr>
        <w:t xml:space="preserve">. </w:t>
      </w:r>
    </w:p>
    <w:p w14:paraId="6CE57628" w14:textId="02F9A142" w:rsidR="00AA662C" w:rsidRPr="00F06651" w:rsidRDefault="00AA662C" w:rsidP="00075050">
      <w:pPr>
        <w:rPr>
          <w:lang w:eastAsia="zh-CN"/>
        </w:rPr>
      </w:pPr>
      <w:r w:rsidRPr="00F06651">
        <w:rPr>
          <w:lang w:eastAsia="zh-CN"/>
        </w:rPr>
        <w:t xml:space="preserve">Sophisticated calculation tools can be used where sufficient information is available on the transmitter and antenna characteristics, and the surrounding environment. Both broadband and frequency selective equipment can be used for the assessment </w:t>
      </w:r>
      <w:r w:rsidR="00DA564C">
        <w:rPr>
          <w:lang w:eastAsia="zh-CN"/>
        </w:rPr>
        <w:t>(</w:t>
      </w:r>
      <w:r w:rsidR="0013599C">
        <w:rPr>
          <w:lang w:eastAsia="zh-CN"/>
        </w:rPr>
        <w:t xml:space="preserve">Recommendation </w:t>
      </w:r>
      <w:r w:rsidRPr="00F06651">
        <w:rPr>
          <w:lang w:eastAsia="zh-CN"/>
        </w:rPr>
        <w:t>ITU-T K.61</w:t>
      </w:r>
      <w:r w:rsidR="00DA564C">
        <w:rPr>
          <w:lang w:eastAsia="zh-CN"/>
        </w:rPr>
        <w:t>)</w:t>
      </w:r>
      <w:r w:rsidRPr="00F06651">
        <w:rPr>
          <w:lang w:eastAsia="zh-CN"/>
        </w:rPr>
        <w:t xml:space="preserve">. Measurements conducted with broadband equipment, however, might lead to overly conservative results. If the exposure level in areas accessible to the general public is found to be above the limits by means of broadband measurements, then compliance should be verified with frequency selective equipment. Otherwise, the mitigation techniques described in </w:t>
      </w:r>
      <w:r w:rsidR="0013599C">
        <w:rPr>
          <w:lang w:eastAsia="zh-CN"/>
        </w:rPr>
        <w:t xml:space="preserve">Recommendation </w:t>
      </w:r>
      <w:r w:rsidRPr="00F06651">
        <w:rPr>
          <w:lang w:eastAsia="zh-CN"/>
        </w:rPr>
        <w:t xml:space="preserve">ITU-T K.70 should be applied. </w:t>
      </w:r>
    </w:p>
    <w:p w14:paraId="39F2C4C2" w14:textId="77777777" w:rsidR="00AA662C" w:rsidRPr="00F06651" w:rsidRDefault="00AA662C" w:rsidP="00AA662C">
      <w:pPr>
        <w:pStyle w:val="Heading2"/>
        <w:rPr>
          <w:lang w:eastAsia="en-AU"/>
        </w:rPr>
      </w:pPr>
      <w:bookmarkStart w:id="93" w:name="_Toc397945052"/>
      <w:bookmarkStart w:id="94" w:name="_Toc400020873"/>
      <w:bookmarkStart w:id="95" w:name="_Toc400106141"/>
      <w:r>
        <w:rPr>
          <w:lang w:eastAsia="en-AU"/>
        </w:rPr>
        <w:lastRenderedPageBreak/>
        <w:t>4.9</w:t>
      </w:r>
      <w:r>
        <w:rPr>
          <w:lang w:eastAsia="en-AU"/>
        </w:rPr>
        <w:tab/>
      </w:r>
      <w:r w:rsidRPr="00F06651">
        <w:rPr>
          <w:lang w:eastAsia="en-AU"/>
        </w:rPr>
        <w:t>Requirements for low power systems</w:t>
      </w:r>
      <w:bookmarkEnd w:id="93"/>
      <w:bookmarkEnd w:id="94"/>
      <w:bookmarkEnd w:id="95"/>
    </w:p>
    <w:p w14:paraId="3173136E" w14:textId="77777777" w:rsidR="00AA662C" w:rsidRPr="00F06651" w:rsidRDefault="00AA662C" w:rsidP="00075050">
      <w:pPr>
        <w:rPr>
          <w:lang w:eastAsia="zh-CN"/>
        </w:rPr>
      </w:pPr>
      <w:r w:rsidRPr="00F06651">
        <w:rPr>
          <w:lang w:eastAsia="zh-CN"/>
        </w:rPr>
        <w:t>Some types of wireless network infrastructure operate at very low power</w:t>
      </w:r>
      <w:r w:rsidR="00DA564C">
        <w:rPr>
          <w:lang w:eastAsia="zh-CN"/>
        </w:rPr>
        <w:t>,</w:t>
      </w:r>
      <w:r w:rsidRPr="00F06651">
        <w:rPr>
          <w:lang w:eastAsia="zh-CN"/>
        </w:rPr>
        <w:t xml:space="preserve"> and consequently they have small compliance zones or compliance zones contained within the equipment cover. These may be deployed in many locations as part of SSC infrastructure in order to provide widespread wireless connectivity. With the aim of reducing the administrative burden on city officials and providing an environment that fosters wireless connectivity</w:t>
      </w:r>
      <w:r w:rsidR="00DA564C">
        <w:rPr>
          <w:lang w:eastAsia="zh-CN"/>
        </w:rPr>
        <w:t>,</w:t>
      </w:r>
      <w:r w:rsidRPr="00F06651">
        <w:rPr>
          <w:lang w:eastAsia="zh-CN"/>
        </w:rPr>
        <w:t xml:space="preserve"> SSC</w:t>
      </w:r>
      <w:r w:rsidR="00DA564C">
        <w:rPr>
          <w:lang w:eastAsia="zh-CN"/>
        </w:rPr>
        <w:t>s</w:t>
      </w:r>
      <w:r w:rsidRPr="00F06651">
        <w:rPr>
          <w:lang w:eastAsia="zh-CN"/>
        </w:rPr>
        <w:t xml:space="preserve"> should develop simplified procedures for small, low-power antenna installations. Generally, the important parameters are</w:t>
      </w:r>
      <w:r w:rsidR="00DA564C">
        <w:rPr>
          <w:lang w:eastAsia="zh-CN"/>
        </w:rPr>
        <w:t>:</w:t>
      </w:r>
      <w:r w:rsidRPr="00F06651">
        <w:rPr>
          <w:lang w:eastAsia="zh-CN"/>
        </w:rPr>
        <w:t xml:space="preserve"> (a) the transmitter power</w:t>
      </w:r>
      <w:r w:rsidRPr="00F06651">
        <w:rPr>
          <w:rFonts w:cs="Arial"/>
          <w:lang w:eastAsia="zh-CN"/>
        </w:rPr>
        <w:t>, (b) antenna gain</w:t>
      </w:r>
      <w:r w:rsidR="00DA564C">
        <w:rPr>
          <w:rFonts w:cs="Arial"/>
          <w:lang w:eastAsia="zh-CN"/>
        </w:rPr>
        <w:t>,</w:t>
      </w:r>
      <w:r w:rsidRPr="00F06651">
        <w:rPr>
          <w:lang w:eastAsia="zh-CN"/>
        </w:rPr>
        <w:t xml:space="preserve"> and (c) the position of the antenna. Some small cell installations will produce similar exposures in nearby areas to higher power macrocell sites because the small cells may be positioned at lower heights and closer to people (Cooper </w:t>
      </w:r>
      <w:r w:rsidR="000E4A5B" w:rsidRPr="002E4045">
        <w:rPr>
          <w:i/>
          <w:iCs/>
          <w:lang w:eastAsia="zh-CN"/>
        </w:rPr>
        <w:t>et al.</w:t>
      </w:r>
      <w:r w:rsidRPr="00F06651">
        <w:rPr>
          <w:lang w:eastAsia="zh-CN"/>
        </w:rPr>
        <w:t>, 2006).</w:t>
      </w:r>
    </w:p>
    <w:p w14:paraId="26BD2B58" w14:textId="07C7C187" w:rsidR="00AA662C" w:rsidRPr="00F06651" w:rsidRDefault="00AA662C" w:rsidP="00450BA2">
      <w:pPr>
        <w:rPr>
          <w:lang w:eastAsia="zh-CN"/>
        </w:rPr>
      </w:pPr>
      <w:r w:rsidRPr="00F06651">
        <w:rPr>
          <w:lang w:eastAsia="zh-CN"/>
        </w:rPr>
        <w:t xml:space="preserve">ITU-T Study Group 5 is developing technical </w:t>
      </w:r>
      <w:r w:rsidR="00450BA2">
        <w:rPr>
          <w:lang w:eastAsia="zh-CN"/>
        </w:rPr>
        <w:t>specifications</w:t>
      </w:r>
      <w:r w:rsidR="00450BA2" w:rsidRPr="00F06651">
        <w:rPr>
          <w:lang w:eastAsia="zh-CN"/>
        </w:rPr>
        <w:t xml:space="preserve"> </w:t>
      </w:r>
      <w:r w:rsidRPr="00F06651">
        <w:rPr>
          <w:lang w:eastAsia="zh-CN"/>
        </w:rPr>
        <w:t xml:space="preserve">for simplified assessments of low power systems. In terms of guidance, transmitters of less than </w:t>
      </w:r>
      <w:r w:rsidR="00DA564C">
        <w:rPr>
          <w:lang w:eastAsia="zh-CN"/>
        </w:rPr>
        <w:t>two</w:t>
      </w:r>
      <w:r w:rsidRPr="00F06651">
        <w:rPr>
          <w:lang w:eastAsia="zh-CN"/>
        </w:rPr>
        <w:t xml:space="preserve"> </w:t>
      </w:r>
      <w:r w:rsidR="00DA564C">
        <w:rPr>
          <w:lang w:eastAsia="zh-CN"/>
        </w:rPr>
        <w:t>w</w:t>
      </w:r>
      <w:r w:rsidRPr="00F06651">
        <w:rPr>
          <w:lang w:eastAsia="zh-CN"/>
        </w:rPr>
        <w:t xml:space="preserve">atts EIRP </w:t>
      </w:r>
      <w:r w:rsidR="00DA564C">
        <w:rPr>
          <w:lang w:eastAsia="zh-CN"/>
        </w:rPr>
        <w:t>do not</w:t>
      </w:r>
      <w:r w:rsidRPr="00F06651">
        <w:rPr>
          <w:lang w:eastAsia="zh-CN"/>
        </w:rPr>
        <w:t xml:space="preserve"> require an EMF evaluation </w:t>
      </w:r>
      <w:r w:rsidR="00DA564C">
        <w:rPr>
          <w:lang w:eastAsia="zh-CN"/>
        </w:rPr>
        <w:t>(</w:t>
      </w:r>
      <w:r w:rsidR="0013599C">
        <w:rPr>
          <w:lang w:eastAsia="zh-CN"/>
        </w:rPr>
        <w:t xml:space="preserve">Recommendation </w:t>
      </w:r>
      <w:r w:rsidRPr="00F06651">
        <w:rPr>
          <w:lang w:eastAsia="zh-CN"/>
        </w:rPr>
        <w:t>ITU-T K.52, 2004</w:t>
      </w:r>
      <w:r w:rsidR="00DA564C">
        <w:rPr>
          <w:lang w:eastAsia="zh-CN"/>
        </w:rPr>
        <w:t>)</w:t>
      </w:r>
      <w:r w:rsidR="000029BA" w:rsidRPr="00F06651">
        <w:rPr>
          <w:lang w:eastAsia="zh-CN"/>
        </w:rPr>
        <w:t>.</w:t>
      </w:r>
    </w:p>
    <w:p w14:paraId="42349447" w14:textId="77777777" w:rsidR="00AA662C" w:rsidRPr="00F06651" w:rsidRDefault="00AA662C" w:rsidP="00075050">
      <w:pPr>
        <w:rPr>
          <w:lang w:eastAsia="zh-CN"/>
        </w:rPr>
      </w:pPr>
      <w:r w:rsidRPr="00F06651">
        <w:rPr>
          <w:lang w:eastAsia="zh-CN"/>
        </w:rPr>
        <w:t>In some countries, low power radio systems may be assessed for compliance as a class of radio transmitters with defined installation (for example, height above public areas) and RF compliance (for example, maximum transmit power) requirements. In such a case, it may be sufficient to provide approval for all equipment of the same type subject to the specified requirement without reviewing individual installations. An example would be installing small cell base stations on street light poles where the equipment operator would be responsible for the details for each particular installation.</w:t>
      </w:r>
    </w:p>
    <w:p w14:paraId="7629424E" w14:textId="77777777" w:rsidR="00AA662C" w:rsidRPr="00F06651" w:rsidRDefault="00AA662C" w:rsidP="00075050">
      <w:pPr>
        <w:pStyle w:val="Heading2"/>
        <w:rPr>
          <w:lang w:eastAsia="en-AU"/>
        </w:rPr>
      </w:pPr>
      <w:bookmarkStart w:id="96" w:name="_Toc397945053"/>
      <w:bookmarkStart w:id="97" w:name="_Toc400020874"/>
      <w:bookmarkStart w:id="98" w:name="_Toc400106142"/>
      <w:r>
        <w:rPr>
          <w:lang w:eastAsia="en-AU"/>
        </w:rPr>
        <w:t>4.10</w:t>
      </w:r>
      <w:r>
        <w:rPr>
          <w:lang w:eastAsia="en-AU"/>
        </w:rPr>
        <w:tab/>
      </w:r>
      <w:r w:rsidRPr="00F06651">
        <w:rPr>
          <w:lang w:eastAsia="en-AU"/>
        </w:rPr>
        <w:t>Compliance for shared sites</w:t>
      </w:r>
      <w:bookmarkEnd w:id="96"/>
      <w:bookmarkEnd w:id="97"/>
      <w:bookmarkEnd w:id="98"/>
      <w:r w:rsidRPr="00F06651">
        <w:rPr>
          <w:lang w:eastAsia="en-AU"/>
        </w:rPr>
        <w:t xml:space="preserve"> </w:t>
      </w:r>
    </w:p>
    <w:p w14:paraId="27E1945C" w14:textId="77777777" w:rsidR="00AA662C" w:rsidRPr="00F06651" w:rsidRDefault="00AA662C" w:rsidP="00075050">
      <w:pPr>
        <w:rPr>
          <w:lang w:eastAsia="zh-CN"/>
        </w:rPr>
      </w:pPr>
      <w:r w:rsidRPr="00F06651">
        <w:rPr>
          <w:lang w:eastAsia="zh-CN"/>
        </w:rPr>
        <w:t xml:space="preserve">There may be practical or radio coverage reasons for antennas sharing a site. Practical matters may include the availability of existing physical infrastructure, security and power. Radio coverage reasons may include height, proximity to an area where many users are located and avoiding obstructions from other objects and structures. </w:t>
      </w:r>
    </w:p>
    <w:p w14:paraId="1405682A" w14:textId="77777777" w:rsidR="00AA662C" w:rsidRPr="00F06651" w:rsidRDefault="00AA662C" w:rsidP="00075050">
      <w:pPr>
        <w:rPr>
          <w:lang w:eastAsia="zh-CN"/>
        </w:rPr>
      </w:pPr>
      <w:r w:rsidRPr="00F06651">
        <w:rPr>
          <w:lang w:eastAsia="zh-CN"/>
        </w:rPr>
        <w:t>Where antennas are mounted near to one another</w:t>
      </w:r>
      <w:r w:rsidR="00401ACE">
        <w:rPr>
          <w:lang w:eastAsia="zh-CN"/>
        </w:rPr>
        <w:t>,</w:t>
      </w:r>
      <w:r w:rsidRPr="00F06651">
        <w:rPr>
          <w:lang w:eastAsia="zh-CN"/>
        </w:rPr>
        <w:t xml:space="preserve"> their transmission patterns may overlap to create a larger compliance zone than for the individual antennas. Operators of radio equipment at a shared site may need to exchange information about transmitter and antenna characteristics for RF compliance assessments to be completed.</w:t>
      </w:r>
    </w:p>
    <w:p w14:paraId="2E79C576" w14:textId="77777777" w:rsidR="00AA662C" w:rsidRPr="00F06651" w:rsidRDefault="00AA662C" w:rsidP="00075050">
      <w:pPr>
        <w:rPr>
          <w:lang w:eastAsia="zh-CN"/>
        </w:rPr>
      </w:pPr>
      <w:r w:rsidRPr="00F06651">
        <w:rPr>
          <w:lang w:eastAsia="zh-CN"/>
        </w:rPr>
        <w:t xml:space="preserve">Authorities and operators should discuss and agree on the framework for ensuring compliance of a shared site, both </w:t>
      </w:r>
      <w:r w:rsidR="000029BA">
        <w:rPr>
          <w:lang w:eastAsia="zh-CN"/>
        </w:rPr>
        <w:t>for</w:t>
      </w:r>
      <w:r w:rsidR="000029BA" w:rsidRPr="00F06651">
        <w:rPr>
          <w:lang w:eastAsia="zh-CN"/>
        </w:rPr>
        <w:t xml:space="preserve"> </w:t>
      </w:r>
      <w:r w:rsidR="000029BA">
        <w:rPr>
          <w:lang w:eastAsia="zh-CN"/>
        </w:rPr>
        <w:t xml:space="preserve">the </w:t>
      </w:r>
      <w:r w:rsidRPr="00F06651">
        <w:rPr>
          <w:lang w:eastAsia="zh-CN"/>
        </w:rPr>
        <w:t xml:space="preserve">case of a new </w:t>
      </w:r>
      <w:r w:rsidR="006B7500">
        <w:rPr>
          <w:lang w:eastAsia="zh-CN"/>
        </w:rPr>
        <w:t xml:space="preserve">site that is to be </w:t>
      </w:r>
      <w:r w:rsidRPr="00F06651">
        <w:rPr>
          <w:lang w:eastAsia="zh-CN"/>
        </w:rPr>
        <w:t xml:space="preserve">shared, and the case of new equipment additions to an existing site. </w:t>
      </w:r>
    </w:p>
    <w:p w14:paraId="10990E2C" w14:textId="419B7022" w:rsidR="00AA662C" w:rsidRPr="00F06651" w:rsidRDefault="00AA662C" w:rsidP="00075050">
      <w:pPr>
        <w:pStyle w:val="Heading1"/>
      </w:pPr>
      <w:bookmarkStart w:id="99" w:name="_Toc397945054"/>
      <w:bookmarkStart w:id="100" w:name="_Toc400020875"/>
      <w:bookmarkStart w:id="101" w:name="_Toc400106143"/>
      <w:r>
        <w:t>5</w:t>
      </w:r>
      <w:r>
        <w:tab/>
      </w:r>
      <w:r w:rsidRPr="00F06651">
        <w:t xml:space="preserve">EMF </w:t>
      </w:r>
      <w:r w:rsidR="00300052">
        <w:t>h</w:t>
      </w:r>
      <w:r w:rsidRPr="00F06651">
        <w:t xml:space="preserve">ealth and </w:t>
      </w:r>
      <w:r w:rsidR="00300052">
        <w:t>s</w:t>
      </w:r>
      <w:r w:rsidRPr="00F06651">
        <w:t xml:space="preserve">afety </w:t>
      </w:r>
      <w:r w:rsidR="00300052">
        <w:t>i</w:t>
      </w:r>
      <w:r w:rsidRPr="00F06651">
        <w:t>nformation</w:t>
      </w:r>
      <w:bookmarkEnd w:id="99"/>
      <w:bookmarkEnd w:id="100"/>
      <w:bookmarkEnd w:id="101"/>
      <w:r w:rsidRPr="00F06651">
        <w:t xml:space="preserve"> </w:t>
      </w:r>
    </w:p>
    <w:p w14:paraId="5AC15A57" w14:textId="77777777" w:rsidR="00AA662C" w:rsidRPr="00F06651" w:rsidRDefault="00AA662C" w:rsidP="00075050">
      <w:pPr>
        <w:rPr>
          <w:lang w:eastAsia="zh-CN"/>
        </w:rPr>
      </w:pPr>
      <w:r w:rsidRPr="00E913ED">
        <w:rPr>
          <w:lang w:eastAsia="zh-CN"/>
        </w:rPr>
        <w:t>There are many sources</w:t>
      </w:r>
      <w:r w:rsidRPr="00F06651">
        <w:rPr>
          <w:lang w:eastAsia="zh-CN"/>
        </w:rPr>
        <w:t xml:space="preserve"> available on EMF health and safety information. Understanding what information is available and being able to provide the most appropriate and suitable information to respond to the requirements of particular audiences is crucial. </w:t>
      </w:r>
    </w:p>
    <w:p w14:paraId="46B3A9D3" w14:textId="77777777" w:rsidR="00AA662C" w:rsidRPr="00F06651" w:rsidRDefault="00AA662C" w:rsidP="00075050">
      <w:pPr>
        <w:rPr>
          <w:lang w:eastAsia="zh-CN"/>
        </w:rPr>
      </w:pPr>
      <w:r w:rsidRPr="00F06651">
        <w:rPr>
          <w:lang w:eastAsia="zh-CN"/>
        </w:rPr>
        <w:t>ITU recommends EMF information from the WHO.</w:t>
      </w:r>
    </w:p>
    <w:p w14:paraId="7586E4E8" w14:textId="77777777" w:rsidR="00AA662C" w:rsidRPr="00F06651" w:rsidRDefault="00AA662C" w:rsidP="00075050">
      <w:pPr>
        <w:rPr>
          <w:lang w:eastAsia="zh-CN"/>
        </w:rPr>
      </w:pPr>
      <w:r w:rsidRPr="00F06651">
        <w:rPr>
          <w:lang w:eastAsia="zh-CN"/>
        </w:rPr>
        <w:t>EMF information for consumers should be prepared in a format that is concise and easy to read. There are many sources of information available on the subject and quite often there is a tendency to provide too much information, which can lead to confusion and misunderstanding.</w:t>
      </w:r>
    </w:p>
    <w:p w14:paraId="53088FA4" w14:textId="77777777" w:rsidR="00AA662C" w:rsidRPr="00F06651" w:rsidRDefault="00AA662C" w:rsidP="00075050">
      <w:pPr>
        <w:rPr>
          <w:lang w:eastAsia="zh-CN"/>
        </w:rPr>
      </w:pPr>
      <w:r w:rsidRPr="00F06651">
        <w:rPr>
          <w:lang w:eastAsia="zh-CN"/>
        </w:rPr>
        <w:t xml:space="preserve">Information should be tailored to suit the specific requirements of the target audience. A layered or scaled approach is often very effective in communicating complex messages. The EMF Explained </w:t>
      </w:r>
      <w:r w:rsidRPr="00F06651">
        <w:rPr>
          <w:lang w:eastAsia="zh-CN"/>
        </w:rPr>
        <w:lastRenderedPageBreak/>
        <w:t>Series</w:t>
      </w:r>
      <w:r w:rsidR="00B07184">
        <w:rPr>
          <w:rStyle w:val="FootnoteReference"/>
          <w:lang w:eastAsia="zh-CN"/>
        </w:rPr>
        <w:footnoteReference w:id="15"/>
      </w:r>
      <w:r w:rsidRPr="00F06651">
        <w:rPr>
          <w:lang w:eastAsia="zh-CN"/>
        </w:rPr>
        <w:t xml:space="preserve"> has been developed by the ICT industry using a layered approach. Information on EMF Explained is sourced from national and international health agencies. </w:t>
      </w:r>
    </w:p>
    <w:p w14:paraId="0A7B6E0F" w14:textId="77777777" w:rsidR="00AA662C" w:rsidRPr="00F06651" w:rsidRDefault="00AA662C" w:rsidP="00075050">
      <w:pPr>
        <w:pStyle w:val="Heading2"/>
        <w:rPr>
          <w:lang w:eastAsia="en-AU"/>
        </w:rPr>
      </w:pPr>
      <w:bookmarkStart w:id="102" w:name="_Toc397945056"/>
      <w:bookmarkStart w:id="103" w:name="_Toc400020876"/>
      <w:bookmarkStart w:id="104" w:name="_Toc400106144"/>
      <w:r>
        <w:rPr>
          <w:lang w:eastAsia="en-AU"/>
        </w:rPr>
        <w:t>5.1</w:t>
      </w:r>
      <w:r>
        <w:rPr>
          <w:lang w:eastAsia="en-AU"/>
        </w:rPr>
        <w:tab/>
      </w:r>
      <w:r w:rsidRPr="00F06651">
        <w:rPr>
          <w:lang w:eastAsia="en-AU"/>
        </w:rPr>
        <w:t>Compliance information</w:t>
      </w:r>
      <w:bookmarkEnd w:id="102"/>
      <w:bookmarkEnd w:id="103"/>
      <w:bookmarkEnd w:id="104"/>
    </w:p>
    <w:p w14:paraId="3C39E302" w14:textId="77777777" w:rsidR="00AA662C" w:rsidRPr="00F06651" w:rsidRDefault="00AA662C" w:rsidP="00075050">
      <w:pPr>
        <w:rPr>
          <w:lang w:eastAsia="zh-CN"/>
        </w:rPr>
      </w:pPr>
      <w:r w:rsidRPr="00F06651">
        <w:rPr>
          <w:lang w:eastAsia="zh-CN"/>
        </w:rPr>
        <w:t>In many cases</w:t>
      </w:r>
      <w:r w:rsidR="008A5C1C">
        <w:rPr>
          <w:lang w:eastAsia="zh-CN"/>
        </w:rPr>
        <w:t>,</w:t>
      </w:r>
      <w:r w:rsidRPr="00F06651">
        <w:rPr>
          <w:lang w:eastAsia="zh-CN"/>
        </w:rPr>
        <w:t xml:space="preserve"> ICT providers will only need to make available basic safety compliance details for the relevant product. This may consist of a compliance statement or compliance value. Where possible, this information includes a brief explanation of what the compliance value means, as well as a reference for further information.</w:t>
      </w:r>
    </w:p>
    <w:p w14:paraId="13C687FD" w14:textId="7E0C6608" w:rsidR="00AA662C" w:rsidRPr="00F06651" w:rsidRDefault="00AA662C" w:rsidP="00075050">
      <w:pPr>
        <w:rPr>
          <w:lang w:eastAsia="zh-CN"/>
        </w:rPr>
      </w:pPr>
      <w:r w:rsidRPr="00F06651">
        <w:rPr>
          <w:lang w:eastAsia="zh-CN"/>
        </w:rPr>
        <w:t xml:space="preserve">Some governments require control measurements and publication of the results to show compliance with the RF-EMF. In areas of high social concern about EMF, one solution to these problems can be the control of the electromagnetic emissions by taking measurements and having a proper communication. Measurements turn emissions into something objective and, when presented to the public in an understandable format, help diminish the unawareness and helplessness of the public </w:t>
      </w:r>
      <w:r w:rsidR="003C72CE">
        <w:rPr>
          <w:lang w:eastAsia="zh-CN"/>
        </w:rPr>
        <w:t>(</w:t>
      </w:r>
      <w:r w:rsidR="0013599C">
        <w:rPr>
          <w:lang w:eastAsia="zh-CN"/>
        </w:rPr>
        <w:t>Recommendation ITU-T K.83</w:t>
      </w:r>
      <w:r w:rsidR="003C72CE">
        <w:rPr>
          <w:lang w:eastAsia="zh-CN"/>
        </w:rPr>
        <w:t>)</w:t>
      </w:r>
      <w:r w:rsidR="0013599C">
        <w:rPr>
          <w:lang w:eastAsia="zh-CN"/>
        </w:rPr>
        <w:t xml:space="preserve">. </w:t>
      </w:r>
      <w:r w:rsidRPr="00F06651">
        <w:rPr>
          <w:lang w:eastAsia="zh-CN"/>
        </w:rPr>
        <w:t xml:space="preserve">Other approaches have also been used including operator declarations of compliance, measurements of random sample of sites and post-installation measurements of antennas </w:t>
      </w:r>
      <w:r w:rsidR="003C72CE">
        <w:rPr>
          <w:lang w:eastAsia="zh-CN"/>
        </w:rPr>
        <w:t>(</w:t>
      </w:r>
      <w:r w:rsidR="0013599C">
        <w:rPr>
          <w:lang w:eastAsia="zh-CN"/>
        </w:rPr>
        <w:t xml:space="preserve">Recommendations ITU-T K.52; ITU-T K.61 and ITU-T </w:t>
      </w:r>
      <w:r w:rsidRPr="00F06651">
        <w:rPr>
          <w:lang w:eastAsia="zh-CN"/>
        </w:rPr>
        <w:t>K.70</w:t>
      </w:r>
      <w:r w:rsidR="003C72CE">
        <w:rPr>
          <w:lang w:eastAsia="zh-CN"/>
        </w:rPr>
        <w:t>)</w:t>
      </w:r>
      <w:r w:rsidRPr="00F06651">
        <w:rPr>
          <w:lang w:eastAsia="zh-CN"/>
        </w:rPr>
        <w:t>. Measurements and monitoring of environmental levels of radio signals from mobile and wireless networks consistently find levels that are small fractions of the ICNIRP public exposure limits. The</w:t>
      </w:r>
      <w:r w:rsidR="003F5452">
        <w:rPr>
          <w:lang w:eastAsia="zh-CN"/>
        </w:rPr>
        <w:t xml:space="preserve"> </w:t>
      </w:r>
      <w:r w:rsidRPr="00F06651">
        <w:rPr>
          <w:lang w:eastAsia="zh-CN"/>
        </w:rPr>
        <w:t>WHO</w:t>
      </w:r>
      <w:r w:rsidRPr="00F06651">
        <w:rPr>
          <w:vertAlign w:val="superscript"/>
          <w:lang w:eastAsia="zh-CN"/>
        </w:rPr>
        <w:footnoteReference w:id="16"/>
      </w:r>
      <w:r w:rsidRPr="00F06651">
        <w:rPr>
          <w:lang w:eastAsia="zh-CN"/>
        </w:rPr>
        <w:t xml:space="preserve"> reports that recent surveys have shown that the RF exposures from base stations range from 0.002% to 2% of the levels of international exposure guidelines, depending on a variety of factors such as the proximity to the antenna and the surrounding environment. This is lower or comparable to RF exposures from radio or television broadcast transmitters.</w:t>
      </w:r>
    </w:p>
    <w:p w14:paraId="425BBA98" w14:textId="39968BB9" w:rsidR="00AA662C" w:rsidRPr="00F06651" w:rsidRDefault="00AA662C" w:rsidP="004A6146">
      <w:pPr>
        <w:pStyle w:val="Heading2"/>
        <w:rPr>
          <w:lang w:eastAsia="en-AU"/>
        </w:rPr>
      </w:pPr>
      <w:bookmarkStart w:id="105" w:name="_Toc397945057"/>
      <w:bookmarkStart w:id="106" w:name="_Toc400020877"/>
      <w:bookmarkStart w:id="107" w:name="_Toc400106145"/>
      <w:r>
        <w:rPr>
          <w:lang w:eastAsia="en-AU"/>
        </w:rPr>
        <w:t>5.2</w:t>
      </w:r>
      <w:r>
        <w:rPr>
          <w:lang w:eastAsia="en-AU"/>
        </w:rPr>
        <w:tab/>
      </w:r>
      <w:r w:rsidRPr="00F06651">
        <w:rPr>
          <w:lang w:eastAsia="en-AU"/>
        </w:rPr>
        <w:t xml:space="preserve">Health and </w:t>
      </w:r>
      <w:r w:rsidR="009D6AD0">
        <w:rPr>
          <w:lang w:eastAsia="en-AU"/>
        </w:rPr>
        <w:t>s</w:t>
      </w:r>
      <w:r w:rsidRPr="00F06651">
        <w:rPr>
          <w:lang w:eastAsia="en-AU"/>
        </w:rPr>
        <w:t xml:space="preserve">afety </w:t>
      </w:r>
      <w:r w:rsidR="009D6AD0">
        <w:rPr>
          <w:lang w:eastAsia="en-AU"/>
        </w:rPr>
        <w:t>i</w:t>
      </w:r>
      <w:r w:rsidRPr="00F06651">
        <w:rPr>
          <w:lang w:eastAsia="en-AU"/>
        </w:rPr>
        <w:t>nformation</w:t>
      </w:r>
      <w:bookmarkEnd w:id="105"/>
      <w:bookmarkEnd w:id="106"/>
      <w:bookmarkEnd w:id="107"/>
    </w:p>
    <w:p w14:paraId="54123036" w14:textId="77777777" w:rsidR="00AA662C" w:rsidRPr="00F06651" w:rsidRDefault="00AA662C" w:rsidP="004A6146">
      <w:pPr>
        <w:rPr>
          <w:lang w:eastAsia="zh-CN"/>
        </w:rPr>
      </w:pPr>
      <w:r w:rsidRPr="00F06651">
        <w:rPr>
          <w:lang w:eastAsia="zh-CN"/>
        </w:rPr>
        <w:t>Where health and safety information on EMF is required, the same principles apply in terms of using a format that is concise and easy to read. It is recommended to reference independent national and international health agencies like the WHO, which offers EMF fact sheets in a number of languages. In many cases</w:t>
      </w:r>
      <w:r w:rsidR="009D6AD0">
        <w:rPr>
          <w:lang w:eastAsia="zh-CN"/>
        </w:rPr>
        <w:t>,</w:t>
      </w:r>
      <w:r w:rsidRPr="00F06651">
        <w:rPr>
          <w:lang w:eastAsia="zh-CN"/>
        </w:rPr>
        <w:t xml:space="preserve"> a brief summary on health may also be required and this should always reference or quote the information’s source. </w:t>
      </w:r>
    </w:p>
    <w:p w14:paraId="58D05D09" w14:textId="77777777" w:rsidR="00AA662C" w:rsidRPr="00F06651" w:rsidRDefault="00AA662C" w:rsidP="0013599C">
      <w:pPr>
        <w:pStyle w:val="Heading2"/>
        <w:rPr>
          <w:lang w:eastAsia="en-AU"/>
        </w:rPr>
      </w:pPr>
      <w:bookmarkStart w:id="108" w:name="_Toc397945058"/>
      <w:bookmarkStart w:id="109" w:name="_Toc400020878"/>
      <w:bookmarkStart w:id="110" w:name="_Toc400106146"/>
      <w:r>
        <w:rPr>
          <w:lang w:eastAsia="en-AU"/>
        </w:rPr>
        <w:t>5.3</w:t>
      </w:r>
      <w:r>
        <w:rPr>
          <w:lang w:eastAsia="en-AU"/>
        </w:rPr>
        <w:tab/>
      </w:r>
      <w:r w:rsidRPr="00F06651">
        <w:rPr>
          <w:lang w:eastAsia="en-AU"/>
        </w:rPr>
        <w:t>Sources of information</w:t>
      </w:r>
      <w:bookmarkEnd w:id="108"/>
      <w:bookmarkEnd w:id="109"/>
      <w:bookmarkEnd w:id="110"/>
      <w:r w:rsidRPr="00F06651">
        <w:rPr>
          <w:lang w:eastAsia="en-AU"/>
        </w:rPr>
        <w:t xml:space="preserve"> </w:t>
      </w:r>
    </w:p>
    <w:p w14:paraId="4C8DFECE" w14:textId="77777777" w:rsidR="00AA662C" w:rsidRDefault="00AA662C" w:rsidP="0013599C">
      <w:pPr>
        <w:keepNext/>
        <w:keepLines/>
        <w:rPr>
          <w:lang w:eastAsia="zh-CN"/>
        </w:rPr>
      </w:pPr>
      <w:r w:rsidRPr="00F06651">
        <w:rPr>
          <w:lang w:eastAsia="zh-CN"/>
        </w:rPr>
        <w:t xml:space="preserve">Sources of EMF information include: </w:t>
      </w:r>
    </w:p>
    <w:p w14:paraId="7E750B2F" w14:textId="77777777" w:rsidR="004A6146" w:rsidRPr="00F06651" w:rsidRDefault="004A6146" w:rsidP="0049069D">
      <w:pPr>
        <w:pStyle w:val="TableNoTitle"/>
        <w:rPr>
          <w:lang w:eastAsia="en-AU"/>
        </w:rPr>
      </w:pPr>
      <w:r w:rsidRPr="00F06651">
        <w:rPr>
          <w:lang w:eastAsia="en-AU"/>
        </w:rPr>
        <w:t xml:space="preserve">Table </w:t>
      </w:r>
      <w:r w:rsidR="00C37C93">
        <w:rPr>
          <w:noProof/>
          <w:lang w:eastAsia="en-AU"/>
        </w:rPr>
        <w:t>2</w:t>
      </w:r>
      <w:r w:rsidRPr="00F06651">
        <w:rPr>
          <w:lang w:eastAsia="en-AU"/>
        </w:rPr>
        <w:t xml:space="preserve"> </w:t>
      </w:r>
      <w:r w:rsidR="0049069D">
        <w:rPr>
          <w:lang w:eastAsia="en-AU"/>
        </w:rPr>
        <w:t>–</w:t>
      </w:r>
      <w:r w:rsidRPr="00F06651">
        <w:rPr>
          <w:lang w:eastAsia="en-AU"/>
        </w:rPr>
        <w:t xml:space="preserve"> Selected sources for information on EMF topics </w:t>
      </w:r>
    </w:p>
    <w:tbl>
      <w:tblPr>
        <w:tblStyle w:val="TableGrid1"/>
        <w:tblW w:w="8647" w:type="dxa"/>
        <w:tblInd w:w="562" w:type="dxa"/>
        <w:tblLook w:val="04A0" w:firstRow="1" w:lastRow="0" w:firstColumn="1" w:lastColumn="0" w:noHBand="0" w:noVBand="1"/>
      </w:tblPr>
      <w:tblGrid>
        <w:gridCol w:w="2556"/>
        <w:gridCol w:w="6091"/>
      </w:tblGrid>
      <w:tr w:rsidR="00AA662C" w:rsidRPr="00F06651" w14:paraId="60CF8EC9" w14:textId="77777777" w:rsidTr="003C2262">
        <w:tc>
          <w:tcPr>
            <w:tcW w:w="2556" w:type="dxa"/>
            <w:shd w:val="pct5" w:color="auto" w:fill="auto"/>
          </w:tcPr>
          <w:p w14:paraId="6B3B0EEB" w14:textId="77777777" w:rsidR="00AA662C" w:rsidRPr="00F06651" w:rsidRDefault="00AA662C" w:rsidP="004A6146">
            <w:pPr>
              <w:pStyle w:val="Tablehead"/>
              <w:rPr>
                <w:lang w:eastAsia="en-AU"/>
              </w:rPr>
            </w:pPr>
            <w:r w:rsidRPr="00F06651">
              <w:rPr>
                <w:lang w:eastAsia="en-AU"/>
              </w:rPr>
              <w:t>Information</w:t>
            </w:r>
          </w:p>
        </w:tc>
        <w:tc>
          <w:tcPr>
            <w:tcW w:w="6091" w:type="dxa"/>
            <w:shd w:val="pct5" w:color="auto" w:fill="auto"/>
          </w:tcPr>
          <w:p w14:paraId="53B84F85" w14:textId="77777777" w:rsidR="00AA662C" w:rsidRPr="00F06651" w:rsidRDefault="00AA662C" w:rsidP="004A6146">
            <w:pPr>
              <w:pStyle w:val="Tablehead"/>
              <w:rPr>
                <w:lang w:eastAsia="en-AU"/>
              </w:rPr>
            </w:pPr>
            <w:r w:rsidRPr="00F06651">
              <w:rPr>
                <w:lang w:eastAsia="en-AU"/>
              </w:rPr>
              <w:t>Source</w:t>
            </w:r>
          </w:p>
        </w:tc>
      </w:tr>
      <w:tr w:rsidR="00AA662C" w:rsidRPr="00A77D4C" w14:paraId="25E15D08" w14:textId="77777777" w:rsidTr="003C2262">
        <w:tc>
          <w:tcPr>
            <w:tcW w:w="2556" w:type="dxa"/>
          </w:tcPr>
          <w:p w14:paraId="15A59D53" w14:textId="5F7B0D19" w:rsidR="00AA662C" w:rsidRPr="00F06651" w:rsidRDefault="00AA662C" w:rsidP="004A6146">
            <w:pPr>
              <w:pStyle w:val="Tabletext"/>
              <w:rPr>
                <w:lang w:eastAsia="en-AU"/>
              </w:rPr>
            </w:pPr>
            <w:r w:rsidRPr="00F06651">
              <w:rPr>
                <w:lang w:eastAsia="en-AU"/>
              </w:rPr>
              <w:t xml:space="preserve">EMF and </w:t>
            </w:r>
            <w:r w:rsidR="00243112">
              <w:rPr>
                <w:lang w:eastAsia="en-AU"/>
              </w:rPr>
              <w:t>h</w:t>
            </w:r>
            <w:r w:rsidRPr="00F06651">
              <w:rPr>
                <w:lang w:eastAsia="en-AU"/>
              </w:rPr>
              <w:t>ealth</w:t>
            </w:r>
          </w:p>
        </w:tc>
        <w:tc>
          <w:tcPr>
            <w:tcW w:w="6091" w:type="dxa"/>
          </w:tcPr>
          <w:p w14:paraId="0D9126A3" w14:textId="77777777" w:rsidR="00AA662C" w:rsidRPr="00F06651" w:rsidRDefault="00AA662C" w:rsidP="004A6146">
            <w:pPr>
              <w:pStyle w:val="Tabletext"/>
              <w:rPr>
                <w:lang w:eastAsia="en-AU"/>
              </w:rPr>
            </w:pPr>
            <w:r w:rsidRPr="00F06651">
              <w:rPr>
                <w:lang w:eastAsia="en-AU"/>
              </w:rPr>
              <w:t xml:space="preserve">WHO EMF Project - </w:t>
            </w:r>
            <w:hyperlink r:id="rId45" w:history="1">
              <w:r w:rsidRPr="00F06651">
                <w:rPr>
                  <w:color w:val="0000FF"/>
                  <w:u w:val="single"/>
                  <w:lang w:eastAsia="en-AU"/>
                </w:rPr>
                <w:t>http://www.who.int/peh-emf/en/</w:t>
              </w:r>
            </w:hyperlink>
          </w:p>
          <w:p w14:paraId="1483F882" w14:textId="77777777" w:rsidR="00AA662C" w:rsidRPr="00AA662C" w:rsidRDefault="0013599C" w:rsidP="004A6146">
            <w:pPr>
              <w:pStyle w:val="Tabletext"/>
              <w:rPr>
                <w:lang w:val="fr-CH" w:eastAsia="en-AU"/>
              </w:rPr>
            </w:pPr>
            <w:r>
              <w:rPr>
                <w:lang w:val="fr-CH" w:eastAsia="en-AU"/>
              </w:rPr>
              <w:t xml:space="preserve">ICNIRP EMF documents - </w:t>
            </w:r>
            <w:hyperlink r:id="rId46" w:history="1">
              <w:r w:rsidR="00AA662C" w:rsidRPr="00AA662C">
                <w:rPr>
                  <w:rStyle w:val="Hyperlink"/>
                  <w:rFonts w:asciiTheme="majorBidi" w:hAnsiTheme="majorBidi" w:cstheme="majorBidi"/>
                  <w:bCs/>
                  <w:kern w:val="36"/>
                  <w:szCs w:val="24"/>
                  <w:lang w:val="fr-CH" w:eastAsia="en-AU"/>
                </w:rPr>
                <w:t>http://www.icnirp.org/PubEMF.htm</w:t>
              </w:r>
            </w:hyperlink>
            <w:r w:rsidR="00AA662C" w:rsidRPr="00AA662C">
              <w:rPr>
                <w:lang w:val="fr-CH" w:eastAsia="en-AU"/>
              </w:rPr>
              <w:t xml:space="preserve"> </w:t>
            </w:r>
          </w:p>
        </w:tc>
      </w:tr>
      <w:tr w:rsidR="00AA662C" w:rsidRPr="00A77D4C" w14:paraId="2001998B" w14:textId="77777777" w:rsidTr="003C2262">
        <w:tc>
          <w:tcPr>
            <w:tcW w:w="2556" w:type="dxa"/>
          </w:tcPr>
          <w:p w14:paraId="51BAD286" w14:textId="0EB27092" w:rsidR="00AA662C" w:rsidRPr="00F06651" w:rsidRDefault="00AA662C" w:rsidP="004A6146">
            <w:pPr>
              <w:pStyle w:val="Tabletext"/>
              <w:rPr>
                <w:lang w:eastAsia="en-AU"/>
              </w:rPr>
            </w:pPr>
            <w:r w:rsidRPr="00F06651">
              <w:rPr>
                <w:lang w:eastAsia="en-AU"/>
              </w:rPr>
              <w:t>ITU</w:t>
            </w:r>
            <w:r w:rsidR="0013599C">
              <w:rPr>
                <w:lang w:eastAsia="en-AU"/>
              </w:rPr>
              <w:t>-T</w:t>
            </w:r>
            <w:r w:rsidRPr="00F06651">
              <w:rPr>
                <w:lang w:eastAsia="en-AU"/>
              </w:rPr>
              <w:t xml:space="preserve"> EMF </w:t>
            </w:r>
            <w:r w:rsidR="00243112">
              <w:rPr>
                <w:lang w:eastAsia="en-AU"/>
              </w:rPr>
              <w:t>i</w:t>
            </w:r>
            <w:r w:rsidRPr="00F06651">
              <w:rPr>
                <w:lang w:eastAsia="en-AU"/>
              </w:rPr>
              <w:t>nformation</w:t>
            </w:r>
          </w:p>
        </w:tc>
        <w:tc>
          <w:tcPr>
            <w:tcW w:w="6091" w:type="dxa"/>
          </w:tcPr>
          <w:p w14:paraId="072B37A0" w14:textId="77777777" w:rsidR="00AA662C" w:rsidRPr="00AA662C" w:rsidRDefault="00AA662C" w:rsidP="004A6146">
            <w:pPr>
              <w:pStyle w:val="Tabletext"/>
              <w:rPr>
                <w:lang w:val="fr-CH" w:eastAsia="en-AU"/>
              </w:rPr>
            </w:pPr>
            <w:r w:rsidRPr="00AA662C">
              <w:rPr>
                <w:lang w:val="fr-CH" w:eastAsia="en-AU"/>
              </w:rPr>
              <w:t>ITU</w:t>
            </w:r>
            <w:r w:rsidR="0013599C">
              <w:rPr>
                <w:lang w:val="fr-CH" w:eastAsia="en-AU"/>
              </w:rPr>
              <w:t>-T</w:t>
            </w:r>
            <w:r w:rsidRPr="00AA662C">
              <w:rPr>
                <w:lang w:val="fr-CH" w:eastAsia="en-AU"/>
              </w:rPr>
              <w:t xml:space="preserve"> EMF - </w:t>
            </w:r>
            <w:hyperlink r:id="rId47" w:history="1">
              <w:r w:rsidRPr="00AA662C">
                <w:rPr>
                  <w:color w:val="0000FF"/>
                  <w:u w:val="single"/>
                  <w:lang w:val="fr-CH" w:eastAsia="en-AU"/>
                </w:rPr>
                <w:t>http://www.itu.int/en/ITU-T/emf/Pages/default.aspx</w:t>
              </w:r>
            </w:hyperlink>
          </w:p>
        </w:tc>
      </w:tr>
      <w:tr w:rsidR="00AA662C" w:rsidRPr="00F06651" w14:paraId="087BD143" w14:textId="77777777" w:rsidTr="003C2262">
        <w:tc>
          <w:tcPr>
            <w:tcW w:w="2556" w:type="dxa"/>
          </w:tcPr>
          <w:p w14:paraId="786C279C" w14:textId="6FE54873" w:rsidR="00AA662C" w:rsidRPr="00F06651" w:rsidRDefault="00AA662C" w:rsidP="004A6146">
            <w:pPr>
              <w:pStyle w:val="Tabletext"/>
              <w:rPr>
                <w:lang w:eastAsia="en-AU"/>
              </w:rPr>
            </w:pPr>
            <w:r w:rsidRPr="00F06651">
              <w:rPr>
                <w:lang w:eastAsia="en-AU"/>
              </w:rPr>
              <w:t xml:space="preserve">ICT </w:t>
            </w:r>
            <w:r w:rsidR="00243112">
              <w:rPr>
                <w:lang w:eastAsia="en-AU"/>
              </w:rPr>
              <w:t>i</w:t>
            </w:r>
            <w:r w:rsidRPr="00F06651">
              <w:rPr>
                <w:lang w:eastAsia="en-AU"/>
              </w:rPr>
              <w:t xml:space="preserve">ndustry </w:t>
            </w:r>
            <w:r w:rsidR="00243112">
              <w:rPr>
                <w:lang w:eastAsia="en-AU"/>
              </w:rPr>
              <w:t>i</w:t>
            </w:r>
            <w:r w:rsidRPr="00F06651">
              <w:rPr>
                <w:lang w:eastAsia="en-AU"/>
              </w:rPr>
              <w:t>nformation</w:t>
            </w:r>
          </w:p>
        </w:tc>
        <w:tc>
          <w:tcPr>
            <w:tcW w:w="6091" w:type="dxa"/>
          </w:tcPr>
          <w:p w14:paraId="68387BC3" w14:textId="77777777" w:rsidR="00AA662C" w:rsidRPr="00F06651" w:rsidRDefault="00AA662C" w:rsidP="004A6146">
            <w:pPr>
              <w:pStyle w:val="Tabletext"/>
              <w:rPr>
                <w:lang w:eastAsia="en-AU"/>
              </w:rPr>
            </w:pPr>
            <w:r w:rsidRPr="00F06651">
              <w:rPr>
                <w:lang w:eastAsia="en-AU"/>
              </w:rPr>
              <w:t xml:space="preserve">EMF Explained - </w:t>
            </w:r>
            <w:hyperlink r:id="rId48" w:history="1">
              <w:r w:rsidRPr="00F06651">
                <w:rPr>
                  <w:color w:val="0000FF"/>
                  <w:u w:val="single"/>
                  <w:lang w:eastAsia="en-AU"/>
                </w:rPr>
                <w:t>www.emfexplained.info</w:t>
              </w:r>
            </w:hyperlink>
          </w:p>
          <w:p w14:paraId="59F0DDDA" w14:textId="77777777" w:rsidR="00AA662C" w:rsidRPr="00F06651" w:rsidRDefault="00AA662C" w:rsidP="004A6146">
            <w:pPr>
              <w:pStyle w:val="Tabletext"/>
              <w:rPr>
                <w:lang w:eastAsia="en-AU"/>
              </w:rPr>
            </w:pPr>
            <w:r w:rsidRPr="00F06651">
              <w:rPr>
                <w:lang w:eastAsia="en-AU"/>
              </w:rPr>
              <w:t xml:space="preserve">SAR Tick - </w:t>
            </w:r>
            <w:hyperlink r:id="rId49" w:history="1">
              <w:r w:rsidRPr="00F06651">
                <w:rPr>
                  <w:color w:val="0000FF"/>
                  <w:u w:val="single"/>
                  <w:lang w:eastAsia="en-AU"/>
                </w:rPr>
                <w:t>www.sar-tick.com</w:t>
              </w:r>
            </w:hyperlink>
          </w:p>
        </w:tc>
      </w:tr>
    </w:tbl>
    <w:p w14:paraId="11179B62" w14:textId="0EF3B4E1" w:rsidR="00AA662C" w:rsidRPr="00F06651" w:rsidRDefault="00AA662C" w:rsidP="004A6146">
      <w:pPr>
        <w:pStyle w:val="Heading1"/>
      </w:pPr>
      <w:bookmarkStart w:id="111" w:name="_Toc397945059"/>
      <w:bookmarkStart w:id="112" w:name="_Toc400020879"/>
      <w:bookmarkStart w:id="113" w:name="_Toc400106147"/>
      <w:r>
        <w:lastRenderedPageBreak/>
        <w:t>6</w:t>
      </w:r>
      <w:r>
        <w:tab/>
      </w:r>
      <w:r w:rsidRPr="00F06651">
        <w:t xml:space="preserve">Community </w:t>
      </w:r>
      <w:r w:rsidR="00243112">
        <w:t>i</w:t>
      </w:r>
      <w:r w:rsidRPr="00F06651">
        <w:t xml:space="preserve">nformation, </w:t>
      </w:r>
      <w:r w:rsidR="00243112">
        <w:t>c</w:t>
      </w:r>
      <w:r w:rsidRPr="00F06651">
        <w:t xml:space="preserve">onsultation and </w:t>
      </w:r>
      <w:r w:rsidR="00243112">
        <w:t>e</w:t>
      </w:r>
      <w:r w:rsidRPr="00F06651">
        <w:t>ngagement</w:t>
      </w:r>
      <w:bookmarkEnd w:id="111"/>
      <w:bookmarkEnd w:id="112"/>
      <w:bookmarkEnd w:id="113"/>
      <w:r w:rsidRPr="00F06651">
        <w:t xml:space="preserve"> </w:t>
      </w:r>
    </w:p>
    <w:p w14:paraId="51B0C03D" w14:textId="366ED1C3" w:rsidR="00AA662C" w:rsidRPr="00F06651" w:rsidRDefault="00AA662C" w:rsidP="004A6146">
      <w:pPr>
        <w:rPr>
          <w:lang w:eastAsia="zh-CN"/>
        </w:rPr>
      </w:pPr>
      <w:r w:rsidRPr="00F06651">
        <w:rPr>
          <w:lang w:eastAsia="zh-CN"/>
        </w:rPr>
        <w:t>While many stakeholders recognize the personal benefits of using ICT tools and mobile services, local officials and the public may have concerns about possible risks emerging from the radio signals used by antenna sites and ICT devices. These concerns may lead to delays in acquiring new antenna sites, to negative media stories and to heightened pressure on policy</w:t>
      </w:r>
      <w:r w:rsidRPr="00243112">
        <w:rPr>
          <w:lang w:eastAsia="zh-CN"/>
        </w:rPr>
        <w:t>makers</w:t>
      </w:r>
      <w:r w:rsidRPr="00F06651">
        <w:rPr>
          <w:lang w:eastAsia="zh-CN"/>
        </w:rPr>
        <w:t xml:space="preserve"> to adopt further restrictions, amongst others. Research conducted for the European Commission suggests the existence of low levels of public awareness in regard to the need for antenna sites, the operation of wireless devices and mobile phones, as well as the regulation and control of radio signals (Eurobarometer, 2010). The following aspects should be considered in order to increase that awareness, and </w:t>
      </w:r>
      <w:r w:rsidR="00243112">
        <w:rPr>
          <w:lang w:eastAsia="zh-CN"/>
        </w:rPr>
        <w:t xml:space="preserve">to </w:t>
      </w:r>
      <w:r w:rsidRPr="00F06651">
        <w:rPr>
          <w:lang w:eastAsia="zh-CN"/>
        </w:rPr>
        <w:t>foster better-informed discussions and citizen engagement in this field</w:t>
      </w:r>
      <w:r w:rsidR="0013599C">
        <w:rPr>
          <w:lang w:eastAsia="zh-CN"/>
        </w:rPr>
        <w:t>.</w:t>
      </w:r>
    </w:p>
    <w:p w14:paraId="04CBC280" w14:textId="77777777" w:rsidR="00AA662C" w:rsidRPr="00F06651" w:rsidRDefault="00AA662C" w:rsidP="004A6146">
      <w:pPr>
        <w:pStyle w:val="Heading2"/>
        <w:rPr>
          <w:lang w:eastAsia="en-AU"/>
        </w:rPr>
      </w:pPr>
      <w:bookmarkStart w:id="114" w:name="_Toc397945060"/>
      <w:bookmarkStart w:id="115" w:name="_Toc400020880"/>
      <w:bookmarkStart w:id="116" w:name="_Toc400106148"/>
      <w:r>
        <w:rPr>
          <w:lang w:eastAsia="en-AU"/>
        </w:rPr>
        <w:t>6.1</w:t>
      </w:r>
      <w:r>
        <w:rPr>
          <w:lang w:eastAsia="en-AU"/>
        </w:rPr>
        <w:tab/>
      </w:r>
      <w:r w:rsidRPr="00F06651">
        <w:rPr>
          <w:lang w:eastAsia="en-AU"/>
        </w:rPr>
        <w:t>Guidance on public participation and consultation</w:t>
      </w:r>
      <w:bookmarkEnd w:id="114"/>
      <w:bookmarkEnd w:id="115"/>
      <w:bookmarkEnd w:id="116"/>
      <w:r w:rsidRPr="00F06651">
        <w:rPr>
          <w:lang w:eastAsia="en-AU"/>
        </w:rPr>
        <w:t xml:space="preserve"> </w:t>
      </w:r>
    </w:p>
    <w:p w14:paraId="17F14FEA" w14:textId="5471FE41" w:rsidR="00AA662C" w:rsidRPr="00F06651" w:rsidRDefault="00AA662C" w:rsidP="004A6146">
      <w:pPr>
        <w:rPr>
          <w:lang w:eastAsia="zh-CN"/>
        </w:rPr>
      </w:pPr>
      <w:r w:rsidRPr="00F06651">
        <w:rPr>
          <w:lang w:eastAsia="zh-CN"/>
        </w:rPr>
        <w:t>Recognizing the importance of effective communication, in 2002 the EMF Project of WHO produced a booklet on risk communication that contains the following definition (WHO, 2002):</w:t>
      </w:r>
    </w:p>
    <w:p w14:paraId="1F938C51" w14:textId="77777777" w:rsidR="00AA662C" w:rsidRPr="004A6146" w:rsidRDefault="00AA662C" w:rsidP="004A6146">
      <w:pPr>
        <w:rPr>
          <w:i/>
          <w:iCs/>
          <w:lang w:eastAsia="zh-CN"/>
        </w:rPr>
      </w:pPr>
      <w:r w:rsidRPr="004A6146">
        <w:rPr>
          <w:i/>
          <w:iCs/>
          <w:lang w:eastAsia="zh-CN"/>
        </w:rPr>
        <w:t>‘RISK COMMUNICATION: An interactive process of exchange of information and opinion among individuals, groups and institutions. It involves multiple messages about the nature of risk and other messages, not strictly about risks, that express concerns, opinions, or reactions to risk messages, or to legal and institutional arrangements for risk management.’</w:t>
      </w:r>
    </w:p>
    <w:p w14:paraId="7A7ABDC3" w14:textId="77777777" w:rsidR="00AA662C" w:rsidRPr="00F06651" w:rsidRDefault="00AA662C" w:rsidP="004A6146">
      <w:pPr>
        <w:rPr>
          <w:lang w:eastAsia="zh-CN"/>
        </w:rPr>
      </w:pPr>
      <w:r w:rsidRPr="00F06651">
        <w:rPr>
          <w:lang w:eastAsia="zh-CN"/>
        </w:rPr>
        <w:t>This definition suggests that risk communication is not only about presentation of scientific information about a given risk, but it also provides a forum for discussion on broader issues of ethical and social concern.</w:t>
      </w:r>
    </w:p>
    <w:p w14:paraId="51CEE6D6" w14:textId="3433EA57" w:rsidR="00AA662C" w:rsidRPr="00F06651" w:rsidRDefault="00AA662C" w:rsidP="004A6146">
      <w:pPr>
        <w:pStyle w:val="Heading2"/>
        <w:rPr>
          <w:lang w:eastAsia="en-AU"/>
        </w:rPr>
      </w:pPr>
      <w:bookmarkStart w:id="117" w:name="_Toc397945061"/>
      <w:bookmarkStart w:id="118" w:name="_Toc400020881"/>
      <w:bookmarkStart w:id="119" w:name="_Toc400106149"/>
      <w:r>
        <w:rPr>
          <w:lang w:eastAsia="en-AU"/>
        </w:rPr>
        <w:t>6.2</w:t>
      </w:r>
      <w:r>
        <w:rPr>
          <w:lang w:eastAsia="en-AU"/>
        </w:rPr>
        <w:tab/>
      </w:r>
      <w:r w:rsidRPr="00F06651">
        <w:rPr>
          <w:lang w:eastAsia="en-AU"/>
        </w:rPr>
        <w:t xml:space="preserve">Why </w:t>
      </w:r>
      <w:r w:rsidR="00243112">
        <w:rPr>
          <w:lang w:eastAsia="en-AU"/>
        </w:rPr>
        <w:t xml:space="preserve">is </w:t>
      </w:r>
      <w:r w:rsidRPr="00F06651">
        <w:rPr>
          <w:lang w:eastAsia="en-AU"/>
        </w:rPr>
        <w:t>consultation important</w:t>
      </w:r>
      <w:bookmarkEnd w:id="117"/>
      <w:r>
        <w:rPr>
          <w:lang w:eastAsia="en-AU"/>
        </w:rPr>
        <w:t>?</w:t>
      </w:r>
      <w:bookmarkEnd w:id="118"/>
      <w:bookmarkEnd w:id="119"/>
    </w:p>
    <w:p w14:paraId="097A8978" w14:textId="77777777" w:rsidR="00AA662C" w:rsidRPr="00F06651" w:rsidRDefault="00AA662C" w:rsidP="004A6146">
      <w:pPr>
        <w:rPr>
          <w:lang w:eastAsia="zh-CN"/>
        </w:rPr>
      </w:pPr>
      <w:r w:rsidRPr="00F06651">
        <w:rPr>
          <w:lang w:eastAsia="zh-CN"/>
        </w:rPr>
        <w:t xml:space="preserve">Consultation and dialogue with communities is crucial in order to ensure that people who may have an interest or be affected by the deployment of new ICT technologies and systems are well informed. When a new development or technology appears in a town or local </w:t>
      </w:r>
      <w:r w:rsidR="00EB6B31" w:rsidRPr="00F06651">
        <w:rPr>
          <w:lang w:eastAsia="zh-CN"/>
        </w:rPr>
        <w:t>neighbourhood</w:t>
      </w:r>
      <w:r w:rsidRPr="00F06651">
        <w:rPr>
          <w:lang w:eastAsia="zh-CN"/>
        </w:rPr>
        <w:t xml:space="preserve"> unexpectedly, local stakeholders can oppose it because they may feel offended or threatened by its appearance, or simply excluded from the process that led to its implementation.</w:t>
      </w:r>
    </w:p>
    <w:p w14:paraId="3CF87F62" w14:textId="77777777" w:rsidR="00AA662C" w:rsidRPr="00F06651" w:rsidRDefault="00AA662C" w:rsidP="004A6146">
      <w:pPr>
        <w:rPr>
          <w:lang w:eastAsia="zh-CN"/>
        </w:rPr>
      </w:pPr>
      <w:r w:rsidRPr="00F06651">
        <w:rPr>
          <w:lang w:eastAsia="zh-CN"/>
        </w:rPr>
        <w:t>If people feel that their personal well-being or that of their family is being negatively affected in some way, their opposition to the new development can turn to anger or frustration with those responsible.</w:t>
      </w:r>
      <w:r w:rsidR="0049069D">
        <w:rPr>
          <w:lang w:eastAsia="zh-CN"/>
        </w:rPr>
        <w:t xml:space="preserve"> </w:t>
      </w:r>
    </w:p>
    <w:p w14:paraId="243BB4AF" w14:textId="31E73626" w:rsidR="00AA662C" w:rsidRPr="00F06651" w:rsidRDefault="00AA662C" w:rsidP="004A6146">
      <w:pPr>
        <w:rPr>
          <w:lang w:eastAsia="zh-CN"/>
        </w:rPr>
      </w:pPr>
      <w:r w:rsidRPr="00F06651">
        <w:rPr>
          <w:lang w:eastAsia="zh-CN"/>
        </w:rPr>
        <w:t xml:space="preserve">In order to avoid </w:t>
      </w:r>
      <w:r w:rsidR="00243112">
        <w:rPr>
          <w:lang w:eastAsia="zh-CN"/>
        </w:rPr>
        <w:t>such a</w:t>
      </w:r>
      <w:r w:rsidRPr="00F06651">
        <w:rPr>
          <w:lang w:eastAsia="zh-CN"/>
        </w:rPr>
        <w:t xml:space="preserve"> situation</w:t>
      </w:r>
      <w:r w:rsidR="00243112">
        <w:rPr>
          <w:lang w:eastAsia="zh-CN"/>
        </w:rPr>
        <w:t>,</w:t>
      </w:r>
      <w:r w:rsidRPr="00F06651">
        <w:rPr>
          <w:lang w:eastAsia="zh-CN"/>
        </w:rPr>
        <w:t xml:space="preserve"> effective risk communication empha</w:t>
      </w:r>
      <w:r w:rsidR="000A72D5">
        <w:rPr>
          <w:lang w:eastAsia="zh-CN"/>
        </w:rPr>
        <w:t>s</w:t>
      </w:r>
      <w:r w:rsidRPr="00F06651">
        <w:rPr>
          <w:lang w:eastAsia="zh-CN"/>
        </w:rPr>
        <w:t>i</w:t>
      </w:r>
      <w:r w:rsidR="000A72D5">
        <w:rPr>
          <w:lang w:eastAsia="zh-CN"/>
        </w:rPr>
        <w:t>z</w:t>
      </w:r>
      <w:r w:rsidRPr="00F06651">
        <w:rPr>
          <w:lang w:eastAsia="zh-CN"/>
        </w:rPr>
        <w:t>es the need to do the following:</w:t>
      </w:r>
    </w:p>
    <w:p w14:paraId="218F6E80" w14:textId="77777777" w:rsidR="00AA662C" w:rsidRPr="00F06651" w:rsidRDefault="004A6146" w:rsidP="004A6146">
      <w:pPr>
        <w:pStyle w:val="enumlev1"/>
      </w:pPr>
      <w:r>
        <w:t>•</w:t>
      </w:r>
      <w:r>
        <w:tab/>
      </w:r>
      <w:r w:rsidR="00AA662C" w:rsidRPr="00F06651">
        <w:t>Build a working relationship with local stakeholders as a trustworthy and reliable party.</w:t>
      </w:r>
    </w:p>
    <w:p w14:paraId="168EDE93" w14:textId="77777777" w:rsidR="00AA662C" w:rsidRPr="00F06651" w:rsidRDefault="004A6146" w:rsidP="004A6146">
      <w:pPr>
        <w:pStyle w:val="enumlev1"/>
      </w:pPr>
      <w:r>
        <w:t>•</w:t>
      </w:r>
      <w:r>
        <w:tab/>
      </w:r>
      <w:r w:rsidR="00AA662C" w:rsidRPr="00F06651">
        <w:t>Ensure transparent information management in order to</w:t>
      </w:r>
      <w:r w:rsidR="00AA662C" w:rsidRPr="00F06651">
        <w:rPr>
          <w:rFonts w:eastAsia="Calibri" w:cs="Arial"/>
          <w:szCs w:val="22"/>
        </w:rPr>
        <w:t xml:space="preserve"> </w:t>
      </w:r>
      <w:r w:rsidR="00AA662C" w:rsidRPr="00F06651">
        <w:t xml:space="preserve">address concerns, reduce public </w:t>
      </w:r>
      <w:r w:rsidR="00EB6B31" w:rsidRPr="00F06651">
        <w:t>scepticism</w:t>
      </w:r>
      <w:r w:rsidR="00AA662C" w:rsidRPr="00F06651">
        <w:t xml:space="preserve"> and make the issues more understandable to the broader public.</w:t>
      </w:r>
    </w:p>
    <w:p w14:paraId="01FD581E" w14:textId="77777777" w:rsidR="00AA662C" w:rsidRPr="00F06651" w:rsidRDefault="004A6146" w:rsidP="004A6146">
      <w:pPr>
        <w:pStyle w:val="enumlev1"/>
      </w:pPr>
      <w:r>
        <w:t>•</w:t>
      </w:r>
      <w:r>
        <w:tab/>
      </w:r>
      <w:r w:rsidR="00AA662C" w:rsidRPr="00F06651">
        <w:t>Provide stakeholders with trusted sources of information, and/or foster a dialogue between</w:t>
      </w:r>
      <w:r w:rsidR="0049069D">
        <w:t xml:space="preserve"> </w:t>
      </w:r>
      <w:r w:rsidR="00AA662C" w:rsidRPr="00F06651">
        <w:t>the parties involved.</w:t>
      </w:r>
    </w:p>
    <w:p w14:paraId="6F2A188A" w14:textId="0E1511BF" w:rsidR="00AA662C" w:rsidRPr="00F06651" w:rsidRDefault="004A6146" w:rsidP="004A6146">
      <w:pPr>
        <w:pStyle w:val="enumlev1"/>
      </w:pPr>
      <w:r>
        <w:t>•</w:t>
      </w:r>
      <w:r>
        <w:tab/>
      </w:r>
      <w:r w:rsidR="00AA662C" w:rsidRPr="00F06651">
        <w:t>Emphasi</w:t>
      </w:r>
      <w:r w:rsidR="000A72D5">
        <w:t>z</w:t>
      </w:r>
      <w:r w:rsidR="00AA662C" w:rsidRPr="00F06651">
        <w:t>e the community</w:t>
      </w:r>
      <w:r w:rsidR="000A72D5">
        <w:t>’s</w:t>
      </w:r>
      <w:r w:rsidR="00AA662C" w:rsidRPr="00F06651">
        <w:t xml:space="preserve"> benefits associated with improved mobile communications.</w:t>
      </w:r>
    </w:p>
    <w:p w14:paraId="3CFC5554" w14:textId="77777777" w:rsidR="00AA662C" w:rsidRPr="00F06651" w:rsidRDefault="004A6146" w:rsidP="004A6146">
      <w:pPr>
        <w:pStyle w:val="enumlev1"/>
      </w:pPr>
      <w:r>
        <w:t>•</w:t>
      </w:r>
      <w:r>
        <w:tab/>
      </w:r>
      <w:r w:rsidR="00AA662C" w:rsidRPr="00F06651">
        <w:t>Find ways of providing people with a sense of involvement in the project, in order to reduce their perception of being powerless.</w:t>
      </w:r>
    </w:p>
    <w:p w14:paraId="3762575A" w14:textId="77777777" w:rsidR="00AA662C" w:rsidRPr="00F06651" w:rsidRDefault="00AA662C" w:rsidP="004A6146">
      <w:pPr>
        <w:pStyle w:val="Heading2"/>
        <w:rPr>
          <w:lang w:eastAsia="en-AU"/>
        </w:rPr>
      </w:pPr>
      <w:bookmarkStart w:id="120" w:name="_Toc397945062"/>
      <w:bookmarkStart w:id="121" w:name="_Toc400020882"/>
      <w:bookmarkStart w:id="122" w:name="_Toc400106150"/>
      <w:r>
        <w:rPr>
          <w:lang w:eastAsia="en-AU"/>
        </w:rPr>
        <w:t>6.3</w:t>
      </w:r>
      <w:r>
        <w:rPr>
          <w:lang w:eastAsia="en-AU"/>
        </w:rPr>
        <w:tab/>
      </w:r>
      <w:r w:rsidRPr="00F06651">
        <w:rPr>
          <w:lang w:eastAsia="en-AU"/>
        </w:rPr>
        <w:t>Risk communication guidance</w:t>
      </w:r>
      <w:bookmarkEnd w:id="120"/>
      <w:bookmarkEnd w:id="121"/>
      <w:bookmarkEnd w:id="122"/>
    </w:p>
    <w:p w14:paraId="52BDD762" w14:textId="18070325" w:rsidR="00AA662C" w:rsidRPr="00F06651" w:rsidRDefault="007E39DF" w:rsidP="004A6146">
      <w:pPr>
        <w:rPr>
          <w:lang w:eastAsia="zh-CN"/>
        </w:rPr>
      </w:pPr>
      <w:r>
        <w:rPr>
          <w:szCs w:val="24"/>
          <w:lang w:val="en-US"/>
        </w:rPr>
        <w:t>Risk perception is driven by individuali</w:t>
      </w:r>
      <w:r w:rsidR="008D78A2">
        <w:rPr>
          <w:szCs w:val="24"/>
          <w:lang w:val="en-US"/>
        </w:rPr>
        <w:t>z</w:t>
      </w:r>
      <w:r>
        <w:rPr>
          <w:szCs w:val="24"/>
          <w:lang w:val="en-US"/>
        </w:rPr>
        <w:t>ation, dissolution of beliefs, social institutions and practices</w:t>
      </w:r>
      <w:r w:rsidR="00F9089A">
        <w:rPr>
          <w:szCs w:val="24"/>
          <w:lang w:val="en-US"/>
        </w:rPr>
        <w:t xml:space="preserve"> (Burgess, 2004)</w:t>
      </w:r>
      <w:r>
        <w:rPr>
          <w:szCs w:val="24"/>
          <w:lang w:val="en-US"/>
        </w:rPr>
        <w:t xml:space="preserve">. </w:t>
      </w:r>
      <w:r w:rsidR="00AA662C" w:rsidRPr="00F06651">
        <w:rPr>
          <w:lang w:eastAsia="zh-CN"/>
        </w:rPr>
        <w:t>The WHO risk communication handbook is intended to support decision-makers faced with public controversy</w:t>
      </w:r>
      <w:r w:rsidR="001B28B8">
        <w:rPr>
          <w:lang w:eastAsia="zh-CN"/>
        </w:rPr>
        <w:t>,</w:t>
      </w:r>
      <w:r w:rsidR="00AA662C" w:rsidRPr="00F06651">
        <w:rPr>
          <w:lang w:eastAsia="zh-CN"/>
        </w:rPr>
        <w:t xml:space="preserve"> scientific uncertainty</w:t>
      </w:r>
      <w:r w:rsidR="001B28B8">
        <w:rPr>
          <w:lang w:eastAsia="zh-CN"/>
        </w:rPr>
        <w:t>,</w:t>
      </w:r>
      <w:r w:rsidR="00AA662C" w:rsidRPr="00F06651">
        <w:rPr>
          <w:lang w:eastAsia="zh-CN"/>
        </w:rPr>
        <w:t xml:space="preserve"> </w:t>
      </w:r>
      <w:r w:rsidR="001B28B8">
        <w:rPr>
          <w:lang w:eastAsia="zh-CN"/>
        </w:rPr>
        <w:t xml:space="preserve">and </w:t>
      </w:r>
      <w:r w:rsidR="00AA662C" w:rsidRPr="00F06651">
        <w:rPr>
          <w:lang w:eastAsia="zh-CN"/>
        </w:rPr>
        <w:t xml:space="preserve">the need to operate existing facilities and/or applications for new facilities (WHO, 2002). The handbook’s goal is to improve the decision-making </w:t>
      </w:r>
      <w:r w:rsidR="00AA662C" w:rsidRPr="00F06651">
        <w:rPr>
          <w:lang w:eastAsia="zh-CN"/>
        </w:rPr>
        <w:lastRenderedPageBreak/>
        <w:t xml:space="preserve">process by reducing misunderstandings and improving trust through better dialogue. When successfully implemented, community dialogue helps to establish a decision-making process that is open, consistent, fair and predictable. It can also help achieve the timely approval of new facilities, while protecting the health and safety of the community. </w:t>
      </w:r>
    </w:p>
    <w:p w14:paraId="57FCB393" w14:textId="77777777" w:rsidR="00AA662C" w:rsidRPr="00F06651" w:rsidRDefault="00AA662C" w:rsidP="004A6146">
      <w:pPr>
        <w:rPr>
          <w:bCs/>
          <w:kern w:val="36"/>
          <w:sz w:val="22"/>
          <w:lang w:eastAsia="en-AU"/>
        </w:rPr>
      </w:pPr>
      <w:r w:rsidRPr="00F06651">
        <w:rPr>
          <w:lang w:eastAsia="zh-CN"/>
        </w:rPr>
        <w:t>The mobile industry has also developed guidance on practical risk communication (GSMA and MMF, 2009).</w:t>
      </w:r>
    </w:p>
    <w:p w14:paraId="1481FA9A" w14:textId="77777777" w:rsidR="006613AC" w:rsidRDefault="006613AC">
      <w:pPr>
        <w:tabs>
          <w:tab w:val="clear" w:pos="794"/>
          <w:tab w:val="clear" w:pos="1191"/>
          <w:tab w:val="clear" w:pos="1588"/>
          <w:tab w:val="clear" w:pos="1985"/>
        </w:tabs>
        <w:overflowPunct/>
        <w:autoSpaceDE/>
        <w:autoSpaceDN/>
        <w:adjustRightInd/>
        <w:spacing w:before="0"/>
        <w:jc w:val="left"/>
        <w:textAlignment w:val="auto"/>
        <w:rPr>
          <w:b/>
        </w:rPr>
      </w:pPr>
      <w:bookmarkStart w:id="123" w:name="_Toc397945063"/>
      <w:bookmarkStart w:id="124" w:name="_Toc400020883"/>
      <w:r>
        <w:br w:type="page"/>
      </w:r>
    </w:p>
    <w:p w14:paraId="5977A482" w14:textId="6D414F9A" w:rsidR="00AA662C" w:rsidRPr="00F06651" w:rsidRDefault="00AA662C" w:rsidP="004A6146">
      <w:pPr>
        <w:pStyle w:val="Heading1"/>
      </w:pPr>
      <w:bookmarkStart w:id="125" w:name="_Toc400106151"/>
      <w:r>
        <w:lastRenderedPageBreak/>
        <w:t>7</w:t>
      </w:r>
      <w:r>
        <w:tab/>
      </w:r>
      <w:r w:rsidRPr="009E388E">
        <w:t>Wireless ICT</w:t>
      </w:r>
      <w:r w:rsidRPr="00F06651">
        <w:t xml:space="preserve"> </w:t>
      </w:r>
      <w:r w:rsidR="009E388E">
        <w:t>n</w:t>
      </w:r>
      <w:r w:rsidRPr="00F06651">
        <w:t xml:space="preserve">etwork </w:t>
      </w:r>
      <w:r w:rsidR="009E388E">
        <w:t>i</w:t>
      </w:r>
      <w:r w:rsidRPr="00F06651">
        <w:t>nfrastructure</w:t>
      </w:r>
      <w:bookmarkEnd w:id="123"/>
      <w:bookmarkEnd w:id="124"/>
      <w:bookmarkEnd w:id="125"/>
      <w:r w:rsidRPr="00F06651">
        <w:t xml:space="preserve"> </w:t>
      </w:r>
    </w:p>
    <w:p w14:paraId="5DEF02C4" w14:textId="7D97B815" w:rsidR="00AA662C" w:rsidRPr="00F06651" w:rsidRDefault="00AA662C" w:rsidP="004A6146">
      <w:pPr>
        <w:rPr>
          <w:lang w:eastAsia="zh-CN"/>
        </w:rPr>
      </w:pPr>
      <w:r w:rsidRPr="00F06651">
        <w:rPr>
          <w:lang w:eastAsia="zh-CN"/>
        </w:rPr>
        <w:t xml:space="preserve">Wireless networks form the backbone of the ICT infrastructure that supports SSC. This </w:t>
      </w:r>
      <w:r w:rsidR="009E388E">
        <w:rPr>
          <w:lang w:eastAsia="zh-CN"/>
        </w:rPr>
        <w:t>section</w:t>
      </w:r>
      <w:r w:rsidRPr="00F06651">
        <w:rPr>
          <w:lang w:eastAsia="zh-CN"/>
        </w:rPr>
        <w:t xml:space="preserve"> looks at the infrastructure elements of a wireless network in order to improve </w:t>
      </w:r>
      <w:r w:rsidR="00057137">
        <w:rPr>
          <w:lang w:eastAsia="zh-CN"/>
        </w:rPr>
        <w:t xml:space="preserve">the </w:t>
      </w:r>
      <w:r w:rsidRPr="00F06651">
        <w:rPr>
          <w:lang w:eastAsia="zh-CN"/>
        </w:rPr>
        <w:t>understanding of the role played by the differing elements.</w:t>
      </w:r>
    </w:p>
    <w:p w14:paraId="3549F67D" w14:textId="407E089F" w:rsidR="00AA662C" w:rsidRPr="00F06651" w:rsidRDefault="00AA662C" w:rsidP="004A6146">
      <w:pPr>
        <w:rPr>
          <w:lang w:eastAsia="zh-CN"/>
        </w:rPr>
      </w:pPr>
      <w:r w:rsidRPr="00F06651">
        <w:rPr>
          <w:lang w:eastAsia="zh-CN"/>
        </w:rPr>
        <w:t>Wireless networks utili</w:t>
      </w:r>
      <w:r w:rsidR="009E388E">
        <w:rPr>
          <w:lang w:eastAsia="zh-CN"/>
        </w:rPr>
        <w:t>z</w:t>
      </w:r>
      <w:r w:rsidRPr="00F06651">
        <w:rPr>
          <w:lang w:eastAsia="zh-CN"/>
        </w:rPr>
        <w:t>e various wireless technologies to connect ICT devices to a common platform or core network. In many cases</w:t>
      </w:r>
      <w:r w:rsidR="009E388E">
        <w:rPr>
          <w:lang w:eastAsia="zh-CN"/>
        </w:rPr>
        <w:t>,</w:t>
      </w:r>
      <w:r w:rsidRPr="00F06651">
        <w:rPr>
          <w:lang w:eastAsia="zh-CN"/>
        </w:rPr>
        <w:t xml:space="preserve"> the ICT devices are connected through a core network to the Internet enabling global access and widespread interconnection.</w:t>
      </w:r>
    </w:p>
    <w:p w14:paraId="7181F8B7" w14:textId="77777777" w:rsidR="00AA662C" w:rsidRPr="00F06651" w:rsidRDefault="00AA662C" w:rsidP="004A6146">
      <w:pPr>
        <w:pStyle w:val="Heading2"/>
        <w:rPr>
          <w:lang w:eastAsia="en-AU"/>
        </w:rPr>
      </w:pPr>
      <w:bookmarkStart w:id="126" w:name="_Toc397945065"/>
      <w:bookmarkStart w:id="127" w:name="_Toc400020884"/>
      <w:bookmarkStart w:id="128" w:name="_Toc400106152"/>
      <w:r>
        <w:rPr>
          <w:lang w:eastAsia="en-AU"/>
        </w:rPr>
        <w:t>7.1</w:t>
      </w:r>
      <w:r>
        <w:rPr>
          <w:lang w:eastAsia="en-AU"/>
        </w:rPr>
        <w:tab/>
      </w:r>
      <w:r w:rsidRPr="00F06651">
        <w:rPr>
          <w:lang w:eastAsia="en-AU"/>
        </w:rPr>
        <w:t>Mobile network base stations and antennas</w:t>
      </w:r>
      <w:bookmarkEnd w:id="126"/>
      <w:bookmarkEnd w:id="127"/>
      <w:bookmarkEnd w:id="128"/>
      <w:r w:rsidRPr="00F06651">
        <w:rPr>
          <w:lang w:eastAsia="en-AU"/>
        </w:rPr>
        <w:t xml:space="preserve"> </w:t>
      </w:r>
    </w:p>
    <w:p w14:paraId="222F867C" w14:textId="77777777" w:rsidR="00AA662C" w:rsidRPr="00F06651" w:rsidRDefault="00AA662C" w:rsidP="004A6146">
      <w:pPr>
        <w:rPr>
          <w:lang w:eastAsia="zh-CN"/>
        </w:rPr>
      </w:pPr>
      <w:r w:rsidRPr="00F06651">
        <w:rPr>
          <w:lang w:eastAsia="zh-CN"/>
        </w:rPr>
        <w:t>Mobile networks rely on a network of base stations that send and receive data from the ICT devices. Base stations need to be located close to users in order to improve efficiency by providing a good quality connection. Mobile devices use adaptive power control</w:t>
      </w:r>
      <w:r w:rsidR="00057137">
        <w:rPr>
          <w:lang w:eastAsia="zh-CN"/>
        </w:rPr>
        <w:t>,</w:t>
      </w:r>
      <w:r w:rsidRPr="00F06651">
        <w:rPr>
          <w:lang w:eastAsia="zh-CN"/>
        </w:rPr>
        <w:t xml:space="preserve"> and where the connection is good they will operate on the lowest power level needed to maintain a quality connection. A base station generally consists of an equipment cabinet with transmitters and receivers that are connected to external antennas mounted on a supporting structure. Figure 14 illustrates the distribution of a wireless network infrastructure and antennas in an urban area.</w:t>
      </w:r>
    </w:p>
    <w:p w14:paraId="1446FC38" w14:textId="77777777" w:rsidR="004A6146" w:rsidRDefault="00AA662C" w:rsidP="004A6146">
      <w:pPr>
        <w:pStyle w:val="Figure"/>
        <w:rPr>
          <w:lang w:eastAsia="en-AU"/>
        </w:rPr>
      </w:pPr>
      <w:r w:rsidRPr="00F06651">
        <w:rPr>
          <w:noProof/>
          <w:lang w:val="en-US" w:eastAsia="zh-CN"/>
        </w:rPr>
        <w:drawing>
          <wp:inline distT="0" distB="0" distL="0" distR="0" wp14:anchorId="06D8BE63" wp14:editId="440C95BC">
            <wp:extent cx="5711425" cy="3809789"/>
            <wp:effectExtent l="19050" t="0" r="3575" b="0"/>
            <wp:docPr id="59" name="Picture 21" descr="EME_57_ITU_Graphics_1000px_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7_ITU_Graphics_1000px_FIG14.jpg"/>
                    <pic:cNvPicPr/>
                  </pic:nvPicPr>
                  <pic:blipFill>
                    <a:blip r:embed="rId50" cstate="print"/>
                    <a:stretch>
                      <a:fillRect/>
                    </a:stretch>
                  </pic:blipFill>
                  <pic:spPr>
                    <a:xfrm>
                      <a:off x="0" y="0"/>
                      <a:ext cx="5709056" cy="3808209"/>
                    </a:xfrm>
                    <a:prstGeom prst="rect">
                      <a:avLst/>
                    </a:prstGeom>
                  </pic:spPr>
                </pic:pic>
              </a:graphicData>
            </a:graphic>
          </wp:inline>
        </w:drawing>
      </w:r>
    </w:p>
    <w:p w14:paraId="0246BA87" w14:textId="3E1D9381" w:rsidR="00057137" w:rsidRPr="00F06651" w:rsidRDefault="00057137" w:rsidP="00057137">
      <w:pPr>
        <w:pStyle w:val="Figurelegend"/>
        <w:rPr>
          <w:lang w:eastAsia="en-AU"/>
        </w:rPr>
      </w:pPr>
      <w:r w:rsidRPr="00F06651">
        <w:rPr>
          <w:lang w:eastAsia="en-AU"/>
        </w:rPr>
        <w:t xml:space="preserve">Source: </w:t>
      </w:r>
      <w:r>
        <w:rPr>
          <w:lang w:eastAsia="en-AU"/>
        </w:rPr>
        <w:t>A</w:t>
      </w:r>
      <w:r w:rsidRPr="00F06651">
        <w:rPr>
          <w:lang w:eastAsia="en-AU"/>
        </w:rPr>
        <w:t xml:space="preserve">dapted from </w:t>
      </w:r>
      <w:hyperlink r:id="rId51" w:history="1">
        <w:r w:rsidRPr="00F06651">
          <w:rPr>
            <w:color w:val="0000FF"/>
            <w:u w:val="single"/>
            <w:lang w:eastAsia="en-AU"/>
          </w:rPr>
          <w:t>http://www.gsma.com/publicpolicy/mobile-and-health/mobile-networks</w:t>
        </w:r>
      </w:hyperlink>
    </w:p>
    <w:p w14:paraId="6E6E79C6" w14:textId="77777777" w:rsidR="004A6146" w:rsidRDefault="00AA662C" w:rsidP="0049069D">
      <w:pPr>
        <w:pStyle w:val="FigureNoTitle"/>
        <w:rPr>
          <w:lang w:eastAsia="en-AU"/>
        </w:rPr>
      </w:pPr>
      <w:r w:rsidRPr="00F06651">
        <w:rPr>
          <w:lang w:eastAsia="en-AU"/>
        </w:rPr>
        <w:t xml:space="preserve">Figure </w:t>
      </w:r>
      <w:bookmarkStart w:id="129" w:name="f_mobile_nw_structure"/>
      <w:bookmarkEnd w:id="129"/>
      <w:r w:rsidR="00C37C93">
        <w:rPr>
          <w:noProof/>
          <w:lang w:eastAsia="en-AU"/>
        </w:rPr>
        <w:t>14</w:t>
      </w:r>
      <w:r w:rsidRPr="00F06651">
        <w:rPr>
          <w:lang w:eastAsia="en-AU"/>
        </w:rPr>
        <w:t xml:space="preserve"> </w:t>
      </w:r>
      <w:r w:rsidR="0049069D">
        <w:rPr>
          <w:lang w:eastAsia="en-AU"/>
        </w:rPr>
        <w:t>–</w:t>
      </w:r>
      <w:r w:rsidRPr="00F06651">
        <w:rPr>
          <w:lang w:eastAsia="en-AU"/>
        </w:rPr>
        <w:t xml:space="preserve"> Example wireless network structure and antenna </w:t>
      </w:r>
      <w:r w:rsidR="004A6146">
        <w:rPr>
          <w:lang w:eastAsia="en-AU"/>
        </w:rPr>
        <w:br/>
      </w:r>
      <w:r w:rsidRPr="00F06651">
        <w:rPr>
          <w:lang w:eastAsia="en-AU"/>
        </w:rPr>
        <w:t>sites distributed across a city</w:t>
      </w:r>
    </w:p>
    <w:p w14:paraId="56F38337" w14:textId="77777777" w:rsidR="00AA662C" w:rsidRPr="00F06651" w:rsidRDefault="00AA662C" w:rsidP="004A6146">
      <w:pPr>
        <w:pStyle w:val="Heading2"/>
        <w:rPr>
          <w:lang w:eastAsia="en-AU"/>
        </w:rPr>
      </w:pPr>
      <w:bookmarkStart w:id="130" w:name="_Toc397945066"/>
      <w:bookmarkStart w:id="131" w:name="_Toc400020885"/>
      <w:bookmarkStart w:id="132" w:name="_Toc400106153"/>
      <w:r>
        <w:rPr>
          <w:lang w:eastAsia="en-AU"/>
        </w:rPr>
        <w:t>7.2</w:t>
      </w:r>
      <w:r>
        <w:rPr>
          <w:lang w:eastAsia="en-AU"/>
        </w:rPr>
        <w:tab/>
      </w:r>
      <w:r w:rsidRPr="00F06651">
        <w:rPr>
          <w:lang w:eastAsia="en-AU"/>
        </w:rPr>
        <w:t>Macro base stations and small cells</w:t>
      </w:r>
      <w:bookmarkEnd w:id="130"/>
      <w:bookmarkEnd w:id="131"/>
      <w:bookmarkEnd w:id="132"/>
    </w:p>
    <w:p w14:paraId="56FDCC1E" w14:textId="77777777" w:rsidR="00AA662C" w:rsidRPr="00F06651" w:rsidRDefault="00AA662C" w:rsidP="004A6146">
      <w:pPr>
        <w:rPr>
          <w:lang w:eastAsia="zh-CN"/>
        </w:rPr>
      </w:pPr>
      <w:r w:rsidRPr="001A09B0">
        <w:rPr>
          <w:lang w:eastAsia="zh-CN"/>
        </w:rPr>
        <w:t>Wireless base stations</w:t>
      </w:r>
      <w:r w:rsidRPr="00F06651">
        <w:rPr>
          <w:lang w:eastAsia="zh-CN"/>
        </w:rPr>
        <w:t xml:space="preserve"> consist of various types of base stations depending primarily on the required coverage and service area. These types are represented in Figures 15 and 16, and explained below.</w:t>
      </w:r>
    </w:p>
    <w:p w14:paraId="618C6D65" w14:textId="7454D918" w:rsidR="00AA662C" w:rsidRPr="00F06651" w:rsidRDefault="00AA662C" w:rsidP="0013599C">
      <w:pPr>
        <w:rPr>
          <w:lang w:eastAsia="zh-CN"/>
        </w:rPr>
      </w:pPr>
      <w:r w:rsidRPr="00F06651">
        <w:rPr>
          <w:b/>
          <w:lang w:eastAsia="zh-CN"/>
        </w:rPr>
        <w:t xml:space="preserve">Macro </w:t>
      </w:r>
      <w:r w:rsidR="00701F52">
        <w:rPr>
          <w:b/>
          <w:lang w:eastAsia="zh-CN"/>
        </w:rPr>
        <w:t>b</w:t>
      </w:r>
      <w:r w:rsidRPr="00F06651">
        <w:rPr>
          <w:b/>
          <w:lang w:eastAsia="zh-CN"/>
        </w:rPr>
        <w:t xml:space="preserve">ase </w:t>
      </w:r>
      <w:r w:rsidR="00701F52">
        <w:rPr>
          <w:b/>
          <w:lang w:eastAsia="zh-CN"/>
        </w:rPr>
        <w:t>s</w:t>
      </w:r>
      <w:r w:rsidRPr="00F06651">
        <w:rPr>
          <w:b/>
          <w:lang w:eastAsia="zh-CN"/>
        </w:rPr>
        <w:t>tation</w:t>
      </w:r>
      <w:r w:rsidRPr="00F06651">
        <w:rPr>
          <w:lang w:eastAsia="zh-CN"/>
        </w:rPr>
        <w:t xml:space="preserve"> </w:t>
      </w:r>
      <w:r w:rsidR="0013599C">
        <w:rPr>
          <w:lang w:eastAsia="zh-CN"/>
        </w:rPr>
        <w:t>–</w:t>
      </w:r>
      <w:r w:rsidRPr="00F06651">
        <w:rPr>
          <w:lang w:eastAsia="zh-CN"/>
        </w:rPr>
        <w:t xml:space="preserve"> A </w:t>
      </w:r>
      <w:r w:rsidR="00701F52">
        <w:rPr>
          <w:lang w:eastAsia="zh-CN"/>
        </w:rPr>
        <w:t>m</w:t>
      </w:r>
      <w:r w:rsidRPr="00F06651">
        <w:rPr>
          <w:lang w:eastAsia="zh-CN"/>
        </w:rPr>
        <w:t>acro base station utili</w:t>
      </w:r>
      <w:r w:rsidR="00701F52">
        <w:rPr>
          <w:lang w:eastAsia="zh-CN"/>
        </w:rPr>
        <w:t>z</w:t>
      </w:r>
      <w:r w:rsidRPr="00F06651">
        <w:rPr>
          <w:lang w:eastAsia="zh-CN"/>
        </w:rPr>
        <w:t>es antennas mounted on a tower, pole or building rooftop and typically covers a larger geographic area.</w:t>
      </w:r>
    </w:p>
    <w:p w14:paraId="634D9501" w14:textId="44733855" w:rsidR="00AA662C" w:rsidRPr="00F06651" w:rsidRDefault="00AA662C" w:rsidP="004A6146">
      <w:pPr>
        <w:rPr>
          <w:lang w:eastAsia="zh-CN"/>
        </w:rPr>
      </w:pPr>
      <w:r w:rsidRPr="00F06651">
        <w:rPr>
          <w:b/>
          <w:lang w:eastAsia="zh-CN"/>
        </w:rPr>
        <w:lastRenderedPageBreak/>
        <w:t>Small cells</w:t>
      </w:r>
      <w:r w:rsidRPr="00F06651">
        <w:rPr>
          <w:lang w:eastAsia="zh-CN"/>
        </w:rPr>
        <w:t xml:space="preserve"> – Small cells are low power base stations or antenna system</w:t>
      </w:r>
      <w:r w:rsidR="00DD3799">
        <w:rPr>
          <w:lang w:eastAsia="zh-CN"/>
        </w:rPr>
        <w:t>s</w:t>
      </w:r>
      <w:r w:rsidRPr="00F06651">
        <w:rPr>
          <w:lang w:eastAsia="zh-CN"/>
        </w:rPr>
        <w:t xml:space="preserve"> installed close to mobile terminal users to improve capacity </w:t>
      </w:r>
      <w:r w:rsidR="00701F52">
        <w:rPr>
          <w:lang w:eastAsia="zh-CN"/>
        </w:rPr>
        <w:t>in</w:t>
      </w:r>
      <w:r w:rsidRPr="00F06651">
        <w:rPr>
          <w:lang w:eastAsia="zh-CN"/>
        </w:rPr>
        <w:t xml:space="preserve"> a small geographic area. Depending on the transmitted power range, different terms can be used for small cells such as ‘medium range base stations’, ‘local area base station</w:t>
      </w:r>
      <w:r w:rsidR="00701F52">
        <w:rPr>
          <w:lang w:eastAsia="zh-CN"/>
        </w:rPr>
        <w:t>s</w:t>
      </w:r>
      <w:r w:rsidRPr="00F06651">
        <w:rPr>
          <w:lang w:eastAsia="zh-CN"/>
        </w:rPr>
        <w:t>’ or ‘home area base stations’ (see 3GPP TS</w:t>
      </w:r>
      <w:r w:rsidR="00DD3799">
        <w:rPr>
          <w:lang w:eastAsia="zh-CN"/>
        </w:rPr>
        <w:t xml:space="preserve"> </w:t>
      </w:r>
      <w:r w:rsidRPr="00F06651">
        <w:rPr>
          <w:lang w:eastAsia="zh-CN"/>
        </w:rPr>
        <w:t>25.104 and TS</w:t>
      </w:r>
      <w:r w:rsidR="00DD3799">
        <w:rPr>
          <w:lang w:eastAsia="zh-CN"/>
        </w:rPr>
        <w:t xml:space="preserve"> </w:t>
      </w:r>
      <w:r w:rsidRPr="00F06651">
        <w:rPr>
          <w:lang w:eastAsia="zh-CN"/>
        </w:rPr>
        <w:t xml:space="preserve">36.104). Small cells are sometimes also referred to as micro, </w:t>
      </w:r>
      <w:r w:rsidR="00EB6B31" w:rsidRPr="00F06651">
        <w:rPr>
          <w:lang w:eastAsia="zh-CN"/>
        </w:rPr>
        <w:t>picot</w:t>
      </w:r>
      <w:r w:rsidRPr="00F06651">
        <w:rPr>
          <w:lang w:eastAsia="zh-CN"/>
        </w:rPr>
        <w:t xml:space="preserve"> or </w:t>
      </w:r>
      <w:r w:rsidR="00EB6B31" w:rsidRPr="00F06651">
        <w:rPr>
          <w:lang w:eastAsia="zh-CN"/>
        </w:rPr>
        <w:t>feta</w:t>
      </w:r>
      <w:r w:rsidRPr="00F06651">
        <w:rPr>
          <w:lang w:eastAsia="zh-CN"/>
        </w:rPr>
        <w:t xml:space="preserve"> cells.</w:t>
      </w:r>
    </w:p>
    <w:p w14:paraId="325A34FC" w14:textId="100CC14D" w:rsidR="00AA662C" w:rsidRPr="00F06651" w:rsidRDefault="00AA662C" w:rsidP="004A6146">
      <w:pPr>
        <w:rPr>
          <w:lang w:eastAsia="zh-CN"/>
        </w:rPr>
      </w:pPr>
      <w:r w:rsidRPr="00F06651">
        <w:rPr>
          <w:b/>
          <w:lang w:eastAsia="zh-CN"/>
        </w:rPr>
        <w:t>In</w:t>
      </w:r>
      <w:r w:rsidR="00DD3799">
        <w:rPr>
          <w:b/>
          <w:lang w:eastAsia="zh-CN"/>
        </w:rPr>
        <w:t>-b</w:t>
      </w:r>
      <w:r w:rsidRPr="00F06651">
        <w:rPr>
          <w:b/>
          <w:lang w:eastAsia="zh-CN"/>
        </w:rPr>
        <w:t xml:space="preserve">uilding </w:t>
      </w:r>
      <w:r w:rsidR="00DD3799">
        <w:rPr>
          <w:b/>
          <w:lang w:eastAsia="zh-CN"/>
        </w:rPr>
        <w:t>b</w:t>
      </w:r>
      <w:r w:rsidRPr="00F06651">
        <w:rPr>
          <w:b/>
          <w:lang w:eastAsia="zh-CN"/>
        </w:rPr>
        <w:t xml:space="preserve">ase </w:t>
      </w:r>
      <w:r w:rsidR="00DD3799">
        <w:rPr>
          <w:b/>
          <w:lang w:eastAsia="zh-CN"/>
        </w:rPr>
        <w:t>s</w:t>
      </w:r>
      <w:r w:rsidRPr="00F06651">
        <w:rPr>
          <w:b/>
          <w:lang w:eastAsia="zh-CN"/>
        </w:rPr>
        <w:t>tation</w:t>
      </w:r>
      <w:r w:rsidRPr="00F06651">
        <w:rPr>
          <w:lang w:eastAsia="zh-CN"/>
        </w:rPr>
        <w:t xml:space="preserve"> – Small cell systems can be deployed inside buildings such as multi-storey office buildings, shopping centres, apartments, and underground railway systems by installing specially designed ‘</w:t>
      </w:r>
      <w:r w:rsidR="00DD3799">
        <w:rPr>
          <w:lang w:eastAsia="zh-CN"/>
        </w:rPr>
        <w:t>i</w:t>
      </w:r>
      <w:r w:rsidRPr="00F06651">
        <w:rPr>
          <w:lang w:eastAsia="zh-CN"/>
        </w:rPr>
        <w:t>n-</w:t>
      </w:r>
      <w:r w:rsidR="00DD3799">
        <w:rPr>
          <w:lang w:eastAsia="zh-CN"/>
        </w:rPr>
        <w:t>b</w:t>
      </w:r>
      <w:r w:rsidRPr="00F06651">
        <w:rPr>
          <w:lang w:eastAsia="zh-CN"/>
        </w:rPr>
        <w:t xml:space="preserve">uilding’ systems. These systems are sometimes referred to as </w:t>
      </w:r>
      <w:r w:rsidR="000C6BB1">
        <w:rPr>
          <w:lang w:eastAsia="zh-CN"/>
        </w:rPr>
        <w:t>d</w:t>
      </w:r>
      <w:r w:rsidRPr="00F06651">
        <w:rPr>
          <w:lang w:eastAsia="zh-CN"/>
        </w:rPr>
        <w:t xml:space="preserve">istributed </w:t>
      </w:r>
      <w:r w:rsidR="000C6BB1">
        <w:rPr>
          <w:lang w:eastAsia="zh-CN"/>
        </w:rPr>
        <w:t>a</w:t>
      </w:r>
      <w:r w:rsidRPr="00F06651">
        <w:rPr>
          <w:lang w:eastAsia="zh-CN"/>
        </w:rPr>
        <w:t xml:space="preserve">ntenna </w:t>
      </w:r>
      <w:r w:rsidR="000C6BB1">
        <w:rPr>
          <w:lang w:eastAsia="zh-CN"/>
        </w:rPr>
        <w:t>s</w:t>
      </w:r>
      <w:r w:rsidRPr="00F06651">
        <w:rPr>
          <w:lang w:eastAsia="zh-CN"/>
        </w:rPr>
        <w:t xml:space="preserve">ystems (DAS) or small cell </w:t>
      </w:r>
      <w:r w:rsidR="000C6BB1">
        <w:rPr>
          <w:lang w:eastAsia="zh-CN"/>
        </w:rPr>
        <w:t>i</w:t>
      </w:r>
      <w:r w:rsidRPr="00F06651">
        <w:rPr>
          <w:lang w:eastAsia="zh-CN"/>
        </w:rPr>
        <w:t>n-</w:t>
      </w:r>
      <w:r w:rsidR="000C6BB1">
        <w:rPr>
          <w:lang w:eastAsia="zh-CN"/>
        </w:rPr>
        <w:t>b</w:t>
      </w:r>
      <w:r w:rsidRPr="00F06651">
        <w:rPr>
          <w:lang w:eastAsia="zh-CN"/>
        </w:rPr>
        <w:t xml:space="preserve">uilding </w:t>
      </w:r>
      <w:r w:rsidR="000C6BB1">
        <w:rPr>
          <w:lang w:eastAsia="zh-CN"/>
        </w:rPr>
        <w:t>c</w:t>
      </w:r>
      <w:r w:rsidRPr="00F06651">
        <w:rPr>
          <w:lang w:eastAsia="zh-CN"/>
        </w:rPr>
        <w:t>overage (IBC) and operate in a similar way to macro base stations but at much lower power levels.</w:t>
      </w:r>
    </w:p>
    <w:p w14:paraId="49AF776C" w14:textId="77777777" w:rsidR="004A6146" w:rsidRDefault="00AA662C" w:rsidP="004A6146">
      <w:pPr>
        <w:pStyle w:val="Figure"/>
        <w:rPr>
          <w:lang w:eastAsia="en-AU"/>
        </w:rPr>
      </w:pPr>
      <w:r w:rsidRPr="00F06651">
        <w:rPr>
          <w:noProof/>
          <w:lang w:val="en-US" w:eastAsia="zh-CN"/>
        </w:rPr>
        <w:drawing>
          <wp:inline distT="0" distB="0" distL="0" distR="0" wp14:anchorId="31D928DC" wp14:editId="73015869">
            <wp:extent cx="4900590" cy="3269673"/>
            <wp:effectExtent l="19050" t="0" r="0" b="0"/>
            <wp:docPr id="60" name="Picture 60" descr="D:\Users\e039118\Pictures\Graphic6_TypesOfBaseStations-f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e039118\Pictures\Graphic6_TypesOfBaseStations-f1000.jpg"/>
                    <pic:cNvPicPr>
                      <a:picLocks noChangeAspect="1" noChangeArrowheads="1"/>
                    </pic:cNvPicPr>
                  </pic:nvPicPr>
                  <pic:blipFill>
                    <a:blip r:embed="rId52" cstate="print"/>
                    <a:srcRect/>
                    <a:stretch>
                      <a:fillRect/>
                    </a:stretch>
                  </pic:blipFill>
                  <pic:spPr bwMode="auto">
                    <a:xfrm>
                      <a:off x="0" y="0"/>
                      <a:ext cx="4906130" cy="3273369"/>
                    </a:xfrm>
                    <a:prstGeom prst="rect">
                      <a:avLst/>
                    </a:prstGeom>
                    <a:noFill/>
                    <a:ln w="9525">
                      <a:noFill/>
                      <a:miter lim="800000"/>
                      <a:headEnd/>
                      <a:tailEnd/>
                    </a:ln>
                  </pic:spPr>
                </pic:pic>
              </a:graphicData>
            </a:graphic>
          </wp:inline>
        </w:drawing>
      </w:r>
    </w:p>
    <w:p w14:paraId="6B8535D6" w14:textId="77777777" w:rsidR="00701F52" w:rsidRDefault="00701F52" w:rsidP="00701F52">
      <w:pPr>
        <w:pStyle w:val="FigureNoTitle"/>
        <w:rPr>
          <w:rFonts w:eastAsia="SimSun"/>
          <w:b w:val="0"/>
          <w:bCs/>
          <w:color w:val="0000FF"/>
          <w:kern w:val="36"/>
          <w:sz w:val="20"/>
          <w:u w:val="single"/>
          <w:lang w:eastAsia="en-AU"/>
        </w:rPr>
      </w:pPr>
      <w:r>
        <w:rPr>
          <w:rFonts w:eastAsia="SimSun"/>
          <w:b w:val="0"/>
          <w:bCs/>
          <w:kern w:val="36"/>
          <w:sz w:val="20"/>
          <w:lang w:eastAsia="en-AU"/>
        </w:rPr>
        <w:t>Source: A</w:t>
      </w:r>
      <w:r w:rsidRPr="006613AC">
        <w:rPr>
          <w:rFonts w:eastAsia="SimSun"/>
          <w:b w:val="0"/>
          <w:bCs/>
          <w:kern w:val="36"/>
          <w:sz w:val="20"/>
          <w:lang w:eastAsia="en-AU"/>
        </w:rPr>
        <w:t xml:space="preserve">dapted </w:t>
      </w:r>
      <w:r w:rsidRPr="006613AC">
        <w:rPr>
          <w:b w:val="0"/>
          <w:bCs/>
          <w:sz w:val="20"/>
        </w:rPr>
        <w:t>from</w:t>
      </w:r>
      <w:r w:rsidRPr="006613AC">
        <w:rPr>
          <w:rFonts w:eastAsia="SimSun"/>
          <w:b w:val="0"/>
          <w:bCs/>
          <w:kern w:val="36"/>
          <w:sz w:val="20"/>
          <w:lang w:eastAsia="en-AU"/>
        </w:rPr>
        <w:t xml:space="preserve"> </w:t>
      </w:r>
      <w:hyperlink r:id="rId53" w:history="1">
        <w:r w:rsidRPr="006613AC">
          <w:rPr>
            <w:rFonts w:eastAsia="SimSun"/>
            <w:b w:val="0"/>
            <w:bCs/>
            <w:color w:val="0000FF"/>
            <w:kern w:val="36"/>
            <w:sz w:val="20"/>
            <w:u w:val="single"/>
            <w:lang w:eastAsia="en-AU"/>
          </w:rPr>
          <w:t>http://www.gsma.com/publicpolicy/new-gsma-animation-and-infographic-highlight-the-importance-of-mobile-networks-in-the-connected-world</w:t>
        </w:r>
      </w:hyperlink>
    </w:p>
    <w:p w14:paraId="706F3725" w14:textId="014FE17E" w:rsidR="00DC0049" w:rsidRDefault="00AA662C" w:rsidP="00701F52">
      <w:pPr>
        <w:pStyle w:val="FigureNoTitle"/>
        <w:rPr>
          <w:rFonts w:eastAsia="SimSun"/>
          <w:bCs/>
          <w:kern w:val="36"/>
          <w:sz w:val="20"/>
          <w:lang w:eastAsia="en-AU"/>
        </w:rPr>
      </w:pPr>
      <w:r w:rsidRPr="00F06651">
        <w:rPr>
          <w:lang w:eastAsia="en-AU"/>
        </w:rPr>
        <w:t xml:space="preserve">Figure </w:t>
      </w:r>
      <w:r w:rsidR="00C37C93">
        <w:rPr>
          <w:noProof/>
          <w:lang w:eastAsia="en-AU"/>
        </w:rPr>
        <w:t>15</w:t>
      </w:r>
      <w:r w:rsidRPr="00F06651">
        <w:rPr>
          <w:lang w:eastAsia="en-AU"/>
        </w:rPr>
        <w:t xml:space="preserve"> </w:t>
      </w:r>
      <w:r w:rsidR="0049069D">
        <w:rPr>
          <w:lang w:eastAsia="en-AU"/>
        </w:rPr>
        <w:t>–</w:t>
      </w:r>
      <w:r w:rsidRPr="00F06651">
        <w:rPr>
          <w:lang w:eastAsia="en-AU"/>
        </w:rPr>
        <w:t xml:space="preserve"> Small cell on street light and macro base station on building and tower</w:t>
      </w:r>
      <w:r w:rsidR="006613AC">
        <w:rPr>
          <w:rFonts w:eastAsia="SimSun"/>
          <w:bCs/>
          <w:kern w:val="36"/>
          <w:sz w:val="20"/>
          <w:lang w:eastAsia="en-AU"/>
        </w:rPr>
        <w:br/>
      </w:r>
      <w:r w:rsidR="006613AC">
        <w:rPr>
          <w:rFonts w:eastAsia="SimSun"/>
          <w:bCs/>
          <w:kern w:val="36"/>
          <w:sz w:val="20"/>
          <w:lang w:eastAsia="en-AU"/>
        </w:rPr>
        <w:br/>
      </w:r>
    </w:p>
    <w:p w14:paraId="75A36F90" w14:textId="77777777" w:rsidR="00AA662C" w:rsidRPr="00F06651" w:rsidRDefault="00AA662C" w:rsidP="004A6146">
      <w:pPr>
        <w:pStyle w:val="Figure"/>
        <w:rPr>
          <w:szCs w:val="24"/>
          <w:lang w:eastAsia="zh-CN"/>
        </w:rPr>
      </w:pPr>
      <w:r w:rsidRPr="00F06651">
        <w:rPr>
          <w:noProof/>
          <w:lang w:val="en-US" w:eastAsia="zh-CN"/>
        </w:rPr>
        <w:lastRenderedPageBreak/>
        <w:drawing>
          <wp:inline distT="0" distB="0" distL="0" distR="0" wp14:anchorId="15A9A1D8" wp14:editId="27B28BF3">
            <wp:extent cx="5734050" cy="3824881"/>
            <wp:effectExtent l="0" t="0" r="0" b="0"/>
            <wp:docPr id="61" name="Picture 24" descr="EME_57_ITU_Graphics_1000px_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7_ITU_Graphics_1000px_FIG16.jpg"/>
                    <pic:cNvPicPr/>
                  </pic:nvPicPr>
                  <pic:blipFill>
                    <a:blip r:embed="rId54" cstate="print"/>
                    <a:stretch>
                      <a:fillRect/>
                    </a:stretch>
                  </pic:blipFill>
                  <pic:spPr>
                    <a:xfrm>
                      <a:off x="0" y="0"/>
                      <a:ext cx="5736893" cy="3826777"/>
                    </a:xfrm>
                    <a:prstGeom prst="rect">
                      <a:avLst/>
                    </a:prstGeom>
                  </pic:spPr>
                </pic:pic>
              </a:graphicData>
            </a:graphic>
          </wp:inline>
        </w:drawing>
      </w:r>
    </w:p>
    <w:p w14:paraId="19FBE186" w14:textId="05C44FF4" w:rsidR="001E426F" w:rsidRPr="002E4045" w:rsidRDefault="00A03D40" w:rsidP="002E4045">
      <w:pPr>
        <w:pStyle w:val="Figurelegend"/>
        <w:keepNext w:val="0"/>
        <w:keepLines w:val="0"/>
        <w:jc w:val="left"/>
      </w:pPr>
      <w:r>
        <w:rPr>
          <w:lang w:eastAsia="en-AU"/>
        </w:rPr>
        <w:t>Source: A</w:t>
      </w:r>
      <w:r w:rsidRPr="00F06651">
        <w:rPr>
          <w:lang w:eastAsia="en-AU"/>
        </w:rPr>
        <w:t xml:space="preserve">dapted from Mobile Carriers Forum fact sheet ‘The mobile phone network: In-Building coverage,’ available at </w:t>
      </w:r>
      <w:hyperlink r:id="rId55" w:history="1">
        <w:r w:rsidR="000E4A5B" w:rsidRPr="002E4045">
          <w:t>http://www.mcf.amta.org.au/pages/Fact.Sheets</w:t>
        </w:r>
      </w:hyperlink>
    </w:p>
    <w:p w14:paraId="6F078F0B" w14:textId="77777777" w:rsidR="004A6146" w:rsidRDefault="00AA662C" w:rsidP="004A6146">
      <w:pPr>
        <w:pStyle w:val="FigureNoTitle"/>
        <w:rPr>
          <w:lang w:eastAsia="en-AU"/>
        </w:rPr>
      </w:pPr>
      <w:r w:rsidRPr="00F06651">
        <w:rPr>
          <w:lang w:eastAsia="en-AU"/>
        </w:rPr>
        <w:t xml:space="preserve">Figure </w:t>
      </w:r>
      <w:bookmarkStart w:id="133" w:name="f_inbuilding_das"/>
      <w:bookmarkEnd w:id="133"/>
      <w:r w:rsidR="00C37C93">
        <w:rPr>
          <w:noProof/>
          <w:lang w:eastAsia="en-AU"/>
        </w:rPr>
        <w:t>16</w:t>
      </w:r>
      <w:r w:rsidR="0049069D">
        <w:rPr>
          <w:lang w:eastAsia="en-AU"/>
        </w:rPr>
        <w:t xml:space="preserve"> –</w:t>
      </w:r>
      <w:r w:rsidRPr="00F06651">
        <w:rPr>
          <w:lang w:eastAsia="en-AU"/>
        </w:rPr>
        <w:t xml:space="preserve"> In-building small cells or distributed antenna system to provide coverage throughout a building</w:t>
      </w:r>
    </w:p>
    <w:p w14:paraId="10079023" w14:textId="708A53F8" w:rsidR="00AA662C" w:rsidRPr="00F06651" w:rsidRDefault="00AA662C" w:rsidP="0013599C">
      <w:pPr>
        <w:pStyle w:val="Figurelegend"/>
        <w:keepNext w:val="0"/>
        <w:keepLines w:val="0"/>
        <w:jc w:val="left"/>
        <w:rPr>
          <w:lang w:eastAsia="en-AU"/>
        </w:rPr>
      </w:pPr>
    </w:p>
    <w:p w14:paraId="0D313B00" w14:textId="77777777" w:rsidR="00AA662C" w:rsidRPr="00F06651" w:rsidRDefault="00AA662C" w:rsidP="004A6146">
      <w:pPr>
        <w:rPr>
          <w:lang w:eastAsia="zh-CN"/>
        </w:rPr>
      </w:pPr>
      <w:r w:rsidRPr="00F06651">
        <w:rPr>
          <w:lang w:eastAsia="zh-CN"/>
        </w:rPr>
        <w:t>A dedicated in-building system usually consists of:</w:t>
      </w:r>
    </w:p>
    <w:p w14:paraId="34B12FE4" w14:textId="77777777" w:rsidR="00AA662C" w:rsidRPr="00F06651" w:rsidRDefault="004A6146" w:rsidP="0013599C">
      <w:pPr>
        <w:pStyle w:val="enumlev1"/>
      </w:pPr>
      <w:r>
        <w:t>•</w:t>
      </w:r>
      <w:r>
        <w:tab/>
      </w:r>
      <w:r w:rsidR="00AA662C" w:rsidRPr="00F06651">
        <w:t>Base station equipment, often located in a facilities</w:t>
      </w:r>
      <w:r w:rsidR="00A03D40">
        <w:t>’</w:t>
      </w:r>
      <w:r w:rsidR="00AA662C" w:rsidRPr="00F06651">
        <w:t xml:space="preserve"> room or other service area; </w:t>
      </w:r>
    </w:p>
    <w:p w14:paraId="0C86FCD9" w14:textId="77777777" w:rsidR="00AA662C" w:rsidRPr="00F06651" w:rsidRDefault="004A6146" w:rsidP="004A6146">
      <w:pPr>
        <w:pStyle w:val="enumlev1"/>
      </w:pPr>
      <w:r>
        <w:t>•</w:t>
      </w:r>
      <w:r>
        <w:tab/>
      </w:r>
      <w:r w:rsidR="00AA662C" w:rsidRPr="00F06651">
        <w:t>Cables which run from the base station through the building risers connecting the base station equipment to antennas; and</w:t>
      </w:r>
    </w:p>
    <w:p w14:paraId="319EBB18" w14:textId="77777777" w:rsidR="00AA662C" w:rsidRPr="00F06651" w:rsidRDefault="004A6146" w:rsidP="004A6146">
      <w:pPr>
        <w:pStyle w:val="enumlev1"/>
      </w:pPr>
      <w:r>
        <w:t>•</w:t>
      </w:r>
      <w:r>
        <w:tab/>
      </w:r>
      <w:r w:rsidR="00AA662C" w:rsidRPr="00F06651">
        <w:t xml:space="preserve">Small antennas located on </w:t>
      </w:r>
      <w:r w:rsidR="00A03D40">
        <w:t xml:space="preserve">the </w:t>
      </w:r>
      <w:r w:rsidR="00AA662C" w:rsidRPr="00F06651">
        <w:t>ceilings or walls in strategic locations.</w:t>
      </w:r>
    </w:p>
    <w:p w14:paraId="317C4C48" w14:textId="317B9778" w:rsidR="00AA662C" w:rsidRPr="00F06651" w:rsidRDefault="00AA662C" w:rsidP="004A6146">
      <w:pPr>
        <w:pStyle w:val="Heading2"/>
        <w:rPr>
          <w:lang w:eastAsia="en-AU"/>
        </w:rPr>
      </w:pPr>
      <w:bookmarkStart w:id="134" w:name="_Toc397945067"/>
      <w:bookmarkStart w:id="135" w:name="_Toc400020886"/>
      <w:bookmarkStart w:id="136" w:name="_Toc400106154"/>
      <w:r>
        <w:rPr>
          <w:lang w:eastAsia="en-AU"/>
        </w:rPr>
        <w:t>7.3</w:t>
      </w:r>
      <w:r>
        <w:rPr>
          <w:lang w:eastAsia="en-AU"/>
        </w:rPr>
        <w:tab/>
      </w:r>
      <w:r w:rsidRPr="00F06651">
        <w:rPr>
          <w:lang w:eastAsia="en-AU"/>
        </w:rPr>
        <w:t xml:space="preserve">Sharing and </w:t>
      </w:r>
      <w:r w:rsidR="00A03D40">
        <w:rPr>
          <w:lang w:eastAsia="en-AU"/>
        </w:rPr>
        <w:t>c</w:t>
      </w:r>
      <w:r w:rsidRPr="00F06651">
        <w:rPr>
          <w:lang w:eastAsia="en-AU"/>
        </w:rPr>
        <w:t>o-</w:t>
      </w:r>
      <w:r w:rsidR="00A03D40">
        <w:rPr>
          <w:lang w:eastAsia="en-AU"/>
        </w:rPr>
        <w:t>l</w:t>
      </w:r>
      <w:r w:rsidRPr="00F06651">
        <w:rPr>
          <w:lang w:eastAsia="en-AU"/>
        </w:rPr>
        <w:t>ocation</w:t>
      </w:r>
      <w:bookmarkEnd w:id="134"/>
      <w:bookmarkEnd w:id="135"/>
      <w:bookmarkEnd w:id="136"/>
    </w:p>
    <w:p w14:paraId="0887215A" w14:textId="77777777" w:rsidR="00AA662C" w:rsidRPr="00F06651" w:rsidRDefault="00AA662C" w:rsidP="004A6146">
      <w:pPr>
        <w:rPr>
          <w:lang w:eastAsia="zh-CN"/>
        </w:rPr>
      </w:pPr>
      <w:r w:rsidRPr="00F06651">
        <w:rPr>
          <w:lang w:eastAsia="zh-CN"/>
        </w:rPr>
        <w:t>There is an increasing trend for mobile network operators to adopt a variety of infrastructure models. This is being driven mainly by commercial and efficiency considerations, rather than by regulatory mandates. Sharing can also permit the co-location of SSC (for example, emergency communication networks) with the equipment of wireless network operators.</w:t>
      </w:r>
    </w:p>
    <w:p w14:paraId="43174034" w14:textId="77777777" w:rsidR="00AA662C" w:rsidRPr="00F06651" w:rsidRDefault="00AA662C" w:rsidP="004A6146">
      <w:pPr>
        <w:rPr>
          <w:lang w:eastAsia="zh-CN"/>
        </w:rPr>
      </w:pPr>
      <w:r w:rsidRPr="00F06651">
        <w:rPr>
          <w:lang w:eastAsia="zh-CN"/>
        </w:rPr>
        <w:t xml:space="preserve">Infrastructure sharing may be passive or active: </w:t>
      </w:r>
    </w:p>
    <w:p w14:paraId="6E06E1CE" w14:textId="6D6EAB7C" w:rsidR="00AA662C" w:rsidRPr="00F06651" w:rsidRDefault="004A6146" w:rsidP="004A6146">
      <w:pPr>
        <w:pStyle w:val="enumlev1"/>
      </w:pPr>
      <w:r>
        <w:t>1.</w:t>
      </w:r>
      <w:r>
        <w:tab/>
      </w:r>
      <w:r w:rsidR="00AA662C" w:rsidRPr="00F06651">
        <w:t xml:space="preserve">Passive sharing includes site sharing, where operators use the same physical components but have different site masts, antennas, cabinets and backhaul. A common example is shared rooftop installations. Practical challenges include </w:t>
      </w:r>
      <w:r w:rsidR="00A03D40">
        <w:t xml:space="preserve">the </w:t>
      </w:r>
      <w:r w:rsidR="00AA662C" w:rsidRPr="00F06651">
        <w:t xml:space="preserve">availability of space and property rights. A second type of passive sharing is mast sharing, where the antennas of different operators are placed on the same mast or antenna frame, but the radio transmission equipment </w:t>
      </w:r>
      <w:r w:rsidR="00EB6B31" w:rsidRPr="00F06651">
        <w:t>remains</w:t>
      </w:r>
      <w:r w:rsidR="00AA662C" w:rsidRPr="00F06651">
        <w:t xml:space="preserve"> separate.</w:t>
      </w:r>
    </w:p>
    <w:p w14:paraId="191190A7" w14:textId="77777777" w:rsidR="00AA662C" w:rsidRPr="00F06651" w:rsidRDefault="004A6146" w:rsidP="004A6146">
      <w:pPr>
        <w:pStyle w:val="enumlev1"/>
      </w:pPr>
      <w:r>
        <w:t>2.</w:t>
      </w:r>
      <w:r>
        <w:tab/>
      </w:r>
      <w:r w:rsidR="00AA662C" w:rsidRPr="00F06651">
        <w:t xml:space="preserve">In active sharing, operators may share the radio access network (RAN) or the core network. The RAN sharing case may create operational and architectural challenges. For additional </w:t>
      </w:r>
      <w:r w:rsidR="00AA662C" w:rsidRPr="00F06651">
        <w:lastRenderedPageBreak/>
        <w:t>core sharing, operators also share the core functionality, demanding more efforts and alignments from operators. Again there may be issues of compatibility between the technology platforms used by the operators.</w:t>
      </w:r>
    </w:p>
    <w:p w14:paraId="51E71109" w14:textId="77777777" w:rsidR="00AA662C" w:rsidRPr="00F06651" w:rsidRDefault="00AA662C" w:rsidP="004A6146">
      <w:pPr>
        <w:rPr>
          <w:lang w:eastAsia="zh-CN"/>
        </w:rPr>
      </w:pPr>
      <w:r w:rsidRPr="00F06651">
        <w:rPr>
          <w:lang w:eastAsia="zh-CN"/>
        </w:rPr>
        <w:t>The different approaches to infrastructure sharing are illustrated in Figure 17.</w:t>
      </w:r>
    </w:p>
    <w:p w14:paraId="28857338" w14:textId="77777777" w:rsidR="00AA662C" w:rsidRPr="00F06651" w:rsidRDefault="00AA662C" w:rsidP="004A6146">
      <w:pPr>
        <w:pStyle w:val="Figure"/>
        <w:rPr>
          <w:bCs/>
          <w:kern w:val="36"/>
          <w:sz w:val="22"/>
          <w:szCs w:val="24"/>
          <w:lang w:eastAsia="en-AU"/>
        </w:rPr>
      </w:pPr>
      <w:r w:rsidRPr="00F06651">
        <w:rPr>
          <w:noProof/>
          <w:lang w:val="en-US" w:eastAsia="zh-CN"/>
        </w:rPr>
        <w:drawing>
          <wp:inline distT="0" distB="0" distL="0" distR="0" wp14:anchorId="07AFB0C3" wp14:editId="7A1CE740">
            <wp:extent cx="5406390" cy="3606317"/>
            <wp:effectExtent l="19050" t="0" r="3810" b="0"/>
            <wp:docPr id="62" name="Picture 28" descr="EME_57_ITU_Graphics_1000px_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7_ITU_Graphics_1000px_FIG17.jpg"/>
                    <pic:cNvPicPr/>
                  </pic:nvPicPr>
                  <pic:blipFill>
                    <a:blip r:embed="rId56" cstate="print"/>
                    <a:stretch>
                      <a:fillRect/>
                    </a:stretch>
                  </pic:blipFill>
                  <pic:spPr>
                    <a:xfrm>
                      <a:off x="0" y="0"/>
                      <a:ext cx="5404147" cy="3604821"/>
                    </a:xfrm>
                    <a:prstGeom prst="rect">
                      <a:avLst/>
                    </a:prstGeom>
                  </pic:spPr>
                </pic:pic>
              </a:graphicData>
            </a:graphic>
          </wp:inline>
        </w:drawing>
      </w:r>
    </w:p>
    <w:p w14:paraId="22A1E2DE" w14:textId="49B5AC88" w:rsidR="00A03D40" w:rsidRPr="00A03D40" w:rsidRDefault="00A03D40" w:rsidP="00A03D40">
      <w:pPr>
        <w:pStyle w:val="Figurelegend"/>
        <w:keepNext w:val="0"/>
        <w:keepLines w:val="0"/>
        <w:rPr>
          <w:lang w:eastAsia="en-AU"/>
        </w:rPr>
      </w:pPr>
      <w:r w:rsidRPr="00F06651">
        <w:rPr>
          <w:lang w:eastAsia="en-AU"/>
        </w:rPr>
        <w:t>Source</w:t>
      </w:r>
      <w:r>
        <w:rPr>
          <w:lang w:eastAsia="en-AU"/>
        </w:rPr>
        <w:t>: Adapted from</w:t>
      </w:r>
      <w:r w:rsidRPr="00F06651">
        <w:rPr>
          <w:lang w:eastAsia="en-AU"/>
        </w:rPr>
        <w:t xml:space="preserve"> </w:t>
      </w:r>
      <w:r w:rsidR="000E4A5B" w:rsidRPr="002E4045">
        <w:rPr>
          <w:lang w:eastAsia="en-AU"/>
        </w:rPr>
        <w:t>GSMA,</w:t>
      </w:r>
      <w:r w:rsidR="000E4A5B" w:rsidRPr="002E4045">
        <w:rPr>
          <w:rFonts w:ascii="Calibri" w:hAnsi="Calibri" w:cs="Arial"/>
          <w:szCs w:val="22"/>
          <w:lang w:eastAsia="zh-CN"/>
        </w:rPr>
        <w:t xml:space="preserve"> </w:t>
      </w:r>
      <w:r w:rsidR="000E4A5B" w:rsidRPr="002E4045">
        <w:rPr>
          <w:lang w:eastAsia="en-AU"/>
        </w:rPr>
        <w:t>Mobile Infrastructure Sharing, (2008)</w:t>
      </w:r>
      <w:r>
        <w:rPr>
          <w:lang w:eastAsia="en-AU"/>
        </w:rPr>
        <w:t>.</w:t>
      </w:r>
    </w:p>
    <w:p w14:paraId="378928FA" w14:textId="77777777" w:rsidR="004A6146" w:rsidRDefault="00AA662C" w:rsidP="004A6146">
      <w:pPr>
        <w:pStyle w:val="FigureNoTitle"/>
        <w:rPr>
          <w:lang w:eastAsia="en-AU"/>
        </w:rPr>
      </w:pPr>
      <w:r w:rsidRPr="00F06651">
        <w:rPr>
          <w:lang w:eastAsia="en-AU"/>
        </w:rPr>
        <w:t xml:space="preserve">Figure </w:t>
      </w:r>
      <w:bookmarkStart w:id="137" w:name="f_infra_share"/>
      <w:bookmarkEnd w:id="137"/>
      <w:r w:rsidR="00C37C93">
        <w:rPr>
          <w:noProof/>
          <w:lang w:eastAsia="en-AU"/>
        </w:rPr>
        <w:t>17</w:t>
      </w:r>
      <w:r w:rsidR="0049069D">
        <w:rPr>
          <w:lang w:eastAsia="en-AU"/>
        </w:rPr>
        <w:t xml:space="preserve"> –</w:t>
      </w:r>
      <w:r w:rsidRPr="00F06651">
        <w:rPr>
          <w:lang w:eastAsia="en-AU"/>
        </w:rPr>
        <w:t xml:space="preserve"> Main types of infrastructure sharing </w:t>
      </w:r>
    </w:p>
    <w:p w14:paraId="2A9990A7" w14:textId="77777777" w:rsidR="00AA662C" w:rsidRPr="00F06651" w:rsidRDefault="00AA662C" w:rsidP="004A6146">
      <w:pPr>
        <w:rPr>
          <w:lang w:eastAsia="zh-CN"/>
        </w:rPr>
      </w:pPr>
      <w:r w:rsidRPr="00F06651">
        <w:rPr>
          <w:lang w:eastAsia="zh-CN"/>
        </w:rPr>
        <w:t>Infrastructure sharing has the potential to (GSMA, 2008):</w:t>
      </w:r>
    </w:p>
    <w:p w14:paraId="604F2411" w14:textId="77777777" w:rsidR="00AA662C" w:rsidRPr="00F06651" w:rsidRDefault="004A6146" w:rsidP="004A6146">
      <w:pPr>
        <w:pStyle w:val="enumlev1"/>
        <w:keepNext/>
        <w:keepLines/>
      </w:pPr>
      <w:r>
        <w:t>•</w:t>
      </w:r>
      <w:r>
        <w:tab/>
      </w:r>
      <w:r w:rsidR="00AA662C" w:rsidRPr="00F06651">
        <w:t>Lead to faster and wider roll-out of coverage into new and currently underserved geographical areas.</w:t>
      </w:r>
    </w:p>
    <w:p w14:paraId="5727925E" w14:textId="59A8BA3E" w:rsidR="00AA662C" w:rsidRPr="00F06651" w:rsidRDefault="004A6146" w:rsidP="004A6146">
      <w:pPr>
        <w:pStyle w:val="enumlev1"/>
      </w:pPr>
      <w:r>
        <w:t>•</w:t>
      </w:r>
      <w:r>
        <w:tab/>
      </w:r>
      <w:r w:rsidR="00A03D40">
        <w:t>–</w:t>
      </w:r>
      <w:r>
        <w:tab/>
      </w:r>
      <w:r w:rsidR="00AA662C" w:rsidRPr="00F06651">
        <w:t>Reduce the number of antenna sites.</w:t>
      </w:r>
    </w:p>
    <w:p w14:paraId="2426F319" w14:textId="77777777" w:rsidR="00AA662C" w:rsidRPr="00F06651" w:rsidRDefault="004A6146" w:rsidP="004A6146">
      <w:pPr>
        <w:pStyle w:val="enumlev1"/>
      </w:pPr>
      <w:r>
        <w:t>•</w:t>
      </w:r>
      <w:r>
        <w:tab/>
      </w:r>
      <w:r w:rsidR="00AA662C" w:rsidRPr="00F06651">
        <w:t>Reduce the energy and carbon footprint of mobile networks.</w:t>
      </w:r>
    </w:p>
    <w:p w14:paraId="0548BC7C" w14:textId="77777777" w:rsidR="00AA662C" w:rsidRPr="00F06651" w:rsidRDefault="004A6146" w:rsidP="004A6146">
      <w:pPr>
        <w:pStyle w:val="enumlev1"/>
      </w:pPr>
      <w:r>
        <w:t>•</w:t>
      </w:r>
      <w:r>
        <w:tab/>
      </w:r>
      <w:r w:rsidR="00AA662C" w:rsidRPr="00F06651">
        <w:t>Reduce the environmental impact of mobile infrastructure on landscape.</w:t>
      </w:r>
    </w:p>
    <w:p w14:paraId="52738F94" w14:textId="77777777" w:rsidR="00AA662C" w:rsidRPr="00F06651" w:rsidRDefault="004A6146" w:rsidP="004A6146">
      <w:pPr>
        <w:pStyle w:val="enumlev1"/>
      </w:pPr>
      <w:r>
        <w:t>•</w:t>
      </w:r>
      <w:r>
        <w:tab/>
      </w:r>
      <w:r w:rsidR="00AA662C" w:rsidRPr="00F06651">
        <w:t>Reduce costs for operators.</w:t>
      </w:r>
    </w:p>
    <w:p w14:paraId="3657F2E3" w14:textId="667B8FF0" w:rsidR="00AA662C" w:rsidRPr="00F06651" w:rsidRDefault="004A6146" w:rsidP="004A6146">
      <w:pPr>
        <w:pStyle w:val="enumlev1"/>
      </w:pPr>
      <w:r>
        <w:t>•</w:t>
      </w:r>
      <w:r>
        <w:tab/>
      </w:r>
      <w:r w:rsidR="00D167F4">
        <w:t>O</w:t>
      </w:r>
      <w:r w:rsidR="00AA662C" w:rsidRPr="00F06651">
        <w:t>ptimize the use of the RF spectrum and increase data speeds</w:t>
      </w:r>
      <w:r w:rsidR="00D167F4">
        <w:t xml:space="preserve"> through active sharing of the frequencies</w:t>
      </w:r>
      <w:r w:rsidR="00AA662C" w:rsidRPr="00F06651">
        <w:t>.</w:t>
      </w:r>
    </w:p>
    <w:p w14:paraId="670DCB4D" w14:textId="2D4DE8E5" w:rsidR="00AA662C" w:rsidRPr="00F06651" w:rsidRDefault="00AA662C" w:rsidP="004A6146">
      <w:pPr>
        <w:rPr>
          <w:lang w:eastAsia="zh-CN"/>
        </w:rPr>
      </w:pPr>
      <w:r w:rsidRPr="00F06651">
        <w:rPr>
          <w:lang w:eastAsia="zh-CN"/>
        </w:rPr>
        <w:t>In some cases, site sharing increases competition by giving operators access to key sites necessary to compete on quality of service and coverage</w:t>
      </w:r>
      <w:r w:rsidR="00D167F4">
        <w:rPr>
          <w:lang w:eastAsia="zh-CN"/>
        </w:rPr>
        <w:t>,</w:t>
      </w:r>
      <w:r w:rsidRPr="00F06651">
        <w:rPr>
          <w:lang w:eastAsia="zh-CN"/>
        </w:rPr>
        <w:t xml:space="preserve"> thus sharing improves roaming. Governments may also consider positive incentives to roll out into underserved areas.</w:t>
      </w:r>
    </w:p>
    <w:p w14:paraId="173D24D6" w14:textId="20EC5297" w:rsidR="00AA662C" w:rsidRPr="00F06651" w:rsidRDefault="00AA662C" w:rsidP="004A6146">
      <w:pPr>
        <w:rPr>
          <w:lang w:eastAsia="zh-CN"/>
        </w:rPr>
      </w:pPr>
      <w:r w:rsidRPr="00F06651">
        <w:rPr>
          <w:lang w:eastAsia="zh-CN"/>
        </w:rPr>
        <w:t>In both passive and active sharing</w:t>
      </w:r>
      <w:r w:rsidR="00D167F4">
        <w:rPr>
          <w:lang w:eastAsia="zh-CN"/>
        </w:rPr>
        <w:t>,</w:t>
      </w:r>
      <w:r w:rsidRPr="00F06651">
        <w:rPr>
          <w:lang w:eastAsia="zh-CN"/>
        </w:rPr>
        <w:t xml:space="preserve"> it is necessary to consider the possible effects on RF exposure levels and compliance boundaries. As discussed in section 7.2</w:t>
      </w:r>
      <w:r w:rsidR="00BF7E32">
        <w:rPr>
          <w:lang w:eastAsia="zh-CN"/>
        </w:rPr>
        <w:t>,</w:t>
      </w:r>
      <w:r w:rsidRPr="00F06651">
        <w:rPr>
          <w:lang w:eastAsia="zh-CN"/>
        </w:rPr>
        <w:t xml:space="preserve"> antennas that are close together or operating at higher powers may have overlapping compliance zones leading to a combined zone that is larger than the individual antenna zones. Antennas that are shared by more than one operator may have higher combined transmitter powers. </w:t>
      </w:r>
    </w:p>
    <w:p w14:paraId="1FBAF3BF" w14:textId="77777777" w:rsidR="00AA662C" w:rsidRPr="00F06651" w:rsidRDefault="00AA662C" w:rsidP="004A6146">
      <w:pPr>
        <w:rPr>
          <w:lang w:eastAsia="zh-CN"/>
        </w:rPr>
      </w:pPr>
      <w:r w:rsidRPr="00F06651">
        <w:rPr>
          <w:lang w:eastAsia="zh-CN"/>
        </w:rPr>
        <w:lastRenderedPageBreak/>
        <w:t xml:space="preserve">Nearby residents may think that a higher number of antennas in the surrounding areas will lead to higher exposure levels at the ground level in publicly accessible areas. Measurements undertaken in Germany demonstrated that neither distance to the antenna nor the number of visible antennas were accurate indicators of RF exposure. Instead, the orientation of the antenna’s main lobe constitutes the main factor influencing exposure (Bornkessel </w:t>
      </w:r>
      <w:r w:rsidR="000E4A5B" w:rsidRPr="002E4045">
        <w:rPr>
          <w:i/>
          <w:iCs/>
          <w:lang w:eastAsia="zh-CN"/>
        </w:rPr>
        <w:t>et al.</w:t>
      </w:r>
      <w:r w:rsidRPr="00F06651">
        <w:rPr>
          <w:lang w:eastAsia="zh-CN"/>
        </w:rPr>
        <w:t xml:space="preserve">, 2007). </w:t>
      </w:r>
    </w:p>
    <w:p w14:paraId="62259D3C" w14:textId="77777777" w:rsidR="00AA662C" w:rsidRPr="00F06651" w:rsidRDefault="00AA662C" w:rsidP="004A6146">
      <w:pPr>
        <w:pStyle w:val="Heading2"/>
        <w:rPr>
          <w:lang w:eastAsia="en-AU"/>
        </w:rPr>
      </w:pPr>
      <w:bookmarkStart w:id="138" w:name="_Toc397945068"/>
      <w:bookmarkStart w:id="139" w:name="_Toc400020887"/>
      <w:bookmarkStart w:id="140" w:name="_Toc400106155"/>
      <w:r>
        <w:rPr>
          <w:lang w:eastAsia="en-AU"/>
        </w:rPr>
        <w:t>7.4</w:t>
      </w:r>
      <w:r>
        <w:rPr>
          <w:lang w:eastAsia="en-AU"/>
        </w:rPr>
        <w:tab/>
      </w:r>
      <w:r w:rsidRPr="00F06651">
        <w:rPr>
          <w:lang w:eastAsia="en-AU"/>
        </w:rPr>
        <w:t>Location of antennas and access restrictions</w:t>
      </w:r>
      <w:bookmarkEnd w:id="138"/>
      <w:bookmarkEnd w:id="139"/>
      <w:bookmarkEnd w:id="140"/>
      <w:r w:rsidRPr="00F06651">
        <w:rPr>
          <w:lang w:eastAsia="en-AU"/>
        </w:rPr>
        <w:t xml:space="preserve"> </w:t>
      </w:r>
    </w:p>
    <w:p w14:paraId="580DDF23" w14:textId="77777777" w:rsidR="00AA662C" w:rsidRPr="00F06651" w:rsidRDefault="00AA662C" w:rsidP="004A6146">
      <w:pPr>
        <w:rPr>
          <w:lang w:eastAsia="zh-CN"/>
        </w:rPr>
      </w:pPr>
      <w:r w:rsidRPr="00F06651">
        <w:rPr>
          <w:lang w:eastAsia="zh-CN"/>
        </w:rPr>
        <w:t>Wireless communication antennas should be positioned so that locations where the public exposure limits may be exceeded are not reasonably accessible to the general public. This can be achieved by selecting the location of the antenna or by the use of barriers to restrict access.</w:t>
      </w:r>
    </w:p>
    <w:p w14:paraId="2736217A" w14:textId="77777777" w:rsidR="00AA662C" w:rsidRPr="00F06651" w:rsidRDefault="00AA662C" w:rsidP="004A6146">
      <w:pPr>
        <w:rPr>
          <w:lang w:eastAsia="zh-CN"/>
        </w:rPr>
      </w:pPr>
      <w:r w:rsidRPr="00F06651">
        <w:rPr>
          <w:lang w:eastAsia="zh-CN"/>
        </w:rPr>
        <w:t>Low power antenna installations and wireless access points have no or limited positioning requirements. In addition, simple guidance may be provided by the operator or equipment manufacturer.</w:t>
      </w:r>
    </w:p>
    <w:p w14:paraId="62AEFE0A" w14:textId="77777777" w:rsidR="00AA662C" w:rsidRPr="00F06651" w:rsidRDefault="00AA662C" w:rsidP="004A6146">
      <w:pPr>
        <w:rPr>
          <w:lang w:eastAsia="zh-CN"/>
        </w:rPr>
      </w:pPr>
      <w:r w:rsidRPr="00F06651">
        <w:rPr>
          <w:lang w:eastAsia="zh-CN"/>
        </w:rPr>
        <w:t>Higher power antennas are generally mounted above head height (sometimes on a short antenna mounting pole) or on the outer surface of buildings where it is not possible for the public to access areas in front of the antennas. Such antennas have directive antenna patterns that substantially decrease the exposure to directions above the horizon and to the ground near the antenna tower. When locating antennas</w:t>
      </w:r>
      <w:r w:rsidR="00AC4FD5">
        <w:rPr>
          <w:lang w:eastAsia="zh-CN"/>
        </w:rPr>
        <w:t>,</w:t>
      </w:r>
      <w:r w:rsidRPr="00F06651">
        <w:rPr>
          <w:lang w:eastAsia="zh-CN"/>
        </w:rPr>
        <w:t xml:space="preserve"> an assessment of </w:t>
      </w:r>
      <w:r w:rsidR="00AC4FD5">
        <w:rPr>
          <w:lang w:eastAsia="zh-CN"/>
        </w:rPr>
        <w:t xml:space="preserve">the </w:t>
      </w:r>
      <w:r w:rsidRPr="00F06651">
        <w:rPr>
          <w:lang w:eastAsia="zh-CN"/>
        </w:rPr>
        <w:t>size of the EMF compliance zone should be conducted to determine whether the compliance zones could reach adjacent buildings. This could require a change in antenna position or reduction in transmitter power in order to ensure compliance with the EMF limits (</w:t>
      </w:r>
      <w:r w:rsidR="0013599C">
        <w:rPr>
          <w:lang w:eastAsia="zh-CN"/>
        </w:rPr>
        <w:t xml:space="preserve">Recommendation </w:t>
      </w:r>
      <w:r w:rsidRPr="00F06651">
        <w:rPr>
          <w:lang w:eastAsia="zh-CN"/>
        </w:rPr>
        <w:t xml:space="preserve">ITU-T K.70, 2007). </w:t>
      </w:r>
    </w:p>
    <w:p w14:paraId="6E54B2BA" w14:textId="77777777" w:rsidR="00AA662C" w:rsidRPr="00F06651" w:rsidRDefault="00AA662C" w:rsidP="004A6146">
      <w:pPr>
        <w:rPr>
          <w:lang w:eastAsia="zh-CN"/>
        </w:rPr>
      </w:pPr>
      <w:r w:rsidRPr="00F06651">
        <w:rPr>
          <w:lang w:eastAsia="zh-CN"/>
        </w:rPr>
        <w:t>A number of options are available when considering the use of physical barriers to restrict access, namely:</w:t>
      </w:r>
    </w:p>
    <w:p w14:paraId="42597564" w14:textId="77777777" w:rsidR="00AA662C" w:rsidRPr="00F06651" w:rsidRDefault="004A6146" w:rsidP="004A6146">
      <w:pPr>
        <w:pStyle w:val="enumlev1"/>
      </w:pPr>
      <w:r>
        <w:t>•</w:t>
      </w:r>
      <w:r>
        <w:tab/>
      </w:r>
      <w:r w:rsidR="00AA662C" w:rsidRPr="00F06651">
        <w:t>Rooftop access controls: This may include a locked ladder or rooftop door with permission required and information available for persons requiring access to the rooftop.</w:t>
      </w:r>
    </w:p>
    <w:p w14:paraId="7CF965DA" w14:textId="25292394" w:rsidR="00AA662C" w:rsidRPr="00F06651" w:rsidRDefault="004A6146" w:rsidP="004A6146">
      <w:pPr>
        <w:pStyle w:val="enumlev1"/>
      </w:pPr>
      <w:r>
        <w:t>•</w:t>
      </w:r>
      <w:r>
        <w:tab/>
      </w:r>
      <w:r w:rsidR="00AA662C" w:rsidRPr="00F06651">
        <w:t xml:space="preserve">Physical </w:t>
      </w:r>
      <w:r w:rsidR="00AC4FD5">
        <w:t>b</w:t>
      </w:r>
      <w:r w:rsidR="00AA662C" w:rsidRPr="00F06651">
        <w:t>arriers: Non-metallic screens, fences or chains can be used to indicate areas that should not be entered by members of the public.</w:t>
      </w:r>
    </w:p>
    <w:p w14:paraId="06C544F3" w14:textId="3646AB80" w:rsidR="00AA662C" w:rsidRPr="00F06651" w:rsidRDefault="00AA662C" w:rsidP="004A6146">
      <w:pPr>
        <w:rPr>
          <w:lang w:eastAsia="zh-CN"/>
        </w:rPr>
      </w:pPr>
      <w:r w:rsidRPr="00F06651">
        <w:rPr>
          <w:lang w:eastAsia="zh-CN"/>
        </w:rPr>
        <w:t>In some cases</w:t>
      </w:r>
      <w:r w:rsidR="00AC4FD5">
        <w:rPr>
          <w:lang w:eastAsia="zh-CN"/>
        </w:rPr>
        <w:t>,</w:t>
      </w:r>
      <w:r w:rsidRPr="00F06651">
        <w:rPr>
          <w:lang w:eastAsia="zh-CN"/>
        </w:rPr>
        <w:t xml:space="preserve"> painted lines may also be used to indicate compliance boundaries. However, their effectiveness depends on the awareness that exists among </w:t>
      </w:r>
      <w:r w:rsidR="00AC4FD5">
        <w:rPr>
          <w:lang w:eastAsia="zh-CN"/>
        </w:rPr>
        <w:t>the</w:t>
      </w:r>
      <w:r w:rsidRPr="00F06651">
        <w:rPr>
          <w:lang w:eastAsia="zh-CN"/>
        </w:rPr>
        <w:t xml:space="preserve"> persons that may access the area.</w:t>
      </w:r>
    </w:p>
    <w:p w14:paraId="58F2CF5B" w14:textId="77777777" w:rsidR="00AA662C" w:rsidRPr="00F06651" w:rsidRDefault="00AA662C" w:rsidP="004A6146">
      <w:pPr>
        <w:rPr>
          <w:lang w:eastAsia="zh-CN"/>
        </w:rPr>
      </w:pPr>
      <w:r w:rsidRPr="00F06651">
        <w:rPr>
          <w:lang w:eastAsia="zh-CN"/>
        </w:rPr>
        <w:t xml:space="preserve">The building owner is often provided with information on how to arrange access for persons, such as maintenance personnel, who may need to work in areas close to or in front of </w:t>
      </w:r>
      <w:r w:rsidR="00AC4FD5">
        <w:rPr>
          <w:lang w:eastAsia="zh-CN"/>
        </w:rPr>
        <w:t xml:space="preserve">the </w:t>
      </w:r>
      <w:r w:rsidRPr="00F06651">
        <w:rPr>
          <w:lang w:eastAsia="zh-CN"/>
        </w:rPr>
        <w:t>antennas.</w:t>
      </w:r>
    </w:p>
    <w:p w14:paraId="7609AEEC" w14:textId="77777777" w:rsidR="00AA662C" w:rsidRPr="00F06651" w:rsidRDefault="00AA662C" w:rsidP="004A6146">
      <w:pPr>
        <w:pStyle w:val="Heading2"/>
        <w:rPr>
          <w:lang w:eastAsia="en-AU"/>
        </w:rPr>
      </w:pPr>
      <w:bookmarkStart w:id="141" w:name="_Toc397945069"/>
      <w:bookmarkStart w:id="142" w:name="_Toc400020888"/>
      <w:bookmarkStart w:id="143" w:name="_Toc400106156"/>
      <w:r>
        <w:rPr>
          <w:lang w:eastAsia="en-AU"/>
        </w:rPr>
        <w:t>7.5</w:t>
      </w:r>
      <w:r>
        <w:rPr>
          <w:lang w:eastAsia="en-AU"/>
        </w:rPr>
        <w:tab/>
      </w:r>
      <w:r w:rsidRPr="00F06651">
        <w:rPr>
          <w:lang w:eastAsia="en-AU"/>
        </w:rPr>
        <w:t>Signage</w:t>
      </w:r>
      <w:bookmarkEnd w:id="141"/>
      <w:bookmarkEnd w:id="142"/>
      <w:bookmarkEnd w:id="143"/>
      <w:r w:rsidRPr="00F06651">
        <w:rPr>
          <w:lang w:eastAsia="en-AU"/>
        </w:rPr>
        <w:t xml:space="preserve"> </w:t>
      </w:r>
    </w:p>
    <w:p w14:paraId="6C887DE8" w14:textId="77777777" w:rsidR="00AA662C" w:rsidRPr="00F06651" w:rsidRDefault="00AA662C" w:rsidP="004A6146">
      <w:pPr>
        <w:rPr>
          <w:lang w:eastAsia="zh-CN"/>
        </w:rPr>
      </w:pPr>
      <w:r w:rsidRPr="00F06651">
        <w:rPr>
          <w:lang w:eastAsia="en-AU"/>
        </w:rPr>
        <w:t>In general</w:t>
      </w:r>
      <w:r w:rsidR="00AC4FD5">
        <w:rPr>
          <w:lang w:eastAsia="en-AU"/>
        </w:rPr>
        <w:t>,</w:t>
      </w:r>
      <w:r w:rsidRPr="00F06651">
        <w:rPr>
          <w:lang w:eastAsia="en-AU"/>
        </w:rPr>
        <w:t xml:space="preserve"> signage requirements should be appropriate for the technical parameters of the wireless </w:t>
      </w:r>
      <w:r w:rsidRPr="00F06651">
        <w:rPr>
          <w:lang w:eastAsia="zh-CN"/>
        </w:rPr>
        <w:t xml:space="preserve">equipment/antenna and the accessibility of the site. </w:t>
      </w:r>
    </w:p>
    <w:p w14:paraId="4B5315F5" w14:textId="77777777" w:rsidR="00AA662C" w:rsidRPr="00F06651" w:rsidRDefault="00AA662C" w:rsidP="004A6146">
      <w:pPr>
        <w:rPr>
          <w:lang w:eastAsia="zh-CN"/>
        </w:rPr>
      </w:pPr>
      <w:r w:rsidRPr="00F06651">
        <w:rPr>
          <w:lang w:eastAsia="zh-CN"/>
        </w:rPr>
        <w:t>Low power installations where the compliance zone is within the equipment will generally not require signage.</w:t>
      </w:r>
    </w:p>
    <w:p w14:paraId="4D7E2867" w14:textId="129A2975" w:rsidR="00AA662C" w:rsidRDefault="00AA662C" w:rsidP="004A6146">
      <w:pPr>
        <w:rPr>
          <w:lang w:eastAsia="zh-CN"/>
        </w:rPr>
      </w:pPr>
      <w:r w:rsidRPr="00F06651">
        <w:rPr>
          <w:lang w:eastAsia="zh-CN"/>
        </w:rPr>
        <w:t>For other installations</w:t>
      </w:r>
      <w:r w:rsidR="00AC4FD5">
        <w:rPr>
          <w:lang w:eastAsia="zh-CN"/>
        </w:rPr>
        <w:t>,</w:t>
      </w:r>
      <w:r w:rsidRPr="00F06651">
        <w:rPr>
          <w:lang w:eastAsia="zh-CN"/>
        </w:rPr>
        <w:t xml:space="preserve"> signs should be placed near the compliance zone boundaries. The IEEE Recommended Practice for Radio Frequency Safety Programs, 3 kHz to 300 GHz</w:t>
      </w:r>
      <w:r w:rsidR="00AC4FD5">
        <w:rPr>
          <w:lang w:eastAsia="zh-CN"/>
        </w:rPr>
        <w:t>,</w:t>
      </w:r>
      <w:r w:rsidRPr="00F06651">
        <w:rPr>
          <w:lang w:eastAsia="zh-CN"/>
        </w:rPr>
        <w:t xml:space="preserve"> provides guidance on the installation of signs (C95.7-2005). Depending on the region</w:t>
      </w:r>
      <w:r w:rsidR="00AC4FD5">
        <w:rPr>
          <w:lang w:eastAsia="zh-CN"/>
        </w:rPr>
        <w:t>,</w:t>
      </w:r>
      <w:r w:rsidRPr="00F06651">
        <w:rPr>
          <w:lang w:eastAsia="zh-CN"/>
        </w:rPr>
        <w:t xml:space="preserve"> RF</w:t>
      </w:r>
      <w:r w:rsidR="006B3ECE">
        <w:rPr>
          <w:lang w:eastAsia="zh-CN"/>
        </w:rPr>
        <w:t>-</w:t>
      </w:r>
      <w:r w:rsidRPr="00F06651">
        <w:rPr>
          <w:lang w:eastAsia="zh-CN"/>
        </w:rPr>
        <w:t>EMF safety signs may require multiple languages to ensure understanding. Some examples of signs and where they may be used are provided in Table 3.</w:t>
      </w:r>
    </w:p>
    <w:p w14:paraId="7BE0CD6F" w14:textId="77777777" w:rsidR="006613AC" w:rsidRDefault="006613AC">
      <w:pPr>
        <w:tabs>
          <w:tab w:val="clear" w:pos="794"/>
          <w:tab w:val="clear" w:pos="1191"/>
          <w:tab w:val="clear" w:pos="1588"/>
          <w:tab w:val="clear" w:pos="1985"/>
        </w:tabs>
        <w:overflowPunct/>
        <w:autoSpaceDE/>
        <w:autoSpaceDN/>
        <w:adjustRightInd/>
        <w:spacing w:before="0"/>
        <w:jc w:val="left"/>
        <w:textAlignment w:val="auto"/>
        <w:rPr>
          <w:b/>
          <w:lang w:eastAsia="en-AU"/>
        </w:rPr>
      </w:pPr>
      <w:r>
        <w:rPr>
          <w:lang w:eastAsia="en-AU"/>
        </w:rPr>
        <w:br w:type="page"/>
      </w:r>
    </w:p>
    <w:p w14:paraId="7A36093E" w14:textId="77777777" w:rsidR="004A6146" w:rsidRDefault="004A6146" w:rsidP="004A6146">
      <w:pPr>
        <w:pStyle w:val="TableNoTitle"/>
        <w:rPr>
          <w:lang w:eastAsia="en-AU"/>
        </w:rPr>
      </w:pPr>
      <w:r w:rsidRPr="00F06651">
        <w:rPr>
          <w:lang w:eastAsia="en-AU"/>
        </w:rPr>
        <w:lastRenderedPageBreak/>
        <w:t xml:space="preserve">Table </w:t>
      </w:r>
      <w:bookmarkStart w:id="144" w:name="t_guide_signage"/>
      <w:bookmarkEnd w:id="144"/>
      <w:r w:rsidR="00C37C93">
        <w:rPr>
          <w:noProof/>
          <w:lang w:eastAsia="en-AU"/>
        </w:rPr>
        <w:t>3</w:t>
      </w:r>
      <w:r w:rsidR="0049069D">
        <w:rPr>
          <w:lang w:eastAsia="en-AU"/>
        </w:rPr>
        <w:t xml:space="preserve"> –</w:t>
      </w:r>
      <w:r w:rsidRPr="00F06651">
        <w:rPr>
          <w:lang w:eastAsia="en-AU"/>
        </w:rPr>
        <w:t xml:space="preserve"> Guidance on use of RF warnings signs</w:t>
      </w:r>
    </w:p>
    <w:p w14:paraId="060D7B59" w14:textId="7E754599" w:rsidR="004A6146" w:rsidRDefault="00AC4FD5" w:rsidP="004A6146">
      <w:pPr>
        <w:jc w:val="center"/>
        <w:rPr>
          <w:lang w:eastAsia="en-AU"/>
        </w:rPr>
      </w:pPr>
      <w:r>
        <w:rPr>
          <w:lang w:eastAsia="en-AU"/>
        </w:rPr>
        <w:t>(A</w:t>
      </w:r>
      <w:r w:rsidR="004A6146" w:rsidRPr="00F06651">
        <w:rPr>
          <w:lang w:eastAsia="en-AU"/>
        </w:rPr>
        <w:t xml:space="preserve">dapted from </w:t>
      </w:r>
      <w:r>
        <w:rPr>
          <w:lang w:eastAsia="en-AU"/>
        </w:rPr>
        <w:t>(</w:t>
      </w:r>
      <w:r w:rsidR="004A6146" w:rsidRPr="00F06651">
        <w:rPr>
          <w:lang w:eastAsia="en-AU"/>
        </w:rPr>
        <w:t>C95.7-2005</w:t>
      </w:r>
      <w:r>
        <w:rPr>
          <w:lang w:eastAsia="en-AU"/>
        </w:rPr>
        <w:t>)</w:t>
      </w:r>
      <w:r w:rsidR="004A6146" w:rsidRPr="00F06651">
        <w:rPr>
          <w:lang w:eastAsia="en-AU"/>
        </w:rPr>
        <w:t xml:space="preserve"> and </w:t>
      </w:r>
      <w:r>
        <w:rPr>
          <w:lang w:eastAsia="en-AU"/>
        </w:rPr>
        <w:t>(</w:t>
      </w:r>
      <w:r w:rsidR="004A6146" w:rsidRPr="00F06651">
        <w:rPr>
          <w:lang w:eastAsia="en-AU"/>
        </w:rPr>
        <w:t>C95.2-1999</w:t>
      </w:r>
      <w:r>
        <w:rPr>
          <w:lang w:eastAsia="en-AU"/>
        </w:rPr>
        <w:t>))</w:t>
      </w:r>
    </w:p>
    <w:p w14:paraId="4E41C77E" w14:textId="77777777" w:rsidR="004A6146" w:rsidRPr="00F06651" w:rsidRDefault="004A6146" w:rsidP="004A6146">
      <w:pPr>
        <w:spacing w:before="0"/>
        <w:jc w:val="center"/>
        <w:rPr>
          <w:lang w:eastAsia="en-AU"/>
        </w:rPr>
      </w:pPr>
    </w:p>
    <w:tbl>
      <w:tblPr>
        <w:tblStyle w:val="TableGrid1"/>
        <w:tblW w:w="0" w:type="auto"/>
        <w:tblInd w:w="108" w:type="dxa"/>
        <w:tblLook w:val="04A0" w:firstRow="1" w:lastRow="0" w:firstColumn="1" w:lastColumn="0" w:noHBand="0" w:noVBand="1"/>
      </w:tblPr>
      <w:tblGrid>
        <w:gridCol w:w="1327"/>
        <w:gridCol w:w="2853"/>
        <w:gridCol w:w="2535"/>
        <w:gridCol w:w="2464"/>
      </w:tblGrid>
      <w:tr w:rsidR="00AA662C" w:rsidRPr="00F06651" w14:paraId="2DE94A4E" w14:textId="77777777" w:rsidTr="004A6146">
        <w:tc>
          <w:tcPr>
            <w:tcW w:w="1327" w:type="dxa"/>
          </w:tcPr>
          <w:p w14:paraId="4C8F1586" w14:textId="77777777" w:rsidR="00AA662C" w:rsidRPr="00F06651" w:rsidRDefault="00AA662C" w:rsidP="004A6146">
            <w:pPr>
              <w:pStyle w:val="Tablehead"/>
              <w:rPr>
                <w:lang w:eastAsia="en-AU"/>
              </w:rPr>
            </w:pPr>
            <w:r w:rsidRPr="00F06651">
              <w:rPr>
                <w:lang w:eastAsia="en-AU"/>
              </w:rPr>
              <w:t>Sign</w:t>
            </w:r>
          </w:p>
        </w:tc>
        <w:tc>
          <w:tcPr>
            <w:tcW w:w="2853" w:type="dxa"/>
          </w:tcPr>
          <w:p w14:paraId="28398CF9" w14:textId="77777777" w:rsidR="00AA662C" w:rsidRPr="00F06651" w:rsidRDefault="00AA662C" w:rsidP="004A6146">
            <w:pPr>
              <w:pStyle w:val="Tablehead"/>
              <w:rPr>
                <w:lang w:eastAsia="en-AU"/>
              </w:rPr>
            </w:pPr>
            <w:r w:rsidRPr="00F06651">
              <w:rPr>
                <w:lang w:eastAsia="en-AU"/>
              </w:rPr>
              <w:t>Guidance on use</w:t>
            </w:r>
          </w:p>
        </w:tc>
        <w:tc>
          <w:tcPr>
            <w:tcW w:w="2535" w:type="dxa"/>
          </w:tcPr>
          <w:p w14:paraId="42E1F763" w14:textId="77777777" w:rsidR="00AA662C" w:rsidRPr="00F06651" w:rsidRDefault="00AA662C" w:rsidP="004A6146">
            <w:pPr>
              <w:pStyle w:val="Tablehead"/>
              <w:rPr>
                <w:lang w:eastAsia="en-AU"/>
              </w:rPr>
            </w:pPr>
            <w:r w:rsidRPr="00F06651">
              <w:rPr>
                <w:lang w:eastAsia="en-AU"/>
              </w:rPr>
              <w:t>Example - Australia</w:t>
            </w:r>
          </w:p>
        </w:tc>
        <w:tc>
          <w:tcPr>
            <w:tcW w:w="2464" w:type="dxa"/>
          </w:tcPr>
          <w:p w14:paraId="71DC5D04" w14:textId="77777777" w:rsidR="00AA662C" w:rsidRPr="00F06651" w:rsidRDefault="00AA662C" w:rsidP="004A6146">
            <w:pPr>
              <w:pStyle w:val="Tablehead"/>
              <w:rPr>
                <w:lang w:eastAsia="en-AU"/>
              </w:rPr>
            </w:pPr>
            <w:r w:rsidRPr="00F06651">
              <w:rPr>
                <w:lang w:eastAsia="en-AU"/>
              </w:rPr>
              <w:t>Example - USA</w:t>
            </w:r>
          </w:p>
        </w:tc>
      </w:tr>
      <w:tr w:rsidR="00AA662C" w:rsidRPr="00F06651" w14:paraId="3882BE44" w14:textId="77777777" w:rsidTr="004A6146">
        <w:trPr>
          <w:cantSplit/>
        </w:trPr>
        <w:tc>
          <w:tcPr>
            <w:tcW w:w="1327" w:type="dxa"/>
          </w:tcPr>
          <w:p w14:paraId="69D462E2" w14:textId="77777777" w:rsidR="00AA662C" w:rsidRPr="00F06651" w:rsidRDefault="00AA662C" w:rsidP="004A6146">
            <w:pPr>
              <w:pStyle w:val="Tabletext"/>
              <w:rPr>
                <w:lang w:eastAsia="en-AU"/>
              </w:rPr>
            </w:pPr>
            <w:r w:rsidRPr="00F06651">
              <w:rPr>
                <w:lang w:eastAsia="en-AU"/>
              </w:rPr>
              <w:t>Notice</w:t>
            </w:r>
          </w:p>
        </w:tc>
        <w:tc>
          <w:tcPr>
            <w:tcW w:w="2853" w:type="dxa"/>
          </w:tcPr>
          <w:p w14:paraId="13E25C0F" w14:textId="73FBEF59" w:rsidR="00AA662C" w:rsidRPr="00512F1E" w:rsidRDefault="00AA662C" w:rsidP="004A6146">
            <w:pPr>
              <w:pStyle w:val="Tabletext"/>
              <w:rPr>
                <w:lang w:eastAsia="en-AU"/>
              </w:rPr>
            </w:pPr>
            <w:r w:rsidRPr="00512F1E">
              <w:rPr>
                <w:lang w:eastAsia="en-AU"/>
              </w:rPr>
              <w:t xml:space="preserve">Used to alert persons to the potential </w:t>
            </w:r>
            <w:r w:rsidR="00803F35">
              <w:rPr>
                <w:lang w:eastAsia="en-AU"/>
              </w:rPr>
              <w:t>of</w:t>
            </w:r>
            <w:r w:rsidRPr="00512F1E">
              <w:rPr>
                <w:lang w:eastAsia="en-AU"/>
              </w:rPr>
              <w:t xml:space="preserve"> exposures exceeding the reference levels for the public.</w:t>
            </w:r>
          </w:p>
          <w:p w14:paraId="6DF26AC3" w14:textId="231A1169" w:rsidR="00AA662C" w:rsidRPr="00512F1E" w:rsidRDefault="00AA662C" w:rsidP="004A6146">
            <w:pPr>
              <w:pStyle w:val="Tabletext"/>
              <w:rPr>
                <w:lang w:eastAsia="en-AU"/>
              </w:rPr>
            </w:pPr>
            <w:r w:rsidRPr="00512F1E">
              <w:rPr>
                <w:lang w:eastAsia="en-AU"/>
              </w:rPr>
              <w:t xml:space="preserve">Note: </w:t>
            </w:r>
            <w:r w:rsidR="00803F35">
              <w:rPr>
                <w:lang w:eastAsia="en-AU"/>
              </w:rPr>
              <w:t>I</w:t>
            </w:r>
            <w:r w:rsidRPr="00512F1E">
              <w:rPr>
                <w:lang w:eastAsia="en-AU"/>
              </w:rPr>
              <w:t>n some countries</w:t>
            </w:r>
            <w:r w:rsidR="00803F35">
              <w:rPr>
                <w:lang w:eastAsia="en-AU"/>
              </w:rPr>
              <w:t>,</w:t>
            </w:r>
            <w:r w:rsidRPr="00512F1E">
              <w:rPr>
                <w:lang w:eastAsia="en-AU"/>
              </w:rPr>
              <w:t xml:space="preserve"> these signs are call</w:t>
            </w:r>
            <w:r w:rsidR="00803F35">
              <w:rPr>
                <w:lang w:eastAsia="en-AU"/>
              </w:rPr>
              <w:t>ed</w:t>
            </w:r>
            <w:r w:rsidRPr="00512F1E">
              <w:rPr>
                <w:lang w:eastAsia="en-AU"/>
              </w:rPr>
              <w:t xml:space="preserve"> Notices or Caution Signs</w:t>
            </w:r>
          </w:p>
        </w:tc>
        <w:tc>
          <w:tcPr>
            <w:tcW w:w="2535" w:type="dxa"/>
          </w:tcPr>
          <w:p w14:paraId="07F6A757" w14:textId="77777777" w:rsidR="00AA662C" w:rsidRPr="00F06651" w:rsidRDefault="00AA662C" w:rsidP="004A6146">
            <w:pPr>
              <w:pStyle w:val="Tabletext"/>
              <w:rPr>
                <w:lang w:eastAsia="en-AU"/>
              </w:rPr>
            </w:pPr>
            <w:r w:rsidRPr="00F06651">
              <w:rPr>
                <w:noProof/>
                <w:lang w:val="en-US" w:eastAsia="zh-CN"/>
              </w:rPr>
              <w:drawing>
                <wp:inline distT="0" distB="0" distL="0" distR="0" wp14:anchorId="41E08E37" wp14:editId="5EBCB982">
                  <wp:extent cx="1170989" cy="1530927"/>
                  <wp:effectExtent l="19050" t="0" r="0" b="0"/>
                  <wp:docPr id="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srcRect/>
                          <a:stretch>
                            <a:fillRect/>
                          </a:stretch>
                        </pic:blipFill>
                        <pic:spPr bwMode="auto">
                          <a:xfrm>
                            <a:off x="0" y="0"/>
                            <a:ext cx="1170575" cy="1530386"/>
                          </a:xfrm>
                          <a:prstGeom prst="rect">
                            <a:avLst/>
                          </a:prstGeom>
                          <a:noFill/>
                          <a:ln w="9525">
                            <a:noFill/>
                            <a:miter lim="800000"/>
                            <a:headEnd/>
                            <a:tailEnd/>
                          </a:ln>
                        </pic:spPr>
                      </pic:pic>
                    </a:graphicData>
                  </a:graphic>
                </wp:inline>
              </w:drawing>
            </w:r>
          </w:p>
        </w:tc>
        <w:tc>
          <w:tcPr>
            <w:tcW w:w="2464" w:type="dxa"/>
          </w:tcPr>
          <w:p w14:paraId="1C7E68AF" w14:textId="77777777" w:rsidR="00AA662C" w:rsidRPr="00F06651" w:rsidRDefault="00AA662C" w:rsidP="004A6146">
            <w:pPr>
              <w:pStyle w:val="Tabletext"/>
              <w:rPr>
                <w:lang w:eastAsia="en-AU"/>
              </w:rPr>
            </w:pPr>
            <w:r w:rsidRPr="00F06651">
              <w:rPr>
                <w:noProof/>
                <w:lang w:val="en-US" w:eastAsia="zh-CN"/>
              </w:rPr>
              <w:drawing>
                <wp:inline distT="0" distB="0" distL="0" distR="0" wp14:anchorId="09258ECA" wp14:editId="00E397B4">
                  <wp:extent cx="1116000" cy="1530000"/>
                  <wp:effectExtent l="0" t="0" r="8255" b="0"/>
                  <wp:docPr id="5120" name="Picture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16000" cy="1530000"/>
                          </a:xfrm>
                          <a:prstGeom prst="rect">
                            <a:avLst/>
                          </a:prstGeom>
                          <a:noFill/>
                        </pic:spPr>
                      </pic:pic>
                    </a:graphicData>
                  </a:graphic>
                </wp:inline>
              </w:drawing>
            </w:r>
          </w:p>
        </w:tc>
      </w:tr>
      <w:tr w:rsidR="00AA662C" w:rsidRPr="00F06651" w14:paraId="72705940" w14:textId="77777777" w:rsidTr="004A6146">
        <w:trPr>
          <w:cantSplit/>
        </w:trPr>
        <w:tc>
          <w:tcPr>
            <w:tcW w:w="1327" w:type="dxa"/>
          </w:tcPr>
          <w:p w14:paraId="0ACA157E" w14:textId="77777777" w:rsidR="00AA662C" w:rsidRPr="00F06651" w:rsidRDefault="00AA662C" w:rsidP="004A6146">
            <w:pPr>
              <w:pStyle w:val="Tabletext"/>
              <w:rPr>
                <w:lang w:eastAsia="en-AU"/>
              </w:rPr>
            </w:pPr>
            <w:r w:rsidRPr="00F06651">
              <w:rPr>
                <w:lang w:eastAsia="en-AU"/>
              </w:rPr>
              <w:t>Caution</w:t>
            </w:r>
          </w:p>
        </w:tc>
        <w:tc>
          <w:tcPr>
            <w:tcW w:w="2853" w:type="dxa"/>
          </w:tcPr>
          <w:p w14:paraId="05A72DA3" w14:textId="77777777" w:rsidR="00AA662C" w:rsidRPr="00512F1E" w:rsidRDefault="00AA662C" w:rsidP="004A6146">
            <w:pPr>
              <w:pStyle w:val="Tabletext"/>
              <w:rPr>
                <w:lang w:eastAsia="en-AU"/>
              </w:rPr>
            </w:pPr>
            <w:r w:rsidRPr="00512F1E">
              <w:rPr>
                <w:lang w:eastAsia="en-AU"/>
              </w:rPr>
              <w:t>Used to alert persons to the possibility of exposures exceeding the reference levels for workers.</w:t>
            </w:r>
          </w:p>
          <w:p w14:paraId="798E75CB" w14:textId="3A1AA829" w:rsidR="00AA662C" w:rsidRPr="00512F1E" w:rsidRDefault="00AA662C" w:rsidP="004A6146">
            <w:pPr>
              <w:pStyle w:val="Tabletext"/>
              <w:rPr>
                <w:lang w:eastAsia="en-AU"/>
              </w:rPr>
            </w:pPr>
            <w:r w:rsidRPr="00512F1E">
              <w:rPr>
                <w:lang w:eastAsia="en-AU"/>
              </w:rPr>
              <w:t xml:space="preserve">Note: </w:t>
            </w:r>
            <w:r w:rsidR="00803F35">
              <w:rPr>
                <w:lang w:eastAsia="en-AU"/>
              </w:rPr>
              <w:t>I</w:t>
            </w:r>
            <w:r w:rsidRPr="00512F1E">
              <w:rPr>
                <w:lang w:eastAsia="en-AU"/>
              </w:rPr>
              <w:t>n some countries</w:t>
            </w:r>
            <w:r w:rsidR="00803F35">
              <w:rPr>
                <w:lang w:eastAsia="en-AU"/>
              </w:rPr>
              <w:t>,</w:t>
            </w:r>
            <w:r w:rsidRPr="00512F1E">
              <w:rPr>
                <w:lang w:eastAsia="en-AU"/>
              </w:rPr>
              <w:t xml:space="preserve"> these signs are call</w:t>
            </w:r>
            <w:r w:rsidR="00803F35">
              <w:rPr>
                <w:lang w:eastAsia="en-AU"/>
              </w:rPr>
              <w:t>ed</w:t>
            </w:r>
            <w:r w:rsidRPr="00512F1E">
              <w:rPr>
                <w:lang w:eastAsia="en-AU"/>
              </w:rPr>
              <w:t xml:space="preserve"> Caution Signs or Warning Signs</w:t>
            </w:r>
          </w:p>
        </w:tc>
        <w:tc>
          <w:tcPr>
            <w:tcW w:w="2535" w:type="dxa"/>
          </w:tcPr>
          <w:p w14:paraId="6949D3B2" w14:textId="77777777" w:rsidR="00AA662C" w:rsidRPr="00F06651" w:rsidRDefault="00AA662C" w:rsidP="004A6146">
            <w:pPr>
              <w:pStyle w:val="Tabletext"/>
              <w:rPr>
                <w:lang w:eastAsia="en-AU"/>
              </w:rPr>
            </w:pPr>
            <w:r w:rsidRPr="00F06651">
              <w:rPr>
                <w:noProof/>
                <w:lang w:val="en-US" w:eastAsia="zh-CN"/>
              </w:rPr>
              <w:drawing>
                <wp:inline distT="0" distB="0" distL="0" distR="0" wp14:anchorId="363F9056" wp14:editId="3F90F2B5">
                  <wp:extent cx="1204798" cy="1524000"/>
                  <wp:effectExtent l="19050" t="0" r="0" b="0"/>
                  <wp:docPr id="51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srcRect/>
                          <a:stretch>
                            <a:fillRect/>
                          </a:stretch>
                        </pic:blipFill>
                        <pic:spPr bwMode="auto">
                          <a:xfrm>
                            <a:off x="0" y="0"/>
                            <a:ext cx="1204848" cy="1524063"/>
                          </a:xfrm>
                          <a:prstGeom prst="rect">
                            <a:avLst/>
                          </a:prstGeom>
                          <a:noFill/>
                          <a:ln w="9525">
                            <a:noFill/>
                            <a:miter lim="800000"/>
                            <a:headEnd/>
                            <a:tailEnd/>
                          </a:ln>
                        </pic:spPr>
                      </pic:pic>
                    </a:graphicData>
                  </a:graphic>
                </wp:inline>
              </w:drawing>
            </w:r>
          </w:p>
        </w:tc>
        <w:tc>
          <w:tcPr>
            <w:tcW w:w="2464" w:type="dxa"/>
          </w:tcPr>
          <w:p w14:paraId="504B43AE" w14:textId="77777777" w:rsidR="00AA662C" w:rsidRPr="00F06651" w:rsidRDefault="00AA662C" w:rsidP="004A6146">
            <w:pPr>
              <w:pStyle w:val="Tabletext"/>
              <w:rPr>
                <w:lang w:eastAsia="en-AU"/>
              </w:rPr>
            </w:pPr>
            <w:r w:rsidRPr="00F06651">
              <w:rPr>
                <w:noProof/>
                <w:lang w:val="en-US" w:eastAsia="zh-CN"/>
              </w:rPr>
              <w:drawing>
                <wp:inline distT="0" distB="0" distL="0" distR="0" wp14:anchorId="36BBE94A" wp14:editId="61F1860F">
                  <wp:extent cx="1116000" cy="1530000"/>
                  <wp:effectExtent l="0" t="0" r="8255" b="0"/>
                  <wp:docPr id="5122" name="Picture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16000" cy="1530000"/>
                          </a:xfrm>
                          <a:prstGeom prst="rect">
                            <a:avLst/>
                          </a:prstGeom>
                          <a:noFill/>
                        </pic:spPr>
                      </pic:pic>
                    </a:graphicData>
                  </a:graphic>
                </wp:inline>
              </w:drawing>
            </w:r>
          </w:p>
        </w:tc>
      </w:tr>
      <w:tr w:rsidR="00AA662C" w:rsidRPr="00F06651" w14:paraId="5F1FBCB4" w14:textId="77777777" w:rsidTr="004A6146">
        <w:trPr>
          <w:cantSplit/>
        </w:trPr>
        <w:tc>
          <w:tcPr>
            <w:tcW w:w="1327" w:type="dxa"/>
          </w:tcPr>
          <w:p w14:paraId="5B1CF3CB" w14:textId="77777777" w:rsidR="00AA662C" w:rsidRPr="00F06651" w:rsidRDefault="00AA662C" w:rsidP="004A6146">
            <w:pPr>
              <w:pStyle w:val="Tabletext"/>
              <w:rPr>
                <w:lang w:eastAsia="en-AU"/>
              </w:rPr>
            </w:pPr>
            <w:r w:rsidRPr="00F06651">
              <w:rPr>
                <w:lang w:eastAsia="en-AU"/>
              </w:rPr>
              <w:t>Warning</w:t>
            </w:r>
          </w:p>
        </w:tc>
        <w:tc>
          <w:tcPr>
            <w:tcW w:w="2853" w:type="dxa"/>
          </w:tcPr>
          <w:p w14:paraId="00C1A338" w14:textId="66579BE0" w:rsidR="00AA662C" w:rsidRPr="00512F1E" w:rsidRDefault="00AA662C" w:rsidP="004A6146">
            <w:pPr>
              <w:pStyle w:val="Tabletext"/>
              <w:rPr>
                <w:lang w:eastAsia="en-AU"/>
              </w:rPr>
            </w:pPr>
            <w:r w:rsidRPr="00512F1E">
              <w:rPr>
                <w:lang w:eastAsia="en-AU"/>
              </w:rPr>
              <w:t xml:space="preserve">Used to advise persons of potential exposures that may exceed the reference levels for workers by a factor of 10 (the safety factor in the </w:t>
            </w:r>
            <w:r w:rsidR="00803F35">
              <w:rPr>
                <w:lang w:eastAsia="en-AU"/>
              </w:rPr>
              <w:t>(</w:t>
            </w:r>
            <w:r w:rsidRPr="00512F1E">
              <w:rPr>
                <w:lang w:eastAsia="en-AU"/>
              </w:rPr>
              <w:t>ICNIRP, 1998</w:t>
            </w:r>
            <w:r w:rsidR="00803F35">
              <w:rPr>
                <w:lang w:eastAsia="en-AU"/>
              </w:rPr>
              <w:t>)</w:t>
            </w:r>
            <w:r w:rsidRPr="00512F1E">
              <w:rPr>
                <w:lang w:eastAsia="en-AU"/>
              </w:rPr>
              <w:t xml:space="preserve"> guidelines.</w:t>
            </w:r>
          </w:p>
          <w:p w14:paraId="1F9F411C" w14:textId="4A03C1EE" w:rsidR="00AA662C" w:rsidRPr="00512F1E" w:rsidRDefault="00AA662C" w:rsidP="004A6146">
            <w:pPr>
              <w:pStyle w:val="Tabletext"/>
              <w:rPr>
                <w:lang w:eastAsia="en-AU"/>
              </w:rPr>
            </w:pPr>
            <w:r w:rsidRPr="00512F1E">
              <w:rPr>
                <w:lang w:eastAsia="en-AU"/>
              </w:rPr>
              <w:t xml:space="preserve">Note: </w:t>
            </w:r>
            <w:r w:rsidR="00803F35">
              <w:rPr>
                <w:lang w:eastAsia="en-AU"/>
              </w:rPr>
              <w:t>N</w:t>
            </w:r>
            <w:r w:rsidRPr="00512F1E">
              <w:rPr>
                <w:lang w:eastAsia="en-AU"/>
              </w:rPr>
              <w:t>ot used in all countries.</w:t>
            </w:r>
          </w:p>
        </w:tc>
        <w:tc>
          <w:tcPr>
            <w:tcW w:w="2535" w:type="dxa"/>
          </w:tcPr>
          <w:p w14:paraId="3B9197A1" w14:textId="77777777" w:rsidR="00AA662C" w:rsidRPr="00F06651" w:rsidRDefault="00AA662C" w:rsidP="004A6146">
            <w:pPr>
              <w:pStyle w:val="Tabletext"/>
              <w:rPr>
                <w:lang w:eastAsia="en-AU"/>
              </w:rPr>
            </w:pPr>
            <w:r w:rsidRPr="00F06651">
              <w:rPr>
                <w:lang w:eastAsia="en-AU"/>
              </w:rPr>
              <w:t>Not used in Australia</w:t>
            </w:r>
          </w:p>
        </w:tc>
        <w:tc>
          <w:tcPr>
            <w:tcW w:w="2464" w:type="dxa"/>
          </w:tcPr>
          <w:p w14:paraId="5B72D344" w14:textId="77777777" w:rsidR="00AA662C" w:rsidRPr="00F06651" w:rsidRDefault="00AA662C" w:rsidP="004A6146">
            <w:pPr>
              <w:pStyle w:val="Tabletext"/>
              <w:rPr>
                <w:lang w:eastAsia="en-AU"/>
              </w:rPr>
            </w:pPr>
            <w:r w:rsidRPr="00F06651">
              <w:rPr>
                <w:noProof/>
                <w:lang w:val="en-US" w:eastAsia="zh-CN"/>
              </w:rPr>
              <w:drawing>
                <wp:inline distT="0" distB="0" distL="0" distR="0" wp14:anchorId="09B0E6E9" wp14:editId="62973CFA">
                  <wp:extent cx="1116000" cy="1530000"/>
                  <wp:effectExtent l="0" t="0" r="8255" b="0"/>
                  <wp:docPr id="5123"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16000" cy="1530000"/>
                          </a:xfrm>
                          <a:prstGeom prst="rect">
                            <a:avLst/>
                          </a:prstGeom>
                          <a:noFill/>
                        </pic:spPr>
                      </pic:pic>
                    </a:graphicData>
                  </a:graphic>
                </wp:inline>
              </w:drawing>
            </w:r>
          </w:p>
        </w:tc>
      </w:tr>
      <w:tr w:rsidR="00AA662C" w:rsidRPr="00F06651" w14:paraId="4F1457BF" w14:textId="77777777" w:rsidTr="004A6146">
        <w:trPr>
          <w:cantSplit/>
        </w:trPr>
        <w:tc>
          <w:tcPr>
            <w:tcW w:w="1327" w:type="dxa"/>
          </w:tcPr>
          <w:p w14:paraId="5F973FE6" w14:textId="77777777" w:rsidR="00AA662C" w:rsidRPr="00F06651" w:rsidRDefault="00AA662C" w:rsidP="004A6146">
            <w:pPr>
              <w:pStyle w:val="Tabletext"/>
              <w:rPr>
                <w:lang w:eastAsia="en-AU"/>
              </w:rPr>
            </w:pPr>
            <w:r w:rsidRPr="00F06651">
              <w:rPr>
                <w:lang w:eastAsia="en-AU"/>
              </w:rPr>
              <w:t>Danger</w:t>
            </w:r>
          </w:p>
        </w:tc>
        <w:tc>
          <w:tcPr>
            <w:tcW w:w="2853" w:type="dxa"/>
          </w:tcPr>
          <w:p w14:paraId="487B33B8" w14:textId="77777777" w:rsidR="00AA662C" w:rsidRPr="00F06651" w:rsidRDefault="00AA662C" w:rsidP="004A6146">
            <w:pPr>
              <w:pStyle w:val="Tabletext"/>
              <w:rPr>
                <w:lang w:eastAsia="en-AU"/>
              </w:rPr>
            </w:pPr>
            <w:r w:rsidRPr="00F06651">
              <w:rPr>
                <w:lang w:eastAsia="en-AU"/>
              </w:rPr>
              <w:t>Normally only used for situations in which immediate and serious injury will occur such as in the case of RF burns and/or RF electrical shocks.</w:t>
            </w:r>
          </w:p>
        </w:tc>
        <w:tc>
          <w:tcPr>
            <w:tcW w:w="2535" w:type="dxa"/>
          </w:tcPr>
          <w:p w14:paraId="397BF987" w14:textId="77777777" w:rsidR="00AA662C" w:rsidRPr="00F06651" w:rsidRDefault="00AA662C" w:rsidP="004A6146">
            <w:pPr>
              <w:pStyle w:val="Tabletext"/>
              <w:rPr>
                <w:lang w:eastAsia="en-AU"/>
              </w:rPr>
            </w:pPr>
            <w:r w:rsidRPr="00F06651">
              <w:rPr>
                <w:noProof/>
                <w:lang w:val="en-US" w:eastAsia="zh-CN"/>
              </w:rPr>
              <w:drawing>
                <wp:inline distT="0" distB="0" distL="0" distR="0" wp14:anchorId="5F0B35D5" wp14:editId="4C1D259D">
                  <wp:extent cx="1359477" cy="977740"/>
                  <wp:effectExtent l="19050" t="0" r="0" b="0"/>
                  <wp:docPr id="5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1359165" cy="977516"/>
                          </a:xfrm>
                          <a:prstGeom prst="rect">
                            <a:avLst/>
                          </a:prstGeom>
                          <a:noFill/>
                          <a:ln w="9525">
                            <a:noFill/>
                            <a:miter lim="800000"/>
                            <a:headEnd/>
                            <a:tailEnd/>
                          </a:ln>
                        </pic:spPr>
                      </pic:pic>
                    </a:graphicData>
                  </a:graphic>
                </wp:inline>
              </w:drawing>
            </w:r>
          </w:p>
        </w:tc>
        <w:tc>
          <w:tcPr>
            <w:tcW w:w="2464" w:type="dxa"/>
          </w:tcPr>
          <w:p w14:paraId="64208828" w14:textId="77777777" w:rsidR="00AA662C" w:rsidRPr="00F06651" w:rsidRDefault="00AA662C" w:rsidP="004A6146">
            <w:pPr>
              <w:pStyle w:val="Tabletext"/>
              <w:rPr>
                <w:lang w:eastAsia="en-AU"/>
              </w:rPr>
            </w:pPr>
            <w:r w:rsidRPr="00F06651">
              <w:rPr>
                <w:noProof/>
                <w:lang w:val="en-US" w:eastAsia="zh-CN"/>
              </w:rPr>
              <w:drawing>
                <wp:inline distT="0" distB="0" distL="0" distR="0" wp14:anchorId="1538CDD5" wp14:editId="3F3D1708">
                  <wp:extent cx="1116000" cy="1530000"/>
                  <wp:effectExtent l="0" t="0" r="8255" b="0"/>
                  <wp:docPr id="5126" name="Picture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16000" cy="1530000"/>
                          </a:xfrm>
                          <a:prstGeom prst="rect">
                            <a:avLst/>
                          </a:prstGeom>
                          <a:noFill/>
                        </pic:spPr>
                      </pic:pic>
                    </a:graphicData>
                  </a:graphic>
                </wp:inline>
              </w:drawing>
            </w:r>
          </w:p>
        </w:tc>
      </w:tr>
    </w:tbl>
    <w:p w14:paraId="5A7725D5" w14:textId="0D33B456" w:rsidR="004A6146" w:rsidRDefault="00AA662C" w:rsidP="004A6146">
      <w:pPr>
        <w:rPr>
          <w:lang w:eastAsia="zh-CN"/>
        </w:rPr>
      </w:pPr>
      <w:r w:rsidRPr="00F06651">
        <w:rPr>
          <w:lang w:eastAsia="zh-CN"/>
        </w:rPr>
        <w:t xml:space="preserve">Other signage, such as advertising, should not generally be attached to wireless network antennas unless it is part of </w:t>
      </w:r>
      <w:r w:rsidR="00803F35">
        <w:rPr>
          <w:lang w:eastAsia="zh-CN"/>
        </w:rPr>
        <w:t xml:space="preserve">the </w:t>
      </w:r>
      <w:r w:rsidRPr="00F06651">
        <w:rPr>
          <w:lang w:eastAsia="zh-CN"/>
        </w:rPr>
        <w:t>integrati</w:t>
      </w:r>
      <w:r w:rsidR="00803F35">
        <w:rPr>
          <w:lang w:eastAsia="zh-CN"/>
        </w:rPr>
        <w:t>on</w:t>
      </w:r>
      <w:r w:rsidRPr="00F06651">
        <w:rPr>
          <w:lang w:eastAsia="zh-CN"/>
        </w:rPr>
        <w:t xml:space="preserve"> of the antennas with the visual environment (see section 9.</w:t>
      </w:r>
      <w:r w:rsidR="00803F35">
        <w:rPr>
          <w:lang w:eastAsia="zh-CN"/>
        </w:rPr>
        <w:t>6</w:t>
      </w:r>
      <w:r w:rsidRPr="00F06651">
        <w:rPr>
          <w:lang w:eastAsia="zh-CN"/>
        </w:rPr>
        <w:t>).</w:t>
      </w:r>
      <w:r w:rsidRPr="00F06651">
        <w:rPr>
          <w:rFonts w:ascii="Calibri" w:hAnsi="Calibri" w:cs="Arial"/>
          <w:sz w:val="22"/>
          <w:szCs w:val="22"/>
          <w:lang w:eastAsia="zh-CN"/>
        </w:rPr>
        <w:t xml:space="preserve"> </w:t>
      </w:r>
      <w:r w:rsidRPr="00F06651">
        <w:rPr>
          <w:lang w:eastAsia="zh-CN"/>
        </w:rPr>
        <w:t xml:space="preserve">Other general requirements for signage can be found in the European Directives 2013/35/EU and 92/58/EEC. </w:t>
      </w:r>
    </w:p>
    <w:p w14:paraId="27F3485A" w14:textId="77777777" w:rsidR="006613AC" w:rsidRDefault="006613AC">
      <w:pPr>
        <w:tabs>
          <w:tab w:val="clear" w:pos="794"/>
          <w:tab w:val="clear" w:pos="1191"/>
          <w:tab w:val="clear" w:pos="1588"/>
          <w:tab w:val="clear" w:pos="1985"/>
        </w:tabs>
        <w:overflowPunct/>
        <w:autoSpaceDE/>
        <w:autoSpaceDN/>
        <w:adjustRightInd/>
        <w:spacing w:before="0"/>
        <w:jc w:val="left"/>
        <w:textAlignment w:val="auto"/>
        <w:rPr>
          <w:b/>
        </w:rPr>
      </w:pPr>
      <w:bookmarkStart w:id="145" w:name="_Toc397945070"/>
      <w:bookmarkStart w:id="146" w:name="_Toc400020889"/>
      <w:r>
        <w:br w:type="page"/>
      </w:r>
    </w:p>
    <w:p w14:paraId="3B2B74B8" w14:textId="14C41B90" w:rsidR="00AA662C" w:rsidRPr="00F06651" w:rsidRDefault="00AA662C" w:rsidP="006F369D">
      <w:pPr>
        <w:pStyle w:val="Heading1"/>
      </w:pPr>
      <w:bookmarkStart w:id="147" w:name="_Toc400106157"/>
      <w:r>
        <w:lastRenderedPageBreak/>
        <w:t>8</w:t>
      </w:r>
      <w:r>
        <w:tab/>
      </w:r>
      <w:r w:rsidRPr="00F06651">
        <w:t xml:space="preserve">ICT </w:t>
      </w:r>
      <w:r w:rsidR="00DB39FE">
        <w:t>w</w:t>
      </w:r>
      <w:r w:rsidRPr="00F06651">
        <w:t xml:space="preserve">ireless </w:t>
      </w:r>
      <w:r w:rsidR="00DB39FE">
        <w:t>t</w:t>
      </w:r>
      <w:r w:rsidRPr="00F06651">
        <w:t>echnologies</w:t>
      </w:r>
      <w:bookmarkEnd w:id="145"/>
      <w:bookmarkEnd w:id="146"/>
      <w:bookmarkEnd w:id="147"/>
    </w:p>
    <w:p w14:paraId="0D299063" w14:textId="4916A949" w:rsidR="00AA662C" w:rsidRPr="00F06651" w:rsidRDefault="00AA662C" w:rsidP="006F369D">
      <w:pPr>
        <w:rPr>
          <w:lang w:eastAsia="zh-CN"/>
        </w:rPr>
      </w:pPr>
      <w:r w:rsidRPr="00F06651">
        <w:rPr>
          <w:lang w:eastAsia="zh-CN"/>
        </w:rPr>
        <w:t xml:space="preserve">Wireless technologies used by ICT systems include </w:t>
      </w:r>
      <w:r w:rsidR="00F01418">
        <w:rPr>
          <w:lang w:eastAsia="zh-CN"/>
        </w:rPr>
        <w:t>c</w:t>
      </w:r>
      <w:r w:rsidRPr="00F06651">
        <w:rPr>
          <w:lang w:eastAsia="zh-CN"/>
        </w:rPr>
        <w:t xml:space="preserve">ellular and </w:t>
      </w:r>
      <w:r w:rsidR="00F01418">
        <w:rPr>
          <w:lang w:eastAsia="zh-CN"/>
        </w:rPr>
        <w:t>m</w:t>
      </w:r>
      <w:r w:rsidRPr="00F06651">
        <w:rPr>
          <w:lang w:eastAsia="zh-CN"/>
        </w:rPr>
        <w:t>obile technologies, Wi-Fi, WiMax, Bluetooth, DECT, ZigBee and Wireless M-Bus.</w:t>
      </w:r>
      <w:r w:rsidR="0049069D">
        <w:rPr>
          <w:lang w:eastAsia="zh-CN"/>
        </w:rPr>
        <w:t xml:space="preserve"> </w:t>
      </w:r>
    </w:p>
    <w:p w14:paraId="0E94DBC4" w14:textId="77777777" w:rsidR="00AA662C" w:rsidRPr="00F06651" w:rsidRDefault="00AA662C" w:rsidP="006F369D">
      <w:pPr>
        <w:rPr>
          <w:lang w:eastAsia="zh-CN"/>
        </w:rPr>
      </w:pPr>
      <w:r w:rsidRPr="00F06651">
        <w:rPr>
          <w:lang w:eastAsia="zh-CN"/>
        </w:rPr>
        <w:t xml:space="preserve">This section provides a summary of some of the wireless technologies used by </w:t>
      </w:r>
      <w:r w:rsidR="00F01418">
        <w:rPr>
          <w:lang w:eastAsia="zh-CN"/>
        </w:rPr>
        <w:t xml:space="preserve">the </w:t>
      </w:r>
      <w:r w:rsidRPr="00F06651">
        <w:rPr>
          <w:lang w:eastAsia="zh-CN"/>
        </w:rPr>
        <w:t xml:space="preserve">ICT systems. </w:t>
      </w:r>
    </w:p>
    <w:p w14:paraId="7FBFB1B6" w14:textId="77777777" w:rsidR="00AA662C" w:rsidRPr="00F06651" w:rsidRDefault="00AA662C" w:rsidP="006F369D">
      <w:pPr>
        <w:pStyle w:val="Heading2"/>
        <w:rPr>
          <w:lang w:eastAsia="en-AU"/>
        </w:rPr>
      </w:pPr>
      <w:bookmarkStart w:id="148" w:name="_Toc397945071"/>
      <w:bookmarkStart w:id="149" w:name="_Toc400020890"/>
      <w:bookmarkStart w:id="150" w:name="_Toc400106158"/>
      <w:r>
        <w:rPr>
          <w:lang w:eastAsia="en-AU"/>
        </w:rPr>
        <w:t>8.1</w:t>
      </w:r>
      <w:r>
        <w:rPr>
          <w:lang w:eastAsia="en-AU"/>
        </w:rPr>
        <w:tab/>
      </w:r>
      <w:r w:rsidRPr="00F06651">
        <w:rPr>
          <w:lang w:eastAsia="en-AU"/>
        </w:rPr>
        <w:t>Mobile network technologies – 3G and 4G</w:t>
      </w:r>
      <w:bookmarkEnd w:id="148"/>
      <w:bookmarkEnd w:id="149"/>
      <w:bookmarkEnd w:id="150"/>
    </w:p>
    <w:p w14:paraId="78118634" w14:textId="30840000" w:rsidR="00AA662C" w:rsidRPr="00F06651" w:rsidRDefault="00AA662C" w:rsidP="006F369D">
      <w:pPr>
        <w:rPr>
          <w:lang w:eastAsia="zh-CN"/>
        </w:rPr>
      </w:pPr>
      <w:r w:rsidRPr="00F06651">
        <w:rPr>
          <w:lang w:eastAsia="zh-CN"/>
        </w:rPr>
        <w:t>4G LTE (Long</w:t>
      </w:r>
      <w:r w:rsidR="00F01418">
        <w:rPr>
          <w:lang w:eastAsia="zh-CN"/>
        </w:rPr>
        <w:t>-t</w:t>
      </w:r>
      <w:r w:rsidRPr="00F06651">
        <w:rPr>
          <w:lang w:eastAsia="zh-CN"/>
        </w:rPr>
        <w:t xml:space="preserve">erm </w:t>
      </w:r>
      <w:r w:rsidR="00F01418">
        <w:rPr>
          <w:lang w:eastAsia="zh-CN"/>
        </w:rPr>
        <w:t>e</w:t>
      </w:r>
      <w:r w:rsidRPr="00F06651">
        <w:rPr>
          <w:lang w:eastAsia="zh-CN"/>
        </w:rPr>
        <w:t>volution) is the latest major enhancement to mobile radio communications networks. LTE is a standard that is part of the evolution of 3G, which incorporates significantly increased data rates (for the same transmitted power) and better performance to enhance the mobile broadband experience. It should be noted that this improved level of service can be achieved without increasing the output power of the transmitters. The functioning of 3G and 4G technology is illustrated in Figure 18.</w:t>
      </w:r>
      <w:r w:rsidR="0049069D">
        <w:rPr>
          <w:lang w:eastAsia="zh-CN"/>
        </w:rPr>
        <w:t xml:space="preserve"> </w:t>
      </w:r>
    </w:p>
    <w:p w14:paraId="53567918" w14:textId="77777777" w:rsidR="006F369D" w:rsidRDefault="00AA662C" w:rsidP="006F369D">
      <w:pPr>
        <w:pStyle w:val="Figure"/>
        <w:rPr>
          <w:lang w:eastAsia="en-AU"/>
        </w:rPr>
      </w:pPr>
      <w:r w:rsidRPr="00F06651">
        <w:rPr>
          <w:noProof/>
          <w:lang w:val="en-US" w:eastAsia="zh-CN"/>
        </w:rPr>
        <w:drawing>
          <wp:inline distT="0" distB="0" distL="0" distR="0" wp14:anchorId="25A95FA8" wp14:editId="6DC76A06">
            <wp:extent cx="5414010" cy="3611399"/>
            <wp:effectExtent l="19050" t="0" r="0" b="0"/>
            <wp:docPr id="5127" name="Picture 30" descr="EME_57_ITU_Graphics_1000px_FI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7_ITU_Graphics_1000px_FIG18.jpg"/>
                    <pic:cNvPicPr/>
                  </pic:nvPicPr>
                  <pic:blipFill>
                    <a:blip r:embed="rId64" cstate="print"/>
                    <a:stretch>
                      <a:fillRect/>
                    </a:stretch>
                  </pic:blipFill>
                  <pic:spPr>
                    <a:xfrm>
                      <a:off x="0" y="0"/>
                      <a:ext cx="5411764" cy="3609901"/>
                    </a:xfrm>
                    <a:prstGeom prst="rect">
                      <a:avLst/>
                    </a:prstGeom>
                  </pic:spPr>
                </pic:pic>
              </a:graphicData>
            </a:graphic>
          </wp:inline>
        </w:drawing>
      </w:r>
    </w:p>
    <w:p w14:paraId="37705F77" w14:textId="5E8D2E7F" w:rsidR="008447DA" w:rsidRDefault="000E4A5B" w:rsidP="006F369D">
      <w:pPr>
        <w:pStyle w:val="FigureNoTitle"/>
        <w:rPr>
          <w:b w:val="0"/>
          <w:sz w:val="18"/>
        </w:rPr>
      </w:pPr>
      <w:r w:rsidRPr="002E4045">
        <w:rPr>
          <w:b w:val="0"/>
          <w:sz w:val="18"/>
          <w:lang w:eastAsia="en-AU"/>
        </w:rPr>
        <w:t xml:space="preserve">Source: </w:t>
      </w:r>
      <w:r w:rsidR="008447DA">
        <w:rPr>
          <w:b w:val="0"/>
          <w:sz w:val="18"/>
          <w:lang w:eastAsia="en-AU"/>
        </w:rPr>
        <w:t>A</w:t>
      </w:r>
      <w:r w:rsidRPr="002E4045">
        <w:rPr>
          <w:b w:val="0"/>
          <w:sz w:val="18"/>
          <w:lang w:eastAsia="en-AU"/>
        </w:rPr>
        <w:t xml:space="preserve">dapted from EMF Explained, available at </w:t>
      </w:r>
      <w:hyperlink r:id="rId65" w:history="1">
        <w:r w:rsidRPr="002E4045">
          <w:rPr>
            <w:b w:val="0"/>
            <w:sz w:val="18"/>
          </w:rPr>
          <w:t>http://www.emfexplained.info/?Page=25196</w:t>
        </w:r>
      </w:hyperlink>
    </w:p>
    <w:p w14:paraId="6D0B3896" w14:textId="693DB007" w:rsidR="006F369D" w:rsidRDefault="00AA662C" w:rsidP="006F369D">
      <w:pPr>
        <w:pStyle w:val="FigureNoTitle"/>
        <w:rPr>
          <w:lang w:eastAsia="en-AU"/>
        </w:rPr>
      </w:pPr>
      <w:r w:rsidRPr="00F06651">
        <w:rPr>
          <w:lang w:eastAsia="en-AU"/>
        </w:rPr>
        <w:t xml:space="preserve">Figure </w:t>
      </w:r>
      <w:bookmarkStart w:id="151" w:name="f_3g_4g_tech"/>
      <w:bookmarkEnd w:id="151"/>
      <w:r w:rsidR="00C37C93">
        <w:rPr>
          <w:noProof/>
          <w:lang w:eastAsia="en-AU"/>
        </w:rPr>
        <w:t>18</w:t>
      </w:r>
      <w:r w:rsidR="0049069D">
        <w:rPr>
          <w:lang w:eastAsia="en-AU"/>
        </w:rPr>
        <w:t xml:space="preserve"> –</w:t>
      </w:r>
      <w:r w:rsidRPr="00F06651">
        <w:rPr>
          <w:lang w:eastAsia="en-AU"/>
        </w:rPr>
        <w:t xml:space="preserve"> 3G and 4G </w:t>
      </w:r>
      <w:r w:rsidR="008447DA">
        <w:rPr>
          <w:lang w:eastAsia="en-AU"/>
        </w:rPr>
        <w:t>t</w:t>
      </w:r>
      <w:r w:rsidRPr="00F06651">
        <w:rPr>
          <w:lang w:eastAsia="en-AU"/>
        </w:rPr>
        <w:t>echnology</w:t>
      </w:r>
    </w:p>
    <w:p w14:paraId="6286C2F5" w14:textId="5300BE31" w:rsidR="006F369D" w:rsidRDefault="006F369D" w:rsidP="006F369D">
      <w:pPr>
        <w:pStyle w:val="Figurelegend"/>
        <w:rPr>
          <w:lang w:eastAsia="en-AU"/>
        </w:rPr>
      </w:pPr>
      <w:bookmarkStart w:id="152" w:name="_Toc397945072"/>
    </w:p>
    <w:p w14:paraId="66F22391" w14:textId="77777777" w:rsidR="006613AC" w:rsidRDefault="006613AC">
      <w:pPr>
        <w:tabs>
          <w:tab w:val="clear" w:pos="794"/>
          <w:tab w:val="clear" w:pos="1191"/>
          <w:tab w:val="clear" w:pos="1588"/>
          <w:tab w:val="clear" w:pos="1985"/>
        </w:tabs>
        <w:overflowPunct/>
        <w:autoSpaceDE/>
        <w:autoSpaceDN/>
        <w:adjustRightInd/>
        <w:spacing w:before="0"/>
        <w:jc w:val="left"/>
        <w:textAlignment w:val="auto"/>
        <w:rPr>
          <w:b/>
          <w:lang w:eastAsia="en-AU"/>
        </w:rPr>
      </w:pPr>
      <w:bookmarkStart w:id="153" w:name="_Toc400020891"/>
      <w:r>
        <w:rPr>
          <w:lang w:eastAsia="en-AU"/>
        </w:rPr>
        <w:br w:type="page"/>
      </w:r>
    </w:p>
    <w:p w14:paraId="724B6776" w14:textId="77777777" w:rsidR="00AA662C" w:rsidRPr="00F06651" w:rsidRDefault="00AA662C" w:rsidP="006F369D">
      <w:pPr>
        <w:pStyle w:val="Heading2"/>
        <w:rPr>
          <w:lang w:eastAsia="en-AU"/>
        </w:rPr>
      </w:pPr>
      <w:bookmarkStart w:id="154" w:name="_Toc400106159"/>
      <w:r>
        <w:rPr>
          <w:lang w:eastAsia="en-AU"/>
        </w:rPr>
        <w:lastRenderedPageBreak/>
        <w:t>8.2</w:t>
      </w:r>
      <w:r>
        <w:rPr>
          <w:lang w:eastAsia="en-AU"/>
        </w:rPr>
        <w:tab/>
      </w:r>
      <w:r w:rsidRPr="00F06651">
        <w:rPr>
          <w:lang w:eastAsia="en-AU"/>
        </w:rPr>
        <w:t>WiMAX</w:t>
      </w:r>
      <w:bookmarkEnd w:id="152"/>
      <w:bookmarkEnd w:id="153"/>
      <w:bookmarkEnd w:id="154"/>
    </w:p>
    <w:p w14:paraId="51CD0863" w14:textId="55D8AAE1" w:rsidR="00AA662C" w:rsidRPr="00F06651" w:rsidRDefault="00AA662C" w:rsidP="006F369D">
      <w:pPr>
        <w:rPr>
          <w:lang w:eastAsia="zh-CN"/>
        </w:rPr>
      </w:pPr>
      <w:r w:rsidRPr="00F06651">
        <w:rPr>
          <w:lang w:eastAsia="zh-CN"/>
        </w:rPr>
        <w:t xml:space="preserve">The </w:t>
      </w:r>
      <w:r w:rsidR="008447DA">
        <w:rPr>
          <w:lang w:eastAsia="zh-CN"/>
        </w:rPr>
        <w:t>w</w:t>
      </w:r>
      <w:r w:rsidRPr="00F06651">
        <w:rPr>
          <w:lang w:eastAsia="zh-CN"/>
        </w:rPr>
        <w:t xml:space="preserve">orldwide </w:t>
      </w:r>
      <w:r w:rsidR="008447DA">
        <w:rPr>
          <w:lang w:eastAsia="zh-CN"/>
        </w:rPr>
        <w:t>i</w:t>
      </w:r>
      <w:r w:rsidRPr="00F06651">
        <w:rPr>
          <w:lang w:eastAsia="zh-CN"/>
        </w:rPr>
        <w:t xml:space="preserve">nteroperability for </w:t>
      </w:r>
      <w:r w:rsidR="008447DA">
        <w:rPr>
          <w:lang w:eastAsia="zh-CN"/>
        </w:rPr>
        <w:t>m</w:t>
      </w:r>
      <w:r w:rsidRPr="00F06651">
        <w:rPr>
          <w:lang w:eastAsia="zh-CN"/>
        </w:rPr>
        <w:t xml:space="preserve">icrowave </w:t>
      </w:r>
      <w:r w:rsidR="008447DA">
        <w:rPr>
          <w:lang w:eastAsia="zh-CN"/>
        </w:rPr>
        <w:t>a</w:t>
      </w:r>
      <w:r w:rsidRPr="00F06651">
        <w:rPr>
          <w:lang w:eastAsia="zh-CN"/>
        </w:rPr>
        <w:t>ccess (WiMAX) is a telecommunications technology aimed at providing wireless data over long distances in a variety of ways. Products are based on the Institute of Electrical and Electronics Engineers (IEEE) 802.16 standards. WiMAX provides an alternative Internet wireless access technology to broadband cables and digital subscriber lines (DSL). WiMAX networks enable a variety of options for broadband connections, essentially constituting a larger version of a Wi-Fi network (</w:t>
      </w:r>
      <w:r w:rsidR="008447DA">
        <w:rPr>
          <w:lang w:eastAsia="zh-CN"/>
        </w:rPr>
        <w:t>F</w:t>
      </w:r>
      <w:r w:rsidRPr="00F06651">
        <w:rPr>
          <w:lang w:eastAsia="zh-CN"/>
        </w:rPr>
        <w:t>igure</w:t>
      </w:r>
      <w:r w:rsidR="006F369D">
        <w:rPr>
          <w:lang w:eastAsia="zh-CN"/>
        </w:rPr>
        <w:t> </w:t>
      </w:r>
      <w:r w:rsidRPr="00F06651">
        <w:rPr>
          <w:lang w:eastAsia="zh-CN"/>
        </w:rPr>
        <w:t>19).</w:t>
      </w:r>
    </w:p>
    <w:p w14:paraId="41C794CF" w14:textId="77777777" w:rsidR="006F369D" w:rsidRDefault="00AA662C" w:rsidP="006F369D">
      <w:pPr>
        <w:pStyle w:val="Figure"/>
        <w:rPr>
          <w:lang w:eastAsia="en-AU"/>
        </w:rPr>
      </w:pPr>
      <w:r w:rsidRPr="00F06651">
        <w:rPr>
          <w:noProof/>
          <w:lang w:eastAsia="en-AU"/>
        </w:rPr>
        <w:t xml:space="preserve"> </w:t>
      </w:r>
      <w:r w:rsidRPr="00F06651">
        <w:rPr>
          <w:noProof/>
          <w:lang w:val="en-US" w:eastAsia="zh-CN"/>
        </w:rPr>
        <w:drawing>
          <wp:inline distT="0" distB="0" distL="0" distR="0" wp14:anchorId="163B58A6" wp14:editId="7DC4A481">
            <wp:extent cx="4979670" cy="3321674"/>
            <wp:effectExtent l="19050" t="0" r="0" b="0"/>
            <wp:docPr id="5128" name="Picture 33" descr="EME_57_ITU_Graphics_1000px_FI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7_ITU_Graphics_1000px_FIG20.jpg"/>
                    <pic:cNvPicPr/>
                  </pic:nvPicPr>
                  <pic:blipFill>
                    <a:blip r:embed="rId66" cstate="print"/>
                    <a:stretch>
                      <a:fillRect/>
                    </a:stretch>
                  </pic:blipFill>
                  <pic:spPr>
                    <a:xfrm>
                      <a:off x="0" y="0"/>
                      <a:ext cx="4977604" cy="3320296"/>
                    </a:xfrm>
                    <a:prstGeom prst="rect">
                      <a:avLst/>
                    </a:prstGeom>
                  </pic:spPr>
                </pic:pic>
              </a:graphicData>
            </a:graphic>
          </wp:inline>
        </w:drawing>
      </w:r>
    </w:p>
    <w:p w14:paraId="20A490AF" w14:textId="1AC25D72" w:rsidR="001E426F" w:rsidRPr="002E4045" w:rsidRDefault="000E4A5B" w:rsidP="002E4045">
      <w:pPr>
        <w:pStyle w:val="Figurelegend"/>
        <w:rPr>
          <w:color w:val="0000FF"/>
          <w:u w:val="single"/>
          <w:lang w:eastAsia="en-AU"/>
        </w:rPr>
      </w:pPr>
      <w:r w:rsidRPr="000E4A5B">
        <w:rPr>
          <w:color w:val="0000FF"/>
          <w:u w:val="single"/>
          <w:lang w:eastAsia="en-AU"/>
        </w:rPr>
        <w:t xml:space="preserve">Source: </w:t>
      </w:r>
      <w:r w:rsidR="008447DA">
        <w:rPr>
          <w:color w:val="0000FF"/>
          <w:u w:val="single"/>
          <w:lang w:eastAsia="en-AU"/>
        </w:rPr>
        <w:t>A</w:t>
      </w:r>
      <w:r w:rsidRPr="000E4A5B">
        <w:rPr>
          <w:color w:val="0000FF"/>
          <w:u w:val="single"/>
          <w:lang w:eastAsia="en-AU"/>
        </w:rPr>
        <w:t xml:space="preserve">dapted from EMF Explained, available at </w:t>
      </w:r>
      <w:hyperlink r:id="rId67" w:history="1">
        <w:r w:rsidR="008447DA" w:rsidRPr="00F06651">
          <w:rPr>
            <w:color w:val="0000FF"/>
            <w:u w:val="single"/>
            <w:lang w:eastAsia="en-AU"/>
          </w:rPr>
          <w:t>http://www.emfexplained.info/?ID=25133</w:t>
        </w:r>
      </w:hyperlink>
    </w:p>
    <w:p w14:paraId="644F47FD" w14:textId="77777777" w:rsidR="006F369D" w:rsidRDefault="00AA662C" w:rsidP="006F369D">
      <w:pPr>
        <w:pStyle w:val="FigureNoTitle"/>
        <w:rPr>
          <w:lang w:eastAsia="en-AU"/>
        </w:rPr>
      </w:pPr>
      <w:r w:rsidRPr="00F06651">
        <w:rPr>
          <w:lang w:eastAsia="en-AU"/>
        </w:rPr>
        <w:t xml:space="preserve">Figure </w:t>
      </w:r>
      <w:r w:rsidR="00C37C93">
        <w:rPr>
          <w:noProof/>
          <w:lang w:eastAsia="en-AU"/>
        </w:rPr>
        <w:t>19</w:t>
      </w:r>
      <w:r w:rsidR="0049069D">
        <w:rPr>
          <w:lang w:eastAsia="en-AU"/>
        </w:rPr>
        <w:t xml:space="preserve"> –</w:t>
      </w:r>
      <w:r w:rsidRPr="00F06651">
        <w:rPr>
          <w:lang w:eastAsia="en-AU"/>
        </w:rPr>
        <w:t xml:space="preserve"> Illustration of a WiMAX network</w:t>
      </w:r>
    </w:p>
    <w:p w14:paraId="50899A83" w14:textId="74206B54" w:rsidR="00AA662C" w:rsidRPr="00F06651" w:rsidRDefault="00AA662C" w:rsidP="006F369D">
      <w:pPr>
        <w:pStyle w:val="Figurelegend"/>
        <w:rPr>
          <w:lang w:eastAsia="en-AU"/>
        </w:rPr>
      </w:pPr>
    </w:p>
    <w:p w14:paraId="49F9791E" w14:textId="77777777" w:rsidR="006613AC" w:rsidRDefault="006613AC">
      <w:pPr>
        <w:tabs>
          <w:tab w:val="clear" w:pos="794"/>
          <w:tab w:val="clear" w:pos="1191"/>
          <w:tab w:val="clear" w:pos="1588"/>
          <w:tab w:val="clear" w:pos="1985"/>
        </w:tabs>
        <w:overflowPunct/>
        <w:autoSpaceDE/>
        <w:autoSpaceDN/>
        <w:adjustRightInd/>
        <w:spacing w:before="0"/>
        <w:jc w:val="left"/>
        <w:textAlignment w:val="auto"/>
        <w:rPr>
          <w:b/>
          <w:lang w:eastAsia="en-AU"/>
        </w:rPr>
      </w:pPr>
      <w:bookmarkStart w:id="155" w:name="_Toc397945073"/>
      <w:bookmarkStart w:id="156" w:name="_Toc400020892"/>
      <w:r>
        <w:rPr>
          <w:lang w:eastAsia="en-AU"/>
        </w:rPr>
        <w:br w:type="page"/>
      </w:r>
    </w:p>
    <w:p w14:paraId="02A85276" w14:textId="77777777" w:rsidR="00AA662C" w:rsidRPr="00F06651" w:rsidRDefault="00AA662C" w:rsidP="006F369D">
      <w:pPr>
        <w:pStyle w:val="Heading2"/>
        <w:rPr>
          <w:lang w:eastAsia="en-AU"/>
        </w:rPr>
      </w:pPr>
      <w:bookmarkStart w:id="157" w:name="_Toc400106160"/>
      <w:r>
        <w:rPr>
          <w:lang w:eastAsia="en-AU"/>
        </w:rPr>
        <w:lastRenderedPageBreak/>
        <w:t>8.3</w:t>
      </w:r>
      <w:r>
        <w:rPr>
          <w:lang w:eastAsia="en-AU"/>
        </w:rPr>
        <w:tab/>
      </w:r>
      <w:r w:rsidRPr="00F06651">
        <w:rPr>
          <w:lang w:eastAsia="en-AU"/>
        </w:rPr>
        <w:t>Wi-Fi</w:t>
      </w:r>
      <w:bookmarkEnd w:id="155"/>
      <w:bookmarkEnd w:id="156"/>
      <w:bookmarkEnd w:id="157"/>
    </w:p>
    <w:p w14:paraId="0E703530" w14:textId="121A3A09" w:rsidR="00AA662C" w:rsidRPr="00F06651" w:rsidRDefault="00AA662C" w:rsidP="006F369D">
      <w:pPr>
        <w:rPr>
          <w:lang w:eastAsia="zh-CN"/>
        </w:rPr>
      </w:pPr>
      <w:r w:rsidRPr="00F06651">
        <w:rPr>
          <w:lang w:eastAsia="zh-CN"/>
        </w:rPr>
        <w:t>Wi-Fi is the term used to describe high speed wireless network connections over short distances between mobile computing devices such as laptops and the Internet (</w:t>
      </w:r>
      <w:r w:rsidR="008447DA">
        <w:rPr>
          <w:lang w:eastAsia="zh-CN"/>
        </w:rPr>
        <w:t>F</w:t>
      </w:r>
      <w:r w:rsidRPr="00F06651">
        <w:rPr>
          <w:lang w:eastAsia="zh-CN"/>
        </w:rPr>
        <w:t>igure 20).</w:t>
      </w:r>
      <w:r w:rsidR="0049069D">
        <w:rPr>
          <w:lang w:eastAsia="zh-CN"/>
        </w:rPr>
        <w:t xml:space="preserve"> </w:t>
      </w:r>
      <w:r w:rsidRPr="00F06651">
        <w:rPr>
          <w:lang w:eastAsia="zh-CN"/>
        </w:rPr>
        <w:t xml:space="preserve">These are sometimes termed wireless local area networks </w:t>
      </w:r>
      <w:r w:rsidR="008447DA">
        <w:rPr>
          <w:lang w:eastAsia="zh-CN"/>
        </w:rPr>
        <w:t>(</w:t>
      </w:r>
      <w:r w:rsidRPr="00F06651">
        <w:rPr>
          <w:lang w:eastAsia="zh-CN"/>
        </w:rPr>
        <w:t>WLANs</w:t>
      </w:r>
      <w:r w:rsidR="008447DA">
        <w:rPr>
          <w:lang w:eastAsia="zh-CN"/>
        </w:rPr>
        <w:t>)</w:t>
      </w:r>
      <w:r w:rsidRPr="00F06651">
        <w:rPr>
          <w:lang w:eastAsia="zh-CN"/>
        </w:rPr>
        <w:t xml:space="preserve"> and refer to products that are based on the Institute of Electrical and Electronics Engineers (IEEE) 802.11 standards.</w:t>
      </w:r>
    </w:p>
    <w:p w14:paraId="01B52E63" w14:textId="77777777" w:rsidR="00AA662C" w:rsidRPr="006F369D" w:rsidRDefault="00AA662C" w:rsidP="006F369D">
      <w:pPr>
        <w:pStyle w:val="Figure"/>
        <w:rPr>
          <w:noProof/>
          <w:lang w:eastAsia="en-AU"/>
        </w:rPr>
      </w:pPr>
      <w:r w:rsidRPr="006F369D">
        <w:rPr>
          <w:noProof/>
          <w:lang w:val="en-US" w:eastAsia="zh-CN"/>
        </w:rPr>
        <w:drawing>
          <wp:inline distT="0" distB="0" distL="0" distR="0" wp14:anchorId="7BE7DEA6" wp14:editId="095574D4">
            <wp:extent cx="4677410" cy="3120051"/>
            <wp:effectExtent l="0" t="0" r="0" b="0"/>
            <wp:docPr id="5129" name="Picture 31" descr="EME_57_ITU_Graphics_1000px_FI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7_ITU_Graphics_1000px_FIG19.jpg"/>
                    <pic:cNvPicPr/>
                  </pic:nvPicPr>
                  <pic:blipFill>
                    <a:blip r:embed="rId68" cstate="print"/>
                    <a:stretch>
                      <a:fillRect/>
                    </a:stretch>
                  </pic:blipFill>
                  <pic:spPr>
                    <a:xfrm>
                      <a:off x="0" y="0"/>
                      <a:ext cx="4682269" cy="3123292"/>
                    </a:xfrm>
                    <a:prstGeom prst="rect">
                      <a:avLst/>
                    </a:prstGeom>
                  </pic:spPr>
                </pic:pic>
              </a:graphicData>
            </a:graphic>
          </wp:inline>
        </w:drawing>
      </w:r>
    </w:p>
    <w:p w14:paraId="1EC13C12" w14:textId="77777777" w:rsidR="008447DA" w:rsidRDefault="00AA662C" w:rsidP="0049069D">
      <w:pPr>
        <w:pStyle w:val="FigureNoTitle"/>
        <w:rPr>
          <w:lang w:eastAsia="en-AU"/>
        </w:rPr>
      </w:pPr>
      <w:r w:rsidRPr="00F06651">
        <w:rPr>
          <w:lang w:eastAsia="en-AU"/>
        </w:rPr>
        <w:br/>
      </w:r>
    </w:p>
    <w:p w14:paraId="762A498B" w14:textId="5D758291" w:rsidR="001E426F" w:rsidRPr="002E4045" w:rsidRDefault="008447DA" w:rsidP="002E4045">
      <w:pPr>
        <w:pStyle w:val="Figurelegend"/>
        <w:keepNext w:val="0"/>
        <w:keepLines w:val="0"/>
        <w:rPr>
          <w:lang w:eastAsia="en-AU"/>
        </w:rPr>
      </w:pPr>
      <w:r w:rsidRPr="00F06651">
        <w:rPr>
          <w:lang w:eastAsia="en-AU"/>
        </w:rPr>
        <w:t xml:space="preserve">Source: </w:t>
      </w:r>
      <w:r>
        <w:rPr>
          <w:lang w:eastAsia="en-AU"/>
        </w:rPr>
        <w:t>A</w:t>
      </w:r>
      <w:r w:rsidRPr="00F06651">
        <w:rPr>
          <w:lang w:eastAsia="en-AU"/>
        </w:rPr>
        <w:t xml:space="preserve">dapted from EMF Explained, available at </w:t>
      </w:r>
      <w:hyperlink r:id="rId69" w:history="1">
        <w:r w:rsidR="000E4A5B" w:rsidRPr="002E4045">
          <w:rPr>
            <w:lang w:eastAsia="en-AU"/>
          </w:rPr>
          <w:t>http://www.emfexplained.info/?Page=24788</w:t>
        </w:r>
      </w:hyperlink>
    </w:p>
    <w:p w14:paraId="4F544385" w14:textId="77777777" w:rsidR="006F369D" w:rsidRDefault="00AA662C">
      <w:pPr>
        <w:pStyle w:val="FigureNoTitle"/>
        <w:rPr>
          <w:lang w:eastAsia="en-AU"/>
        </w:rPr>
      </w:pPr>
      <w:r w:rsidRPr="00F06651">
        <w:rPr>
          <w:lang w:eastAsia="en-AU"/>
        </w:rPr>
        <w:t xml:space="preserve">Figure </w:t>
      </w:r>
      <w:r w:rsidR="00C37C93">
        <w:rPr>
          <w:noProof/>
          <w:lang w:eastAsia="en-AU"/>
        </w:rPr>
        <w:t>20</w:t>
      </w:r>
      <w:r w:rsidRPr="00F06651">
        <w:rPr>
          <w:lang w:eastAsia="en-AU"/>
        </w:rPr>
        <w:t xml:space="preserve"> </w:t>
      </w:r>
      <w:r w:rsidR="0049069D">
        <w:rPr>
          <w:lang w:eastAsia="en-AU"/>
        </w:rPr>
        <w:t>–</w:t>
      </w:r>
      <w:r w:rsidRPr="00F06651">
        <w:rPr>
          <w:lang w:eastAsia="en-AU"/>
        </w:rPr>
        <w:t xml:space="preserve"> Illustration of a Wi-Fi modem connected to laptops in a home</w:t>
      </w:r>
    </w:p>
    <w:p w14:paraId="6EAF200D" w14:textId="13311814" w:rsidR="00AA662C" w:rsidRPr="00F06651" w:rsidRDefault="00AA662C" w:rsidP="00811C3E">
      <w:pPr>
        <w:pStyle w:val="Figurelegend"/>
        <w:keepNext w:val="0"/>
        <w:keepLines w:val="0"/>
        <w:rPr>
          <w:lang w:eastAsia="en-AU"/>
        </w:rPr>
      </w:pPr>
    </w:p>
    <w:p w14:paraId="4F6D91A7" w14:textId="001EE393" w:rsidR="00AA662C" w:rsidRPr="00F06651" w:rsidRDefault="00AA662C" w:rsidP="00811C3E">
      <w:pPr>
        <w:pStyle w:val="Heading2"/>
        <w:keepNext w:val="0"/>
        <w:keepLines w:val="0"/>
        <w:rPr>
          <w:lang w:eastAsia="en-AU"/>
        </w:rPr>
      </w:pPr>
      <w:bookmarkStart w:id="158" w:name="_Toc397945074"/>
      <w:bookmarkStart w:id="159" w:name="_Toc400020893"/>
      <w:bookmarkStart w:id="160" w:name="_Toc400106161"/>
      <w:r>
        <w:rPr>
          <w:lang w:eastAsia="en-AU"/>
        </w:rPr>
        <w:t>8.4</w:t>
      </w:r>
      <w:r>
        <w:rPr>
          <w:lang w:eastAsia="en-AU"/>
        </w:rPr>
        <w:tab/>
      </w:r>
      <w:r w:rsidRPr="00F06651">
        <w:rPr>
          <w:lang w:eastAsia="en-AU"/>
        </w:rPr>
        <w:t>Mobile backhaul and radio relays</w:t>
      </w:r>
      <w:bookmarkEnd w:id="158"/>
      <w:bookmarkEnd w:id="159"/>
      <w:bookmarkEnd w:id="160"/>
    </w:p>
    <w:p w14:paraId="3979821E" w14:textId="2850F0ED" w:rsidR="00AA662C" w:rsidRPr="00F06651" w:rsidRDefault="00AA662C" w:rsidP="006F369D">
      <w:pPr>
        <w:rPr>
          <w:lang w:eastAsia="zh-CN"/>
        </w:rPr>
      </w:pPr>
      <w:r w:rsidRPr="00F06651">
        <w:rPr>
          <w:lang w:eastAsia="zh-CN"/>
        </w:rPr>
        <w:t>A critical aspect to selecting new sites for ICT base stations is the availability of a connection back to the core or main network. This is often referred to as ‘backhaul’ or ‘transmission’. As the demand for data intensive mobile services such as video increases</w:t>
      </w:r>
      <w:r w:rsidR="00080825">
        <w:rPr>
          <w:lang w:eastAsia="zh-CN"/>
        </w:rPr>
        <w:t>,</w:t>
      </w:r>
      <w:r w:rsidRPr="00F06651">
        <w:rPr>
          <w:lang w:eastAsia="zh-CN"/>
        </w:rPr>
        <w:t xml:space="preserve"> the capacity of the backhaul data connection will also need to grow. The capacity needed per base station site will differ substantially, depending on target data rates and population density. Ericsson (2014) forecasts that in 2019, high capacity base stations are expected (in the more advanced mobile broadband networks) to require backhaul in the 1 </w:t>
      </w:r>
      <w:r w:rsidR="00080825">
        <w:rPr>
          <w:lang w:eastAsia="zh-CN"/>
        </w:rPr>
        <w:t>Gbit/s</w:t>
      </w:r>
      <w:r w:rsidRPr="00F06651">
        <w:rPr>
          <w:lang w:eastAsia="zh-CN"/>
        </w:rPr>
        <w:t xml:space="preserve"> range, whereas low capacity base stations are expected to require back-haul in the 100 </w:t>
      </w:r>
      <w:r w:rsidR="00080825">
        <w:rPr>
          <w:lang w:eastAsia="zh-CN"/>
        </w:rPr>
        <w:t>Mbit/s</w:t>
      </w:r>
      <w:r w:rsidRPr="00F06651">
        <w:rPr>
          <w:lang w:eastAsia="zh-CN"/>
        </w:rPr>
        <w:t xml:space="preserve"> range. </w:t>
      </w:r>
    </w:p>
    <w:p w14:paraId="0581998F" w14:textId="5A471A60" w:rsidR="00AA662C" w:rsidRPr="00F06651" w:rsidRDefault="00AA662C" w:rsidP="006F369D">
      <w:pPr>
        <w:rPr>
          <w:lang w:eastAsia="zh-CN"/>
        </w:rPr>
      </w:pPr>
      <w:r w:rsidRPr="00F06651">
        <w:rPr>
          <w:lang w:eastAsia="zh-CN"/>
        </w:rPr>
        <w:t>Microwave and optical fib</w:t>
      </w:r>
      <w:r w:rsidR="00080825">
        <w:rPr>
          <w:lang w:eastAsia="zh-CN"/>
        </w:rPr>
        <w:t>re</w:t>
      </w:r>
      <w:r w:rsidRPr="00F06651">
        <w:rPr>
          <w:lang w:eastAsia="zh-CN"/>
        </w:rPr>
        <w:t xml:space="preserve"> are major transmission media technologies and are the best suited to meeting these capacity requirements. Optical fib</w:t>
      </w:r>
      <w:r w:rsidR="00080825">
        <w:rPr>
          <w:lang w:eastAsia="zh-CN"/>
        </w:rPr>
        <w:t>re</w:t>
      </w:r>
      <w:r w:rsidRPr="00F06651">
        <w:rPr>
          <w:lang w:eastAsia="zh-CN"/>
        </w:rPr>
        <w:t xml:space="preserve"> transmission will increase its share of the mobile backhaul market and it is projected to connect more than 40% of base stations by 2019. Today, microwave dominates the market for transmission technologies for mobile backhaul worldwide, connecting 60% of all base stations.</w:t>
      </w:r>
    </w:p>
    <w:p w14:paraId="57ECC290" w14:textId="74CBAEF0" w:rsidR="00AA662C" w:rsidRPr="00F06651" w:rsidRDefault="00AA662C" w:rsidP="006F369D">
      <w:pPr>
        <w:rPr>
          <w:lang w:eastAsia="zh-CN"/>
        </w:rPr>
      </w:pPr>
      <w:r w:rsidRPr="00F06651">
        <w:rPr>
          <w:lang w:eastAsia="zh-CN"/>
        </w:rPr>
        <w:t xml:space="preserve">Some distributed and short-range wireless technologies (for example, Wi-Fi, Bluetooth, Wireless M-Bus and Zig-bee) may be able to operate with lower speed backhaul, such as </w:t>
      </w:r>
      <w:r w:rsidR="00012B97">
        <w:rPr>
          <w:lang w:eastAsia="zh-CN"/>
        </w:rPr>
        <w:t>x-type digital subscriber line (</w:t>
      </w:r>
      <w:r w:rsidRPr="00F06651">
        <w:rPr>
          <w:lang w:eastAsia="zh-CN"/>
        </w:rPr>
        <w:t>xDSL</w:t>
      </w:r>
      <w:r w:rsidR="00012B97">
        <w:rPr>
          <w:lang w:eastAsia="zh-CN"/>
        </w:rPr>
        <w:t>)</w:t>
      </w:r>
      <w:r w:rsidRPr="00F06651">
        <w:rPr>
          <w:lang w:eastAsia="zh-CN"/>
        </w:rPr>
        <w:t xml:space="preserve"> (or even slower means), in the case of applications that do not require high data rates.</w:t>
      </w:r>
    </w:p>
    <w:p w14:paraId="30F0F052" w14:textId="450313C4" w:rsidR="00AA662C" w:rsidRPr="00F06651" w:rsidRDefault="00AA662C" w:rsidP="006F369D">
      <w:pPr>
        <w:rPr>
          <w:rFonts w:eastAsia="Calibri"/>
          <w:b/>
          <w:sz w:val="28"/>
          <w:lang w:eastAsia="en-AU"/>
        </w:rPr>
      </w:pPr>
      <w:r w:rsidRPr="00F06651">
        <w:rPr>
          <w:lang w:eastAsia="zh-CN"/>
        </w:rPr>
        <w:lastRenderedPageBreak/>
        <w:t xml:space="preserve">An existing building in a community is more likely to have a network connection at the building or in </w:t>
      </w:r>
      <w:r w:rsidR="00012B97">
        <w:rPr>
          <w:lang w:eastAsia="zh-CN"/>
        </w:rPr>
        <w:t xml:space="preserve">a </w:t>
      </w:r>
      <w:r w:rsidRPr="00F06651">
        <w:rPr>
          <w:lang w:eastAsia="zh-CN"/>
        </w:rPr>
        <w:t>very close proximity, compared to establishing a new site. In this last case, the backhaul would need to be designed and constructed as a separate project and in many cases may prove not to be feasible, for example, on the top of a mountain or a hill.</w:t>
      </w:r>
    </w:p>
    <w:p w14:paraId="264043BF" w14:textId="77777777" w:rsidR="00AA662C" w:rsidRPr="00F06651" w:rsidRDefault="00AA662C" w:rsidP="006F369D">
      <w:pPr>
        <w:pStyle w:val="Heading2"/>
        <w:rPr>
          <w:lang w:eastAsia="en-AU"/>
        </w:rPr>
      </w:pPr>
      <w:bookmarkStart w:id="161" w:name="_Toc397945075"/>
      <w:bookmarkStart w:id="162" w:name="_Toc400020894"/>
      <w:bookmarkStart w:id="163" w:name="_Toc400106162"/>
      <w:r>
        <w:rPr>
          <w:lang w:eastAsia="en-AU"/>
        </w:rPr>
        <w:t>8.5</w:t>
      </w:r>
      <w:r>
        <w:rPr>
          <w:lang w:eastAsia="en-AU"/>
        </w:rPr>
        <w:tab/>
      </w:r>
      <w:r w:rsidRPr="00F06651">
        <w:rPr>
          <w:lang w:eastAsia="en-AU"/>
        </w:rPr>
        <w:t>Bluetooth</w:t>
      </w:r>
      <w:bookmarkEnd w:id="161"/>
      <w:bookmarkEnd w:id="162"/>
      <w:bookmarkEnd w:id="163"/>
    </w:p>
    <w:p w14:paraId="0A73B495" w14:textId="77777777" w:rsidR="00AA662C" w:rsidRPr="00F06651" w:rsidRDefault="00AA662C" w:rsidP="006F369D">
      <w:pPr>
        <w:rPr>
          <w:lang w:eastAsia="zh-CN"/>
        </w:rPr>
      </w:pPr>
      <w:r w:rsidRPr="006E02AB">
        <w:rPr>
          <w:lang w:eastAsia="zh-CN"/>
        </w:rPr>
        <w:t>Bluetooth</w:t>
      </w:r>
      <w:r w:rsidRPr="00F06651">
        <w:rPr>
          <w:lang w:eastAsia="zh-CN"/>
        </w:rPr>
        <w:t xml:space="preserve"> wireless technology is a short-range radio technology that uses radio frequency fields to transmit signals over short distances between telephones, computers and other devices. The technology offers simplified communication and synchronization between devices without the need for cables. An illustration of these connections is provided in Figure</w:t>
      </w:r>
      <w:r w:rsidR="006F369D">
        <w:rPr>
          <w:lang w:eastAsia="zh-CN"/>
        </w:rPr>
        <w:t> </w:t>
      </w:r>
      <w:r w:rsidRPr="00F06651">
        <w:rPr>
          <w:lang w:eastAsia="zh-CN"/>
        </w:rPr>
        <w:t>21.</w:t>
      </w:r>
    </w:p>
    <w:p w14:paraId="13E36277" w14:textId="77777777" w:rsidR="006F369D" w:rsidRDefault="00AA662C" w:rsidP="006F369D">
      <w:pPr>
        <w:pStyle w:val="Figure"/>
        <w:rPr>
          <w:lang w:eastAsia="en-AU"/>
        </w:rPr>
      </w:pPr>
      <w:r w:rsidRPr="00F06651">
        <w:rPr>
          <w:noProof/>
          <w:lang w:val="en-US" w:eastAsia="zh-CN"/>
        </w:rPr>
        <w:drawing>
          <wp:inline distT="0" distB="0" distL="0" distR="0" wp14:anchorId="2E6F997F" wp14:editId="0A60649F">
            <wp:extent cx="5185944" cy="3459269"/>
            <wp:effectExtent l="19050" t="0" r="0" b="0"/>
            <wp:docPr id="5130" name="Picture 36" descr="EME_57_ITU_Graphics_1000px_FI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7_ITU_Graphics_1000px_FIG21.jpg"/>
                    <pic:cNvPicPr/>
                  </pic:nvPicPr>
                  <pic:blipFill>
                    <a:blip r:embed="rId70" cstate="print"/>
                    <a:stretch>
                      <a:fillRect/>
                    </a:stretch>
                  </pic:blipFill>
                  <pic:spPr>
                    <a:xfrm>
                      <a:off x="0" y="0"/>
                      <a:ext cx="5183793" cy="3457834"/>
                    </a:xfrm>
                    <a:prstGeom prst="rect">
                      <a:avLst/>
                    </a:prstGeom>
                  </pic:spPr>
                </pic:pic>
              </a:graphicData>
            </a:graphic>
          </wp:inline>
        </w:drawing>
      </w:r>
    </w:p>
    <w:p w14:paraId="15453AC3" w14:textId="5D636DA7" w:rsidR="001E426F" w:rsidRPr="002E4045" w:rsidRDefault="006E02AB" w:rsidP="002E4045">
      <w:pPr>
        <w:pStyle w:val="Figurelegend"/>
      </w:pPr>
      <w:r w:rsidRPr="00F06651">
        <w:rPr>
          <w:lang w:eastAsia="en-AU"/>
        </w:rPr>
        <w:t xml:space="preserve">Source: </w:t>
      </w:r>
      <w:r>
        <w:rPr>
          <w:lang w:eastAsia="en-AU"/>
        </w:rPr>
        <w:t>A</w:t>
      </w:r>
      <w:r w:rsidRPr="00F06651">
        <w:rPr>
          <w:lang w:eastAsia="en-AU"/>
        </w:rPr>
        <w:t xml:space="preserve">dapted from EMF Explained, available at </w:t>
      </w:r>
      <w:hyperlink r:id="rId71" w:history="1">
        <w:r w:rsidR="000E4A5B" w:rsidRPr="002E4045">
          <w:t>http://www.emfexplained.info/?Page=25530</w:t>
        </w:r>
      </w:hyperlink>
    </w:p>
    <w:p w14:paraId="1BEC01EA" w14:textId="77777777" w:rsidR="006F369D" w:rsidRDefault="00AA662C" w:rsidP="0049069D">
      <w:pPr>
        <w:pStyle w:val="FigureNoTitle"/>
        <w:rPr>
          <w:lang w:eastAsia="en-AU"/>
        </w:rPr>
      </w:pPr>
      <w:r w:rsidRPr="00F06651">
        <w:rPr>
          <w:lang w:eastAsia="en-AU"/>
        </w:rPr>
        <w:t xml:space="preserve">Figure </w:t>
      </w:r>
      <w:r w:rsidR="00C37C93">
        <w:rPr>
          <w:noProof/>
          <w:lang w:eastAsia="en-AU"/>
        </w:rPr>
        <w:t>21</w:t>
      </w:r>
      <w:r w:rsidRPr="00F06651">
        <w:rPr>
          <w:lang w:eastAsia="en-AU"/>
        </w:rPr>
        <w:t xml:space="preserve"> </w:t>
      </w:r>
      <w:r w:rsidR="0049069D">
        <w:rPr>
          <w:lang w:eastAsia="en-AU"/>
        </w:rPr>
        <w:t>–</w:t>
      </w:r>
      <w:r w:rsidRPr="00F06651">
        <w:rPr>
          <w:lang w:eastAsia="en-AU"/>
        </w:rPr>
        <w:t xml:space="preserve"> Illustration of Bluetooth connections</w:t>
      </w:r>
    </w:p>
    <w:p w14:paraId="481234E4" w14:textId="221A134E" w:rsidR="00AA662C" w:rsidRPr="00F06651" w:rsidRDefault="00AA662C" w:rsidP="006F369D">
      <w:pPr>
        <w:pStyle w:val="Figurelegend"/>
        <w:rPr>
          <w:lang w:eastAsia="en-AU"/>
        </w:rPr>
      </w:pPr>
    </w:p>
    <w:p w14:paraId="7D83E238" w14:textId="77777777" w:rsidR="006613AC" w:rsidRDefault="006613AC">
      <w:pPr>
        <w:tabs>
          <w:tab w:val="clear" w:pos="794"/>
          <w:tab w:val="clear" w:pos="1191"/>
          <w:tab w:val="clear" w:pos="1588"/>
          <w:tab w:val="clear" w:pos="1985"/>
        </w:tabs>
        <w:overflowPunct/>
        <w:autoSpaceDE/>
        <w:autoSpaceDN/>
        <w:adjustRightInd/>
        <w:spacing w:before="0"/>
        <w:jc w:val="left"/>
        <w:textAlignment w:val="auto"/>
        <w:rPr>
          <w:b/>
          <w:lang w:eastAsia="en-AU"/>
        </w:rPr>
      </w:pPr>
      <w:bookmarkStart w:id="164" w:name="_Toc397945076"/>
      <w:bookmarkStart w:id="165" w:name="_Toc400020895"/>
      <w:r>
        <w:rPr>
          <w:lang w:eastAsia="en-AU"/>
        </w:rPr>
        <w:br w:type="page"/>
      </w:r>
    </w:p>
    <w:p w14:paraId="478A84EA" w14:textId="77777777" w:rsidR="00AA662C" w:rsidRPr="00F06651" w:rsidRDefault="00AA662C" w:rsidP="006F369D">
      <w:pPr>
        <w:pStyle w:val="Heading2"/>
        <w:rPr>
          <w:lang w:eastAsia="en-AU"/>
        </w:rPr>
      </w:pPr>
      <w:bookmarkStart w:id="166" w:name="_Toc400106163"/>
      <w:r>
        <w:rPr>
          <w:lang w:eastAsia="en-AU"/>
        </w:rPr>
        <w:lastRenderedPageBreak/>
        <w:t>8.6</w:t>
      </w:r>
      <w:r>
        <w:rPr>
          <w:lang w:eastAsia="en-AU"/>
        </w:rPr>
        <w:tab/>
      </w:r>
      <w:r w:rsidRPr="00F06651">
        <w:rPr>
          <w:lang w:eastAsia="en-AU"/>
        </w:rPr>
        <w:t>DECT</w:t>
      </w:r>
      <w:bookmarkEnd w:id="164"/>
      <w:bookmarkEnd w:id="165"/>
      <w:bookmarkEnd w:id="166"/>
    </w:p>
    <w:p w14:paraId="2819E78A" w14:textId="1DA54519" w:rsidR="00AA662C" w:rsidRPr="00F06651" w:rsidRDefault="00AA662C" w:rsidP="006F369D">
      <w:pPr>
        <w:rPr>
          <w:lang w:eastAsia="zh-CN"/>
        </w:rPr>
      </w:pPr>
      <w:r w:rsidRPr="00F06651">
        <w:rPr>
          <w:lang w:eastAsia="zh-CN"/>
        </w:rPr>
        <w:t xml:space="preserve">DECT stands for </w:t>
      </w:r>
      <w:r w:rsidR="006E02AB">
        <w:rPr>
          <w:lang w:eastAsia="zh-CN"/>
        </w:rPr>
        <w:t>d</w:t>
      </w:r>
      <w:r w:rsidRPr="00F06651">
        <w:rPr>
          <w:lang w:eastAsia="zh-CN"/>
        </w:rPr>
        <w:t xml:space="preserve">igital </w:t>
      </w:r>
      <w:r w:rsidR="006E02AB">
        <w:rPr>
          <w:lang w:eastAsia="zh-CN"/>
        </w:rPr>
        <w:t>e</w:t>
      </w:r>
      <w:r w:rsidRPr="00F06651">
        <w:rPr>
          <w:lang w:eastAsia="zh-CN"/>
        </w:rPr>
        <w:t xml:space="preserve">nhanced </w:t>
      </w:r>
      <w:r w:rsidR="006E02AB">
        <w:rPr>
          <w:lang w:eastAsia="zh-CN"/>
        </w:rPr>
        <w:t>c</w:t>
      </w:r>
      <w:r w:rsidRPr="00F06651">
        <w:rPr>
          <w:lang w:eastAsia="zh-CN"/>
        </w:rPr>
        <w:t xml:space="preserve">ordless </w:t>
      </w:r>
      <w:r w:rsidR="006E02AB">
        <w:rPr>
          <w:lang w:eastAsia="zh-CN"/>
        </w:rPr>
        <w:t>t</w:t>
      </w:r>
      <w:r w:rsidRPr="00F06651">
        <w:rPr>
          <w:lang w:eastAsia="zh-CN"/>
        </w:rPr>
        <w:t>elecommunication. DECT is a common standard for digital cordless telephones and consists of a radio technology suited for voice, data and networking applications in residential, corporate and public environments (Figure</w:t>
      </w:r>
      <w:r w:rsidR="006F369D">
        <w:rPr>
          <w:lang w:eastAsia="zh-CN"/>
        </w:rPr>
        <w:t> </w:t>
      </w:r>
      <w:r w:rsidRPr="00F06651">
        <w:rPr>
          <w:lang w:eastAsia="zh-CN"/>
        </w:rPr>
        <w:t>22). Many cordless phones used in residential homes use DECT technology.</w:t>
      </w:r>
    </w:p>
    <w:p w14:paraId="04D46D82" w14:textId="77777777" w:rsidR="00AA662C" w:rsidRPr="00F06651" w:rsidRDefault="00AA662C" w:rsidP="006F369D">
      <w:pPr>
        <w:pStyle w:val="Figure"/>
        <w:rPr>
          <w:bCs/>
          <w:kern w:val="36"/>
          <w:szCs w:val="24"/>
          <w:lang w:eastAsia="en-AU"/>
        </w:rPr>
      </w:pPr>
      <w:r w:rsidRPr="00F06651">
        <w:rPr>
          <w:noProof/>
          <w:lang w:val="en-US" w:eastAsia="zh-CN"/>
        </w:rPr>
        <w:drawing>
          <wp:inline distT="0" distB="0" distL="0" distR="0" wp14:anchorId="2F00E62E" wp14:editId="508B31F3">
            <wp:extent cx="5197368" cy="3466889"/>
            <wp:effectExtent l="19050" t="0" r="3282" b="0"/>
            <wp:docPr id="5131" name="Picture 37" descr="EME_57_ITU_Graphics_1000px_FI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_57_ITU_Graphics_1000px_FIG22.jpg"/>
                    <pic:cNvPicPr/>
                  </pic:nvPicPr>
                  <pic:blipFill>
                    <a:blip r:embed="rId72" cstate="print"/>
                    <a:stretch>
                      <a:fillRect/>
                    </a:stretch>
                  </pic:blipFill>
                  <pic:spPr>
                    <a:xfrm>
                      <a:off x="0" y="0"/>
                      <a:ext cx="5195212" cy="3465451"/>
                    </a:xfrm>
                    <a:prstGeom prst="rect">
                      <a:avLst/>
                    </a:prstGeom>
                  </pic:spPr>
                </pic:pic>
              </a:graphicData>
            </a:graphic>
          </wp:inline>
        </w:drawing>
      </w:r>
    </w:p>
    <w:p w14:paraId="6479B591" w14:textId="68587F0F" w:rsidR="006E02AB" w:rsidRPr="00F06651" w:rsidRDefault="006E02AB" w:rsidP="006E02AB">
      <w:pPr>
        <w:pStyle w:val="Figurelegend"/>
        <w:rPr>
          <w:lang w:eastAsia="en-AU"/>
        </w:rPr>
      </w:pPr>
      <w:r w:rsidRPr="00F06651">
        <w:rPr>
          <w:lang w:eastAsia="en-AU"/>
        </w:rPr>
        <w:t xml:space="preserve">Source: </w:t>
      </w:r>
      <w:r>
        <w:rPr>
          <w:lang w:eastAsia="en-AU"/>
        </w:rPr>
        <w:t>A</w:t>
      </w:r>
      <w:r w:rsidRPr="00F06651">
        <w:rPr>
          <w:lang w:eastAsia="en-AU"/>
        </w:rPr>
        <w:t xml:space="preserve">dapted from EMF Explained, available at </w:t>
      </w:r>
      <w:hyperlink r:id="rId73" w:history="1">
        <w:r w:rsidRPr="00F06651">
          <w:rPr>
            <w:color w:val="0000FF"/>
            <w:u w:val="single"/>
            <w:lang w:eastAsia="en-AU"/>
          </w:rPr>
          <w:t>http://www.emfexplained.info/?Page=25533</w:t>
        </w:r>
      </w:hyperlink>
    </w:p>
    <w:p w14:paraId="2C37755C" w14:textId="77777777" w:rsidR="006F369D" w:rsidRDefault="00AA662C" w:rsidP="0049069D">
      <w:pPr>
        <w:pStyle w:val="FigureNoTitle"/>
        <w:rPr>
          <w:lang w:eastAsia="en-AU"/>
        </w:rPr>
      </w:pPr>
      <w:r w:rsidRPr="00F06651">
        <w:rPr>
          <w:lang w:eastAsia="en-AU"/>
        </w:rPr>
        <w:t xml:space="preserve">Figure </w:t>
      </w:r>
      <w:bookmarkStart w:id="167" w:name="f_dect_phones"/>
      <w:bookmarkEnd w:id="167"/>
      <w:r w:rsidR="00C37C93">
        <w:rPr>
          <w:noProof/>
          <w:lang w:eastAsia="en-AU"/>
        </w:rPr>
        <w:t>22</w:t>
      </w:r>
      <w:r w:rsidRPr="00F06651">
        <w:rPr>
          <w:lang w:eastAsia="en-AU"/>
        </w:rPr>
        <w:t xml:space="preserve"> </w:t>
      </w:r>
      <w:r w:rsidR="0049069D">
        <w:rPr>
          <w:lang w:eastAsia="en-AU"/>
        </w:rPr>
        <w:t>–</w:t>
      </w:r>
      <w:r w:rsidRPr="00F06651">
        <w:rPr>
          <w:lang w:eastAsia="en-AU"/>
        </w:rPr>
        <w:t xml:space="preserve"> DECT cordless phone systems in homes and office buildings</w:t>
      </w:r>
    </w:p>
    <w:p w14:paraId="5BCAF10B" w14:textId="260F5E62" w:rsidR="00AA662C" w:rsidRPr="00F06651" w:rsidRDefault="00AA662C" w:rsidP="006F369D">
      <w:pPr>
        <w:pStyle w:val="Heading1"/>
      </w:pPr>
      <w:bookmarkStart w:id="168" w:name="_Toc397945077"/>
      <w:bookmarkStart w:id="169" w:name="_Toc400020896"/>
      <w:bookmarkStart w:id="170" w:name="_Toc400106164"/>
      <w:r>
        <w:t>9</w:t>
      </w:r>
      <w:r>
        <w:tab/>
      </w:r>
      <w:r w:rsidRPr="00F06651">
        <w:t xml:space="preserve">ICT </w:t>
      </w:r>
      <w:r w:rsidR="006E02AB">
        <w:t>a</w:t>
      </w:r>
      <w:r w:rsidRPr="00F06651">
        <w:t>ntenna siting approval requirements</w:t>
      </w:r>
      <w:bookmarkEnd w:id="168"/>
      <w:bookmarkEnd w:id="169"/>
      <w:bookmarkEnd w:id="170"/>
      <w:r w:rsidRPr="00F06651">
        <w:t xml:space="preserve"> </w:t>
      </w:r>
    </w:p>
    <w:p w14:paraId="138E2D5B" w14:textId="77777777" w:rsidR="00AA662C" w:rsidRPr="00F06651" w:rsidRDefault="00AA662C" w:rsidP="006F369D">
      <w:pPr>
        <w:rPr>
          <w:lang w:eastAsia="en-AU"/>
        </w:rPr>
      </w:pPr>
      <w:r w:rsidRPr="00F06651">
        <w:rPr>
          <w:lang w:eastAsia="en-AU"/>
        </w:rPr>
        <w:t>Public wireless communications and ICT systems are critical national infrastructure for today’s society and their role is particularly evident in the event of emergencies and disasters. Consistent planning rules for ICT infrastructure are critical for the efficient deployment and operation of ICT systems. Fragmented planning authority rules may delay network deployments and may lead to ICT systems not functioning properly and/or providing intermittent service, which in some cases (for example, medical cases) may be life threatening.</w:t>
      </w:r>
    </w:p>
    <w:p w14:paraId="506EC749" w14:textId="77777777" w:rsidR="00AA662C" w:rsidRPr="00F06651" w:rsidRDefault="00AA662C" w:rsidP="006F369D">
      <w:pPr>
        <w:pStyle w:val="Heading2"/>
        <w:rPr>
          <w:lang w:eastAsia="en-AU"/>
        </w:rPr>
      </w:pPr>
      <w:bookmarkStart w:id="171" w:name="_Toc397945078"/>
      <w:bookmarkStart w:id="172" w:name="_Toc400020897"/>
      <w:bookmarkStart w:id="173" w:name="_Toc400106165"/>
      <w:r>
        <w:rPr>
          <w:lang w:eastAsia="en-AU"/>
        </w:rPr>
        <w:t>9.1</w:t>
      </w:r>
      <w:r>
        <w:rPr>
          <w:lang w:eastAsia="en-AU"/>
        </w:rPr>
        <w:tab/>
      </w:r>
      <w:r w:rsidRPr="00F06651">
        <w:rPr>
          <w:lang w:eastAsia="en-AU"/>
        </w:rPr>
        <w:t>Antenna permit procedures</w:t>
      </w:r>
      <w:bookmarkEnd w:id="171"/>
      <w:bookmarkEnd w:id="172"/>
      <w:bookmarkEnd w:id="173"/>
    </w:p>
    <w:p w14:paraId="44E02372" w14:textId="77777777" w:rsidR="00AA662C" w:rsidRPr="00F06651" w:rsidRDefault="00AA662C" w:rsidP="006F369D">
      <w:pPr>
        <w:rPr>
          <w:lang w:eastAsia="zh-CN"/>
        </w:rPr>
      </w:pPr>
      <w:r w:rsidRPr="00F06651">
        <w:rPr>
          <w:lang w:eastAsia="zh-CN"/>
        </w:rPr>
        <w:t>Standardized antenna permit procedures will reduce the administrative burden on both authorities and operators of wireless infrastructure. It is helpful if the procedures are harmonized nationally, considering that wireless infrastructure is deployed at the local level to provide national and international connectivity.</w:t>
      </w:r>
    </w:p>
    <w:p w14:paraId="65BCA3C7" w14:textId="36A499B6" w:rsidR="00AA662C" w:rsidRPr="00F06651" w:rsidRDefault="00AA662C" w:rsidP="006F369D">
      <w:pPr>
        <w:rPr>
          <w:lang w:eastAsia="zh-CN"/>
        </w:rPr>
      </w:pPr>
      <w:r w:rsidRPr="00F06651">
        <w:rPr>
          <w:lang w:eastAsia="zh-CN"/>
        </w:rPr>
        <w:t>RF exposure limits and compliance procedures should be adopted nationally based on international human exposure recommendations and technical compliance standards. National policy for wireless infrastructure should contain a statement to the effect that compliance with RF</w:t>
      </w:r>
      <w:r w:rsidR="006E02AB">
        <w:rPr>
          <w:lang w:eastAsia="zh-CN"/>
        </w:rPr>
        <w:t>-</w:t>
      </w:r>
      <w:r w:rsidRPr="00F06651">
        <w:rPr>
          <w:lang w:eastAsia="zh-CN"/>
        </w:rPr>
        <w:t xml:space="preserve">EMF exposure limits is sufficient to address concerns about possible health hazards. </w:t>
      </w:r>
    </w:p>
    <w:p w14:paraId="10E4018E" w14:textId="77777777" w:rsidR="00AA662C" w:rsidRPr="00F06651" w:rsidRDefault="00AA662C" w:rsidP="006F369D">
      <w:pPr>
        <w:rPr>
          <w:lang w:eastAsia="zh-CN"/>
        </w:rPr>
      </w:pPr>
      <w:r w:rsidRPr="00F06651">
        <w:rPr>
          <w:lang w:eastAsia="zh-CN"/>
        </w:rPr>
        <w:t>SSC should avoid policies such as restrictive RF exposure limits or planning exclusion zones that increase public concern and that can negatively impact deployment.</w:t>
      </w:r>
    </w:p>
    <w:p w14:paraId="161C6C85" w14:textId="77777777" w:rsidR="00AA662C" w:rsidRPr="00F06651" w:rsidRDefault="00AA662C" w:rsidP="006F369D">
      <w:pPr>
        <w:rPr>
          <w:lang w:eastAsia="zh-CN"/>
        </w:rPr>
      </w:pPr>
      <w:r w:rsidRPr="00F06651">
        <w:rPr>
          <w:lang w:eastAsia="zh-CN"/>
        </w:rPr>
        <w:lastRenderedPageBreak/>
        <w:t>Siting rules should also take into account the physical characteristics of the wireless network equipment. Generally, the requirements needed to obtain approvals increase according to the size of the proposed base station. Under these rules, small installations such as small cells or other small antenna installations on existing physical infrastructure may require no local authority approvals, while macro base stations may be subject to the full planning process.</w:t>
      </w:r>
    </w:p>
    <w:p w14:paraId="5B7BEC2D" w14:textId="63A9B93A" w:rsidR="00AA662C" w:rsidRPr="00F06651" w:rsidRDefault="00AA662C" w:rsidP="006F369D">
      <w:pPr>
        <w:rPr>
          <w:lang w:eastAsia="zh-CN"/>
        </w:rPr>
      </w:pPr>
      <w:r w:rsidRPr="00F06651">
        <w:rPr>
          <w:lang w:eastAsia="zh-CN"/>
        </w:rPr>
        <w:t>The radiocommunication companies must avoid the installation of base stations without having fulfilled the requirements set by the relevant authorities (at the national, provincial and municipal levels).</w:t>
      </w:r>
    </w:p>
    <w:p w14:paraId="3C206D97" w14:textId="77777777" w:rsidR="00AA662C" w:rsidRPr="00F06651" w:rsidRDefault="00AA662C" w:rsidP="006F369D">
      <w:pPr>
        <w:rPr>
          <w:lang w:eastAsia="zh-CN"/>
        </w:rPr>
      </w:pPr>
      <w:r w:rsidRPr="00F06651">
        <w:rPr>
          <w:lang w:eastAsia="zh-CN"/>
        </w:rPr>
        <w:t xml:space="preserve">At the same time, procedures should be developed in consultation with the operators of wireless infrastructure. </w:t>
      </w:r>
    </w:p>
    <w:p w14:paraId="4318FB45" w14:textId="0133C54F" w:rsidR="00AA662C" w:rsidRPr="00F06651" w:rsidRDefault="00AA662C" w:rsidP="006F369D">
      <w:pPr>
        <w:rPr>
          <w:lang w:eastAsia="zh-CN"/>
        </w:rPr>
      </w:pPr>
      <w:r w:rsidRPr="00F06651">
        <w:rPr>
          <w:lang w:eastAsia="zh-CN"/>
        </w:rPr>
        <w:t>The following sections provide further guidance on these matters based on international good practices</w:t>
      </w:r>
      <w:r w:rsidR="005E587E">
        <w:rPr>
          <w:lang w:eastAsia="zh-CN"/>
        </w:rPr>
        <w:t>.</w:t>
      </w:r>
    </w:p>
    <w:p w14:paraId="306C4F7F" w14:textId="77777777" w:rsidR="00AA662C" w:rsidRPr="00F06651" w:rsidRDefault="006F369D" w:rsidP="006F369D">
      <w:pPr>
        <w:pStyle w:val="Heading3"/>
        <w:rPr>
          <w:rFonts w:ascii="Calibri" w:hAnsi="Calibri"/>
          <w:lang w:eastAsia="en-AU"/>
        </w:rPr>
      </w:pPr>
      <w:r>
        <w:rPr>
          <w:lang w:eastAsia="en-AU"/>
        </w:rPr>
        <w:t>9.1.1</w:t>
      </w:r>
      <w:r>
        <w:rPr>
          <w:lang w:eastAsia="en-AU"/>
        </w:rPr>
        <w:tab/>
      </w:r>
      <w:r w:rsidR="00AA662C" w:rsidRPr="00F06651">
        <w:rPr>
          <w:lang w:eastAsia="en-AU"/>
        </w:rPr>
        <w:t>Small cells</w:t>
      </w:r>
    </w:p>
    <w:p w14:paraId="46329547" w14:textId="3BCA07F2" w:rsidR="00AA662C" w:rsidRPr="00F06651" w:rsidRDefault="00AA662C" w:rsidP="006F369D">
      <w:pPr>
        <w:rPr>
          <w:lang w:eastAsia="zh-CN"/>
        </w:rPr>
      </w:pPr>
      <w:r w:rsidRPr="00F06651">
        <w:rPr>
          <w:lang w:eastAsia="zh-CN"/>
        </w:rPr>
        <w:t xml:space="preserve">The wireless infrastructure for SSC will increasingly rely on small cell installations for wireless services. This may take the form of Internet access via Wi-Fi or mobile communication systems. Small cell systems can provide higher </w:t>
      </w:r>
      <w:r w:rsidR="00BA1B7A">
        <w:rPr>
          <w:lang w:eastAsia="zh-CN"/>
        </w:rPr>
        <w:t>data</w:t>
      </w:r>
      <w:r w:rsidR="00BA1B7A" w:rsidRPr="00F06651">
        <w:rPr>
          <w:lang w:eastAsia="zh-CN"/>
        </w:rPr>
        <w:t xml:space="preserve"> </w:t>
      </w:r>
      <w:r w:rsidRPr="00F06651">
        <w:rPr>
          <w:lang w:eastAsia="zh-CN"/>
        </w:rPr>
        <w:t>rates or coverage in areas that are difficult to reach by macro cell solutions, for example, shopping centres, train stations and sporting stadiums.</w:t>
      </w:r>
    </w:p>
    <w:p w14:paraId="1D958BFA" w14:textId="5969D63F" w:rsidR="00AA662C" w:rsidRPr="00F06651" w:rsidRDefault="00464CD2" w:rsidP="006F369D">
      <w:pPr>
        <w:rPr>
          <w:lang w:eastAsia="zh-CN"/>
        </w:rPr>
      </w:pPr>
      <w:r>
        <w:rPr>
          <w:lang w:eastAsia="zh-CN"/>
        </w:rPr>
        <w:t xml:space="preserve">Recommendation </w:t>
      </w:r>
      <w:r w:rsidR="00AA662C" w:rsidRPr="00F06651">
        <w:rPr>
          <w:lang w:eastAsia="zh-CN"/>
        </w:rPr>
        <w:t>ITU</w:t>
      </w:r>
      <w:r>
        <w:rPr>
          <w:lang w:eastAsia="zh-CN"/>
        </w:rPr>
        <w:t>-T</w:t>
      </w:r>
      <w:r w:rsidR="00AA662C" w:rsidRPr="00F06651">
        <w:rPr>
          <w:lang w:eastAsia="zh-CN"/>
        </w:rPr>
        <w:t xml:space="preserve"> K.100 </w:t>
      </w:r>
      <w:r w:rsidR="005E587E">
        <w:rPr>
          <w:lang w:eastAsia="zh-CN"/>
        </w:rPr>
        <w:t>has developed</w:t>
      </w:r>
      <w:r w:rsidR="00AA662C" w:rsidRPr="00F06651">
        <w:rPr>
          <w:lang w:eastAsia="zh-CN"/>
        </w:rPr>
        <w:t xml:space="preserve"> criteria for the EMF compliance assessment of base stations including small cells. It is expected that small cells transmitting below a specified power will be deemed to comply with RF exposure limits without the need for further assessment. </w:t>
      </w:r>
    </w:p>
    <w:p w14:paraId="0D27BEBB" w14:textId="77777777" w:rsidR="00AA662C" w:rsidRPr="00F06651" w:rsidRDefault="006F369D" w:rsidP="006F369D">
      <w:pPr>
        <w:pStyle w:val="Heading3"/>
        <w:rPr>
          <w:rFonts w:ascii="Calibri" w:hAnsi="Calibri"/>
          <w:lang w:eastAsia="en-AU"/>
        </w:rPr>
      </w:pPr>
      <w:r>
        <w:rPr>
          <w:lang w:eastAsia="en-AU"/>
        </w:rPr>
        <w:t>9.1.2</w:t>
      </w:r>
      <w:r>
        <w:rPr>
          <w:lang w:eastAsia="en-AU"/>
        </w:rPr>
        <w:tab/>
      </w:r>
      <w:r w:rsidR="00AA662C" w:rsidRPr="00F06651">
        <w:rPr>
          <w:lang w:eastAsia="en-AU"/>
        </w:rPr>
        <w:t>Information requirements</w:t>
      </w:r>
    </w:p>
    <w:p w14:paraId="48CCB54B" w14:textId="43712C70" w:rsidR="00AA662C" w:rsidRPr="00F06651" w:rsidRDefault="00AA662C" w:rsidP="006F369D">
      <w:pPr>
        <w:rPr>
          <w:lang w:eastAsia="zh-CN"/>
        </w:rPr>
      </w:pPr>
      <w:r w:rsidRPr="00F06651">
        <w:rPr>
          <w:lang w:eastAsia="zh-CN"/>
        </w:rPr>
        <w:t>The information requirements should focus on providing the information needed to strengthen decision</w:t>
      </w:r>
      <w:r w:rsidR="005E587E">
        <w:rPr>
          <w:lang w:eastAsia="zh-CN"/>
        </w:rPr>
        <w:t>-</w:t>
      </w:r>
      <w:r w:rsidRPr="00F06651">
        <w:rPr>
          <w:lang w:eastAsia="zh-CN"/>
        </w:rPr>
        <w:t xml:space="preserve">making processes. Examples of </w:t>
      </w:r>
      <w:r w:rsidR="005E587E">
        <w:rPr>
          <w:lang w:eastAsia="zh-CN"/>
        </w:rPr>
        <w:t>topics</w:t>
      </w:r>
      <w:r w:rsidRPr="00F06651">
        <w:rPr>
          <w:lang w:eastAsia="zh-CN"/>
        </w:rPr>
        <w:t xml:space="preserve"> that may be included are:</w:t>
      </w:r>
    </w:p>
    <w:p w14:paraId="7053E246" w14:textId="67C2AC16" w:rsidR="00AA662C" w:rsidRPr="00F06651" w:rsidRDefault="006F369D" w:rsidP="006F369D">
      <w:pPr>
        <w:pStyle w:val="enumlev1"/>
      </w:pPr>
      <w:r>
        <w:t>a)</w:t>
      </w:r>
      <w:r>
        <w:tab/>
      </w:r>
      <w:r w:rsidR="007B32F7">
        <w:t>a</w:t>
      </w:r>
      <w:r w:rsidR="00AA662C" w:rsidRPr="00F06651">
        <w:t xml:space="preserve"> proposed location of the wireless infrastructure;</w:t>
      </w:r>
    </w:p>
    <w:p w14:paraId="5D1C8413" w14:textId="77777777" w:rsidR="00AA662C" w:rsidRPr="00F06651" w:rsidRDefault="006F369D" w:rsidP="006F369D">
      <w:pPr>
        <w:pStyle w:val="enumlev1"/>
      </w:pPr>
      <w:r>
        <w:t>b)</w:t>
      </w:r>
      <w:r>
        <w:tab/>
      </w:r>
      <w:r w:rsidR="005E587E">
        <w:t xml:space="preserve">a </w:t>
      </w:r>
      <w:r w:rsidR="00AA662C" w:rsidRPr="00F06651">
        <w:t>written description of the proposed work;</w:t>
      </w:r>
    </w:p>
    <w:p w14:paraId="2A03B56E" w14:textId="3250BB4F" w:rsidR="00AA662C" w:rsidRPr="00F06651" w:rsidRDefault="006F369D" w:rsidP="006F369D">
      <w:pPr>
        <w:pStyle w:val="enumlev1"/>
      </w:pPr>
      <w:r>
        <w:t>c)</w:t>
      </w:r>
      <w:r>
        <w:tab/>
      </w:r>
      <w:r w:rsidR="007B32F7">
        <w:t xml:space="preserve">a </w:t>
      </w:r>
      <w:r w:rsidR="00AA662C" w:rsidRPr="00F06651">
        <w:t>statement of compliance with RF</w:t>
      </w:r>
      <w:r w:rsidR="007B32F7">
        <w:t>-</w:t>
      </w:r>
      <w:r w:rsidR="00AA662C" w:rsidRPr="00F06651">
        <w:t>EMF exposure limits;</w:t>
      </w:r>
    </w:p>
    <w:p w14:paraId="6B53FF58" w14:textId="77777777" w:rsidR="00AA662C" w:rsidRPr="00F06651" w:rsidRDefault="006F369D" w:rsidP="006F369D">
      <w:pPr>
        <w:pStyle w:val="enumlev1"/>
      </w:pPr>
      <w:r>
        <w:t>d)</w:t>
      </w:r>
      <w:r>
        <w:tab/>
      </w:r>
      <w:r w:rsidR="007B32F7">
        <w:t xml:space="preserve">a </w:t>
      </w:r>
      <w:r w:rsidR="00AA662C" w:rsidRPr="00F06651">
        <w:t>confirmation of the agreement reached, in principle, with the landlord of the proposed location;</w:t>
      </w:r>
    </w:p>
    <w:p w14:paraId="1077D0A0" w14:textId="77777777" w:rsidR="00AA662C" w:rsidRPr="00F06651" w:rsidRDefault="006F369D" w:rsidP="006F369D">
      <w:pPr>
        <w:pStyle w:val="enumlev1"/>
      </w:pPr>
      <w:r>
        <w:t>e)</w:t>
      </w:r>
      <w:r>
        <w:tab/>
      </w:r>
      <w:r w:rsidR="007B32F7">
        <w:t xml:space="preserve">a </w:t>
      </w:r>
      <w:r w:rsidR="00AA662C" w:rsidRPr="00F06651">
        <w:t>statement identifying if the site is designed to use simplified procedures based on low-power, small-size, modification to existing site, or other factors as defined in national rules; and</w:t>
      </w:r>
    </w:p>
    <w:p w14:paraId="5F8B5520" w14:textId="77777777" w:rsidR="00AA662C" w:rsidRPr="00F06651" w:rsidRDefault="006F369D" w:rsidP="006F369D">
      <w:pPr>
        <w:pStyle w:val="enumlev1"/>
      </w:pPr>
      <w:r>
        <w:t>f)</w:t>
      </w:r>
      <w:r>
        <w:tab/>
      </w:r>
      <w:r w:rsidR="007B32F7">
        <w:t xml:space="preserve">a </w:t>
      </w:r>
      <w:r w:rsidR="00AA662C" w:rsidRPr="00F06651">
        <w:t>statement that the authority may obtain further information on the proposed wireless infrastructure, including contact details of the information provider.</w:t>
      </w:r>
    </w:p>
    <w:p w14:paraId="7F4DA601" w14:textId="77777777" w:rsidR="00AA662C" w:rsidRPr="00F06651" w:rsidRDefault="00AA662C" w:rsidP="006F369D">
      <w:pPr>
        <w:rPr>
          <w:lang w:eastAsia="zh-CN"/>
        </w:rPr>
      </w:pPr>
      <w:r w:rsidRPr="00F06651">
        <w:rPr>
          <w:lang w:eastAsia="zh-CN"/>
        </w:rPr>
        <w:t>In particular locations, such as heritage areas, additional design information may be required to evaluate the application.</w:t>
      </w:r>
    </w:p>
    <w:p w14:paraId="60E67E74" w14:textId="77777777" w:rsidR="00AA662C" w:rsidRPr="00F06651" w:rsidRDefault="006F369D" w:rsidP="006F369D">
      <w:pPr>
        <w:pStyle w:val="Heading3"/>
        <w:rPr>
          <w:rFonts w:ascii="Calibri" w:hAnsi="Calibri"/>
          <w:lang w:eastAsia="en-AU"/>
        </w:rPr>
      </w:pPr>
      <w:r>
        <w:rPr>
          <w:lang w:eastAsia="en-AU"/>
        </w:rPr>
        <w:t>9.1.3</w:t>
      </w:r>
      <w:r>
        <w:rPr>
          <w:lang w:eastAsia="en-AU"/>
        </w:rPr>
        <w:tab/>
      </w:r>
      <w:r w:rsidR="00AA662C" w:rsidRPr="00F06651">
        <w:rPr>
          <w:lang w:eastAsia="en-AU"/>
        </w:rPr>
        <w:t>Notification and consultation requirements</w:t>
      </w:r>
    </w:p>
    <w:p w14:paraId="058E1F5B" w14:textId="77777777" w:rsidR="00AA662C" w:rsidRPr="00F06651" w:rsidRDefault="00AA662C" w:rsidP="006F369D">
      <w:pPr>
        <w:rPr>
          <w:lang w:eastAsia="zh-CN"/>
        </w:rPr>
      </w:pPr>
      <w:r w:rsidRPr="00F06651">
        <w:rPr>
          <w:lang w:eastAsia="zh-CN"/>
        </w:rPr>
        <w:t xml:space="preserve">There may be differing levels of stakeholder interest in wireless antenna siting proposals due to the characteristics of the wireless infrastructure or the proximity to community facilities. Notification, consultation and dialogue requirements should be standardized for effective communication with </w:t>
      </w:r>
      <w:r w:rsidR="00C6363F">
        <w:rPr>
          <w:lang w:eastAsia="zh-CN"/>
        </w:rPr>
        <w:t xml:space="preserve">the </w:t>
      </w:r>
      <w:r w:rsidRPr="00F06651">
        <w:rPr>
          <w:lang w:eastAsia="zh-CN"/>
        </w:rPr>
        <w:t>stakeholders.</w:t>
      </w:r>
    </w:p>
    <w:p w14:paraId="38559929" w14:textId="77777777" w:rsidR="00AA662C" w:rsidRPr="00F06651" w:rsidRDefault="006F369D" w:rsidP="006F369D">
      <w:pPr>
        <w:pStyle w:val="enumlev1"/>
      </w:pPr>
      <w:r>
        <w:rPr>
          <w:bCs/>
        </w:rPr>
        <w:t>–</w:t>
      </w:r>
      <w:r>
        <w:rPr>
          <w:bCs/>
        </w:rPr>
        <w:tab/>
      </w:r>
      <w:r w:rsidR="00AA662C" w:rsidRPr="00F06651">
        <w:rPr>
          <w:b/>
        </w:rPr>
        <w:t>Notification</w:t>
      </w:r>
      <w:r w:rsidR="00AA662C" w:rsidRPr="00F06651">
        <w:t xml:space="preserve"> for the majority of sites may be limited to the landowner, the local authority, affected public utilities and others as required by national regulations. It is helpful if </w:t>
      </w:r>
      <w:r w:rsidR="00C6363F">
        <w:t xml:space="preserve">the </w:t>
      </w:r>
      <w:r w:rsidR="00AA662C" w:rsidRPr="00F06651">
        <w:t xml:space="preserve">notification can be standardized nationally both within and between network operators as this </w:t>
      </w:r>
      <w:r w:rsidR="00AA662C" w:rsidRPr="00F06651">
        <w:lastRenderedPageBreak/>
        <w:t xml:space="preserve">is less confusing to potential landlords and local authorities. Notification by poster or letter might be </w:t>
      </w:r>
      <w:r w:rsidR="00C6363F">
        <w:t xml:space="preserve">an </w:t>
      </w:r>
      <w:r w:rsidR="00AA662C" w:rsidRPr="00F06651">
        <w:t>appropriate means in some locations. Notification constitutes a form of basic information provision, a one-way communication approach.</w:t>
      </w:r>
    </w:p>
    <w:p w14:paraId="46E18F17" w14:textId="77777777" w:rsidR="00AA662C" w:rsidRPr="00F06651" w:rsidRDefault="006F369D" w:rsidP="006F369D">
      <w:pPr>
        <w:pStyle w:val="enumlev1"/>
      </w:pPr>
      <w:r>
        <w:rPr>
          <w:bCs/>
        </w:rPr>
        <w:t>–</w:t>
      </w:r>
      <w:r>
        <w:rPr>
          <w:bCs/>
        </w:rPr>
        <w:tab/>
      </w:r>
      <w:r w:rsidR="00AA662C" w:rsidRPr="00F06651">
        <w:rPr>
          <w:b/>
        </w:rPr>
        <w:t>Consultation</w:t>
      </w:r>
      <w:r w:rsidR="00AA662C" w:rsidRPr="00F06651">
        <w:t xml:space="preserve"> might be sensible for locations with the potential for public opposition, such as community facilities, locations with high amenity value or for sites with potentially high perceived impact. This could mean a longer period of notification, allowing time to resolve any issues with landowners and </w:t>
      </w:r>
      <w:r w:rsidR="00A07C06" w:rsidRPr="00F06651">
        <w:t>neighbours</w:t>
      </w:r>
      <w:r w:rsidR="00AA662C" w:rsidRPr="00F06651">
        <w:t xml:space="preserve"> through more careful design, location choice and potential flexibility in the implementation. Consultation by letter, telephone or through meetings could be appropriate in locations where some opposition is expected either regarding planning and environmental issues or due to community concern</w:t>
      </w:r>
      <w:r w:rsidR="00C6363F">
        <w:t>s</w:t>
      </w:r>
      <w:r w:rsidR="00AA662C" w:rsidRPr="00F06651">
        <w:t xml:space="preserve">. Consultation constitutes a two-way information exchange between the operator and </w:t>
      </w:r>
      <w:r w:rsidR="00C6363F">
        <w:t xml:space="preserve">the </w:t>
      </w:r>
      <w:r w:rsidR="00AA662C" w:rsidRPr="00F06651">
        <w:t>key stakeholders.</w:t>
      </w:r>
    </w:p>
    <w:p w14:paraId="563B2CFC" w14:textId="5E2E8E14" w:rsidR="00AA662C" w:rsidRPr="00F06651" w:rsidRDefault="006F369D" w:rsidP="006F369D">
      <w:pPr>
        <w:pStyle w:val="enumlev1"/>
      </w:pPr>
      <w:r>
        <w:rPr>
          <w:bCs/>
        </w:rPr>
        <w:t>–</w:t>
      </w:r>
      <w:r>
        <w:rPr>
          <w:bCs/>
        </w:rPr>
        <w:tab/>
      </w:r>
      <w:r w:rsidR="00AA662C" w:rsidRPr="00F06651">
        <w:rPr>
          <w:b/>
        </w:rPr>
        <w:t>Dialogue</w:t>
      </w:r>
      <w:r w:rsidR="00AA662C" w:rsidRPr="00F06651">
        <w:t xml:space="preserve"> might be necessary for environmentally sensitive areas or locations with complex concerns such as schools or hospitals or locations where protests have previously</w:t>
      </w:r>
      <w:r w:rsidR="00AA662C" w:rsidRPr="00F06651" w:rsidDel="00E94EDC">
        <w:t xml:space="preserve"> </w:t>
      </w:r>
      <w:r w:rsidR="00AA662C" w:rsidRPr="00F06651">
        <w:t xml:space="preserve">taken place. Prior discussions can be undertaken with landowners, </w:t>
      </w:r>
      <w:r w:rsidR="00A07C06" w:rsidRPr="00F06651">
        <w:t>neighbours</w:t>
      </w:r>
      <w:r w:rsidR="00AA662C" w:rsidRPr="00F06651">
        <w:t>, local authorities and other stakeholders in order to develop agreements in advance of full deployment. This will require a longer lead time in order to reduce or remove potential delays to deployment. Dialogue should be considered for sites where a high level of community concern is anticipated or where they could potentially escalate. This is a planned communication process aimed at building trust and avoiding large-scale public events and media campaigns. Dialogue constitutes a multiple exchange of information between governments, operators and a broad set of interested stakeholders.</w:t>
      </w:r>
    </w:p>
    <w:p w14:paraId="3739B243" w14:textId="77777777" w:rsidR="00AA662C" w:rsidRPr="00F06651" w:rsidRDefault="006F369D" w:rsidP="006F369D">
      <w:pPr>
        <w:pStyle w:val="Heading3"/>
        <w:rPr>
          <w:rFonts w:ascii="Calibri" w:hAnsi="Calibri"/>
          <w:lang w:eastAsia="en-AU"/>
        </w:rPr>
      </w:pPr>
      <w:r>
        <w:rPr>
          <w:lang w:eastAsia="en-AU"/>
        </w:rPr>
        <w:t>9.1.4</w:t>
      </w:r>
      <w:r>
        <w:rPr>
          <w:lang w:eastAsia="en-AU"/>
        </w:rPr>
        <w:tab/>
      </w:r>
      <w:r w:rsidR="00AA662C" w:rsidRPr="00F06651">
        <w:rPr>
          <w:lang w:eastAsia="en-AU"/>
        </w:rPr>
        <w:t xml:space="preserve">Modifications to existing sites </w:t>
      </w:r>
    </w:p>
    <w:p w14:paraId="3B7891B3" w14:textId="3B0D80F0" w:rsidR="00AA662C" w:rsidRPr="00F06651" w:rsidRDefault="00AA662C" w:rsidP="006F369D">
      <w:pPr>
        <w:rPr>
          <w:lang w:eastAsia="zh-CN"/>
        </w:rPr>
      </w:pPr>
      <w:r w:rsidRPr="00F06651">
        <w:rPr>
          <w:lang w:eastAsia="zh-CN"/>
        </w:rPr>
        <w:t>Planning regulations should encourage the use of existing base station facilities for network upgrades, modifications and deployment of additional ICT systems where feasible by providing for faster decision</w:t>
      </w:r>
      <w:r w:rsidR="00C6363F">
        <w:rPr>
          <w:lang w:eastAsia="zh-CN"/>
        </w:rPr>
        <w:t>-</w:t>
      </w:r>
      <w:r w:rsidRPr="00F06651">
        <w:rPr>
          <w:lang w:eastAsia="zh-CN"/>
        </w:rPr>
        <w:t>making and simplified procedures. Modifications to existing sites need to ensure that the site remains compliant with EMF exposure limits.</w:t>
      </w:r>
    </w:p>
    <w:p w14:paraId="1B7A664F" w14:textId="101851B4" w:rsidR="00AA662C" w:rsidRPr="00F06651" w:rsidRDefault="00AA662C" w:rsidP="006F369D">
      <w:pPr>
        <w:rPr>
          <w:lang w:eastAsia="zh-CN"/>
        </w:rPr>
      </w:pPr>
      <w:r w:rsidRPr="00F06651">
        <w:rPr>
          <w:lang w:eastAsia="zh-CN"/>
        </w:rPr>
        <w:t>Simplified procedures for physical modifications should also be considered. In the USA</w:t>
      </w:r>
      <w:r w:rsidR="00C6363F">
        <w:rPr>
          <w:lang w:eastAsia="zh-CN"/>
        </w:rPr>
        <w:t>,</w:t>
      </w:r>
      <w:r w:rsidRPr="00F06651">
        <w:rPr>
          <w:lang w:eastAsia="zh-CN"/>
        </w:rPr>
        <w:t xml:space="preserve"> section 6409(a) of the Middle Class Tax Relief and Job Creation Act of 2012 provides that the State or local government “may not deny, and shall approve” any application for collocation, removal, or modification of equipment on wireless tower or base station that does not substantially change the physical dimensions of a tower or base station. The Federal </w:t>
      </w:r>
      <w:r w:rsidRPr="00107A70">
        <w:rPr>
          <w:lang w:eastAsia="zh-CN"/>
        </w:rPr>
        <w:t>Communication</w:t>
      </w:r>
      <w:r w:rsidR="00107A70">
        <w:rPr>
          <w:lang w:eastAsia="zh-CN"/>
        </w:rPr>
        <w:t>s</w:t>
      </w:r>
      <w:r w:rsidRPr="00F06651">
        <w:rPr>
          <w:lang w:eastAsia="zh-CN"/>
        </w:rPr>
        <w:t xml:space="preserve"> Commission (FCC) has previously defined “substantial increase in size” in the Nationwide Collocation Agreement, 47 C.F.R. Part 1, App</w:t>
      </w:r>
      <w:r w:rsidR="00C6363F">
        <w:rPr>
          <w:lang w:eastAsia="zh-CN"/>
        </w:rPr>
        <w:t>endix</w:t>
      </w:r>
      <w:r w:rsidRPr="00F06651">
        <w:rPr>
          <w:lang w:eastAsia="zh-CN"/>
        </w:rPr>
        <w:t xml:space="preserve"> B</w:t>
      </w:r>
      <w:r w:rsidR="00C6363F">
        <w:rPr>
          <w:lang w:eastAsia="zh-CN"/>
        </w:rPr>
        <w:t>,</w:t>
      </w:r>
      <w:r w:rsidRPr="00F06651">
        <w:rPr>
          <w:lang w:eastAsia="zh-CN"/>
        </w:rPr>
        <w:t xml:space="preserve"> as follows: </w:t>
      </w:r>
    </w:p>
    <w:p w14:paraId="41B395DA" w14:textId="77777777" w:rsidR="00AA662C" w:rsidRPr="00F06651" w:rsidRDefault="006F369D" w:rsidP="006F369D">
      <w:pPr>
        <w:pStyle w:val="enumlev1"/>
      </w:pPr>
      <w:r>
        <w:t>•</w:t>
      </w:r>
      <w:r>
        <w:tab/>
      </w:r>
      <w:r w:rsidR="00AA662C" w:rsidRPr="00F06651">
        <w:t>Increase in tower height by more than 10% or height of additional antenna array plus 20 feet (approximately 6 m), whichever is greater;</w:t>
      </w:r>
    </w:p>
    <w:p w14:paraId="2188AC08" w14:textId="64710F62" w:rsidR="00AA662C" w:rsidRPr="00F06651" w:rsidRDefault="006F369D" w:rsidP="006F369D">
      <w:pPr>
        <w:pStyle w:val="enumlev1"/>
      </w:pPr>
      <w:r>
        <w:t>•</w:t>
      </w:r>
      <w:r>
        <w:tab/>
      </w:r>
      <w:r w:rsidR="00AA662C" w:rsidRPr="00F06651">
        <w:t xml:space="preserve">More than </w:t>
      </w:r>
      <w:r w:rsidR="00C6363F">
        <w:t>four</w:t>
      </w:r>
      <w:r w:rsidR="00AA662C" w:rsidRPr="00F06651">
        <w:t xml:space="preserve"> new equipment cabinets or </w:t>
      </w:r>
      <w:r w:rsidR="005B3508">
        <w:t>one</w:t>
      </w:r>
      <w:r w:rsidR="00AA662C" w:rsidRPr="00F06651">
        <w:t xml:space="preserve"> new shelter;</w:t>
      </w:r>
    </w:p>
    <w:p w14:paraId="133C6E99" w14:textId="77777777" w:rsidR="00AA662C" w:rsidRPr="00F06651" w:rsidRDefault="006F369D" w:rsidP="006F369D">
      <w:pPr>
        <w:pStyle w:val="enumlev1"/>
      </w:pPr>
      <w:r>
        <w:t>•</w:t>
      </w:r>
      <w:r>
        <w:tab/>
      </w:r>
      <w:r w:rsidR="00AA662C" w:rsidRPr="00F06651">
        <w:t>Protrusion of more than 20 feet (approximately 6 m) or width of tower, whichever is greater;</w:t>
      </w:r>
    </w:p>
    <w:p w14:paraId="106BA632" w14:textId="77777777" w:rsidR="00AA662C" w:rsidRPr="00F06651" w:rsidRDefault="006F369D" w:rsidP="006F369D">
      <w:pPr>
        <w:pStyle w:val="enumlev1"/>
      </w:pPr>
      <w:r>
        <w:t>•</w:t>
      </w:r>
      <w:r>
        <w:tab/>
      </w:r>
      <w:r w:rsidR="00AA662C" w:rsidRPr="00F06651">
        <w:t>Excavation outside existing leased or owned property and current easements.</w:t>
      </w:r>
    </w:p>
    <w:p w14:paraId="0CD39200" w14:textId="60681A8F" w:rsidR="00AA662C" w:rsidRPr="00F06651" w:rsidRDefault="00AA662C" w:rsidP="006F369D">
      <w:pPr>
        <w:rPr>
          <w:lang w:eastAsia="zh-CN"/>
        </w:rPr>
      </w:pPr>
      <w:r w:rsidRPr="00F06651">
        <w:rPr>
          <w:lang w:eastAsia="zh-CN"/>
        </w:rPr>
        <w:t xml:space="preserve">As another example, New Zealand provides for simplified procedures where a replacement pole does not have a diameter greater than 50% of the original structure and height increase the lesser of </w:t>
      </w:r>
      <w:r w:rsidR="00C6363F">
        <w:rPr>
          <w:lang w:eastAsia="zh-CN"/>
        </w:rPr>
        <w:t>three metres</w:t>
      </w:r>
      <w:r w:rsidRPr="00F06651">
        <w:rPr>
          <w:lang w:eastAsia="zh-CN"/>
        </w:rPr>
        <w:t xml:space="preserve"> or 10% (Ministry of the Environment, 2009). Other jurisdictions have similar provisions for modifications to existing sites. An overview of base station planning requirements in Europe may be found on the GSMA website</w:t>
      </w:r>
      <w:r w:rsidRPr="00F06651">
        <w:rPr>
          <w:vertAlign w:val="superscript"/>
          <w:lang w:eastAsia="zh-CN"/>
        </w:rPr>
        <w:footnoteReference w:id="17"/>
      </w:r>
      <w:r w:rsidRPr="00F06651">
        <w:rPr>
          <w:lang w:eastAsia="zh-CN"/>
        </w:rPr>
        <w:t>.</w:t>
      </w:r>
    </w:p>
    <w:p w14:paraId="2B94C891" w14:textId="77777777" w:rsidR="00AA662C" w:rsidRPr="00F06651" w:rsidRDefault="006F369D" w:rsidP="006F369D">
      <w:pPr>
        <w:pStyle w:val="Heading3"/>
        <w:rPr>
          <w:rFonts w:ascii="Calibri" w:hAnsi="Calibri"/>
          <w:lang w:eastAsia="en-AU"/>
        </w:rPr>
      </w:pPr>
      <w:r>
        <w:rPr>
          <w:lang w:eastAsia="en-AU"/>
        </w:rPr>
        <w:lastRenderedPageBreak/>
        <w:t>9.1.5</w:t>
      </w:r>
      <w:r>
        <w:rPr>
          <w:lang w:eastAsia="en-AU"/>
        </w:rPr>
        <w:tab/>
      </w:r>
      <w:r w:rsidR="00AA662C" w:rsidRPr="00F06651">
        <w:rPr>
          <w:lang w:eastAsia="en-AU"/>
        </w:rPr>
        <w:t>Decision periods</w:t>
      </w:r>
    </w:p>
    <w:p w14:paraId="05DF2FDB" w14:textId="77777777" w:rsidR="00AA662C" w:rsidRPr="00F06651" w:rsidRDefault="00AA662C" w:rsidP="006F369D">
      <w:pPr>
        <w:rPr>
          <w:lang w:eastAsia="zh-CN"/>
        </w:rPr>
      </w:pPr>
      <w:r w:rsidRPr="00F06651">
        <w:rPr>
          <w:lang w:eastAsia="zh-CN"/>
        </w:rPr>
        <w:t xml:space="preserve">The procedures for antenna permits should specify the </w:t>
      </w:r>
      <w:r w:rsidR="00EB6B31" w:rsidRPr="00F06651">
        <w:rPr>
          <w:lang w:eastAsia="zh-CN"/>
        </w:rPr>
        <w:t>timelines</w:t>
      </w:r>
      <w:r w:rsidRPr="00F06651">
        <w:rPr>
          <w:lang w:eastAsia="zh-CN"/>
        </w:rPr>
        <w:t xml:space="preserve"> in place for decisions to be made. These should generally be similar to those for other similar types of physical infrastructure.</w:t>
      </w:r>
    </w:p>
    <w:p w14:paraId="5E3B9B7B" w14:textId="77777777" w:rsidR="00AA662C" w:rsidRPr="00F06651" w:rsidRDefault="00AA662C" w:rsidP="006F369D">
      <w:pPr>
        <w:rPr>
          <w:lang w:eastAsia="zh-CN"/>
        </w:rPr>
      </w:pPr>
      <w:r w:rsidRPr="00F06651">
        <w:rPr>
          <w:lang w:eastAsia="zh-CN"/>
        </w:rPr>
        <w:t>Some countries have adopted specific decision periods for wireless network antenna site proposals. In a ruling known as the ‘shot-clock’ rule</w:t>
      </w:r>
      <w:r w:rsidR="00107A70">
        <w:rPr>
          <w:lang w:eastAsia="zh-CN"/>
        </w:rPr>
        <w:t>,</w:t>
      </w:r>
      <w:r w:rsidRPr="00F06651">
        <w:rPr>
          <w:lang w:eastAsia="zh-CN"/>
        </w:rPr>
        <w:t xml:space="preserve"> the USA FCC specifies that decisions must be made within 90 days for co-location requests at an existing site and within 150 days for new sites. In case of delays</w:t>
      </w:r>
      <w:r w:rsidR="00107A70">
        <w:rPr>
          <w:lang w:eastAsia="zh-CN"/>
        </w:rPr>
        <w:t>,</w:t>
      </w:r>
      <w:r w:rsidRPr="00F06651">
        <w:rPr>
          <w:lang w:eastAsia="zh-CN"/>
        </w:rPr>
        <w:t xml:space="preserve"> the antenna operator can seek legal review. For some developments in England and Wales (for example, ground based masts below 15 m and some rooftop developments)</w:t>
      </w:r>
      <w:r w:rsidR="00107A70">
        <w:rPr>
          <w:lang w:eastAsia="zh-CN"/>
        </w:rPr>
        <w:t>,</w:t>
      </w:r>
      <w:r w:rsidRPr="00F06651">
        <w:rPr>
          <w:lang w:eastAsia="zh-CN"/>
        </w:rPr>
        <w:t xml:space="preserve"> the authority must make a decision within 56 days. If no decision is made, the operator can proceed on the basis that the lack of response is a consent.</w:t>
      </w:r>
    </w:p>
    <w:p w14:paraId="2FC89CFE" w14:textId="77777777" w:rsidR="00AA662C" w:rsidRPr="00F06651" w:rsidRDefault="00AA662C" w:rsidP="006F369D">
      <w:pPr>
        <w:rPr>
          <w:lang w:eastAsia="zh-CN"/>
        </w:rPr>
      </w:pPr>
      <w:r w:rsidRPr="00F06651">
        <w:rPr>
          <w:lang w:eastAsia="zh-CN"/>
        </w:rPr>
        <w:t>In no case should operators install antennas without meeting prior specific approval procedures of the corresponding national, regional or municipal authority, as this will increase public concerns in regards to antenna installations.</w:t>
      </w:r>
    </w:p>
    <w:p w14:paraId="3E3B97E9" w14:textId="77777777" w:rsidR="00AA662C" w:rsidRPr="00F06651" w:rsidRDefault="006F369D" w:rsidP="006F369D">
      <w:pPr>
        <w:pStyle w:val="Heading3"/>
        <w:rPr>
          <w:rFonts w:ascii="Calibri" w:hAnsi="Calibri"/>
          <w:lang w:eastAsia="en-AU"/>
        </w:rPr>
      </w:pPr>
      <w:r>
        <w:rPr>
          <w:lang w:eastAsia="en-AU"/>
        </w:rPr>
        <w:t>9.1.6</w:t>
      </w:r>
      <w:r>
        <w:rPr>
          <w:lang w:eastAsia="en-AU"/>
        </w:rPr>
        <w:tab/>
      </w:r>
      <w:r w:rsidR="00AA662C" w:rsidRPr="00F06651">
        <w:rPr>
          <w:lang w:eastAsia="en-AU"/>
        </w:rPr>
        <w:t>Independent appeals process</w:t>
      </w:r>
    </w:p>
    <w:p w14:paraId="0F3FA51B" w14:textId="14CFD8BD" w:rsidR="00AA662C" w:rsidRPr="00F06651" w:rsidRDefault="00AA662C" w:rsidP="006F369D">
      <w:pPr>
        <w:rPr>
          <w:lang w:eastAsia="zh-CN"/>
        </w:rPr>
      </w:pPr>
      <w:r w:rsidRPr="00F06651">
        <w:rPr>
          <w:lang w:eastAsia="zh-CN"/>
        </w:rPr>
        <w:t>In some cases</w:t>
      </w:r>
      <w:r w:rsidR="00107A70">
        <w:rPr>
          <w:lang w:eastAsia="zh-CN"/>
        </w:rPr>
        <w:t>,</w:t>
      </w:r>
      <w:r w:rsidRPr="00F06651">
        <w:rPr>
          <w:lang w:eastAsia="zh-CN"/>
        </w:rPr>
        <w:t xml:space="preserve"> members of the community or the antenna operator may not be satisfied with the authority’s decision. A clear process should be defined for appeals to an independent authority as well as the grounds to appeal. It is important for all parties that the decision-making process is fair, transparent and free from political influence. In some countries</w:t>
      </w:r>
      <w:r w:rsidR="00107A70">
        <w:rPr>
          <w:lang w:eastAsia="zh-CN"/>
        </w:rPr>
        <w:t>,</w:t>
      </w:r>
      <w:r w:rsidRPr="00F06651">
        <w:rPr>
          <w:lang w:eastAsia="zh-CN"/>
        </w:rPr>
        <w:t xml:space="preserve"> judicial review of local authority decisions is possible. In other </w:t>
      </w:r>
      <w:r w:rsidR="00107A70">
        <w:rPr>
          <w:lang w:eastAsia="zh-CN"/>
        </w:rPr>
        <w:t xml:space="preserve">countries, </w:t>
      </w:r>
      <w:r w:rsidRPr="00F06651">
        <w:rPr>
          <w:lang w:eastAsia="zh-CN"/>
        </w:rPr>
        <w:t>there are separate environment courts or the appeal may be made to a relevant ministry.</w:t>
      </w:r>
    </w:p>
    <w:p w14:paraId="17ADC006" w14:textId="04BA76A6" w:rsidR="00AA662C" w:rsidRPr="00F06651" w:rsidRDefault="00AA662C" w:rsidP="006F369D">
      <w:pPr>
        <w:rPr>
          <w:lang w:eastAsia="zh-CN"/>
        </w:rPr>
      </w:pPr>
      <w:r w:rsidRPr="00F06651">
        <w:rPr>
          <w:lang w:eastAsia="zh-CN"/>
        </w:rPr>
        <w:t>In Australia, New Zealand</w:t>
      </w:r>
      <w:r w:rsidR="00107A70">
        <w:rPr>
          <w:lang w:eastAsia="zh-CN"/>
        </w:rPr>
        <w:t>,</w:t>
      </w:r>
      <w:r w:rsidRPr="00F06651">
        <w:rPr>
          <w:lang w:eastAsia="zh-CN"/>
        </w:rPr>
        <w:t xml:space="preserve"> the UK</w:t>
      </w:r>
      <w:r w:rsidR="00107A70">
        <w:rPr>
          <w:lang w:eastAsia="zh-CN"/>
        </w:rPr>
        <w:t>,</w:t>
      </w:r>
      <w:r w:rsidRPr="00F06651">
        <w:rPr>
          <w:lang w:eastAsia="zh-CN"/>
        </w:rPr>
        <w:t xml:space="preserve"> and the USA courts have generally concluded that compliance with national RF</w:t>
      </w:r>
      <w:r w:rsidR="00107A70">
        <w:rPr>
          <w:lang w:eastAsia="zh-CN"/>
        </w:rPr>
        <w:t>-</w:t>
      </w:r>
      <w:r w:rsidRPr="00F06651">
        <w:rPr>
          <w:lang w:eastAsia="zh-CN"/>
        </w:rPr>
        <w:t xml:space="preserve">EMF limits is sufficient to address health concerns (Dolan </w:t>
      </w:r>
      <w:r w:rsidR="000E4A5B" w:rsidRPr="002E4045">
        <w:rPr>
          <w:i/>
          <w:iCs/>
          <w:lang w:eastAsia="zh-CN"/>
        </w:rPr>
        <w:t>et al</w:t>
      </w:r>
      <w:r w:rsidR="00107A70">
        <w:rPr>
          <w:lang w:eastAsia="zh-CN"/>
        </w:rPr>
        <w:t>.</w:t>
      </w:r>
      <w:r w:rsidRPr="00F06651">
        <w:rPr>
          <w:lang w:eastAsia="zh-CN"/>
        </w:rPr>
        <w:t>, 2009).</w:t>
      </w:r>
    </w:p>
    <w:p w14:paraId="7FAC5708" w14:textId="72FD1049" w:rsidR="00AA662C" w:rsidRPr="00F06651" w:rsidRDefault="00AA662C" w:rsidP="006F369D">
      <w:pPr>
        <w:pStyle w:val="Heading2"/>
        <w:rPr>
          <w:lang w:eastAsia="en-AU"/>
        </w:rPr>
      </w:pPr>
      <w:bookmarkStart w:id="174" w:name="_Toc397945079"/>
      <w:bookmarkStart w:id="175" w:name="_Toc400020898"/>
      <w:bookmarkStart w:id="176" w:name="_Toc400106166"/>
      <w:r>
        <w:rPr>
          <w:lang w:eastAsia="en-AU"/>
        </w:rPr>
        <w:t>9.2</w:t>
      </w:r>
      <w:r>
        <w:rPr>
          <w:lang w:eastAsia="en-AU"/>
        </w:rPr>
        <w:tab/>
      </w:r>
      <w:r w:rsidRPr="00B22BCE">
        <w:rPr>
          <w:lang w:eastAsia="en-AU"/>
        </w:rPr>
        <w:t>Environmental</w:t>
      </w:r>
      <w:r w:rsidRPr="00F06651">
        <w:rPr>
          <w:lang w:eastAsia="en-AU"/>
        </w:rPr>
        <w:t xml:space="preserve"> </w:t>
      </w:r>
      <w:r w:rsidR="00B22BCE">
        <w:rPr>
          <w:lang w:eastAsia="en-AU"/>
        </w:rPr>
        <w:t>i</w:t>
      </w:r>
      <w:r w:rsidRPr="00F06651">
        <w:rPr>
          <w:lang w:eastAsia="en-AU"/>
        </w:rPr>
        <w:t xml:space="preserve">mpact </w:t>
      </w:r>
      <w:r w:rsidR="00B22BCE">
        <w:rPr>
          <w:lang w:eastAsia="en-AU"/>
        </w:rPr>
        <w:t>a</w:t>
      </w:r>
      <w:r w:rsidRPr="00F06651">
        <w:rPr>
          <w:lang w:eastAsia="en-AU"/>
        </w:rPr>
        <w:t>ssessment</w:t>
      </w:r>
      <w:bookmarkEnd w:id="174"/>
      <w:bookmarkEnd w:id="175"/>
      <w:bookmarkEnd w:id="176"/>
      <w:r w:rsidRPr="00F06651">
        <w:rPr>
          <w:lang w:eastAsia="en-AU"/>
        </w:rPr>
        <w:t xml:space="preserve"> </w:t>
      </w:r>
    </w:p>
    <w:p w14:paraId="1193B83C" w14:textId="7166B602" w:rsidR="00AA662C" w:rsidRPr="00F06651" w:rsidRDefault="00AA662C" w:rsidP="006F369D">
      <w:pPr>
        <w:rPr>
          <w:lang w:eastAsia="zh-CN"/>
        </w:rPr>
      </w:pPr>
      <w:r w:rsidRPr="00F06651">
        <w:rPr>
          <w:lang w:eastAsia="zh-CN"/>
        </w:rPr>
        <w:t xml:space="preserve">This </w:t>
      </w:r>
      <w:r w:rsidR="00B22BCE">
        <w:rPr>
          <w:lang w:eastAsia="zh-CN"/>
        </w:rPr>
        <w:t>Technical R</w:t>
      </w:r>
      <w:r w:rsidRPr="00F06651">
        <w:rPr>
          <w:lang w:eastAsia="zh-CN"/>
        </w:rPr>
        <w:t xml:space="preserve">eport limits </w:t>
      </w:r>
      <w:r w:rsidR="00B22BCE">
        <w:rPr>
          <w:lang w:eastAsia="zh-CN"/>
        </w:rPr>
        <w:t xml:space="preserve">the </w:t>
      </w:r>
      <w:r w:rsidRPr="00F06651">
        <w:rPr>
          <w:lang w:eastAsia="zh-CN"/>
        </w:rPr>
        <w:t xml:space="preserve">discussion of </w:t>
      </w:r>
      <w:r w:rsidR="00B22BCE">
        <w:rPr>
          <w:lang w:eastAsia="zh-CN"/>
        </w:rPr>
        <w:t xml:space="preserve">the </w:t>
      </w:r>
      <w:r w:rsidRPr="00F06651">
        <w:rPr>
          <w:lang w:eastAsia="zh-CN"/>
        </w:rPr>
        <w:t xml:space="preserve">environmental impact assessment to matters related to the siting of </w:t>
      </w:r>
      <w:r w:rsidR="00B22BCE">
        <w:rPr>
          <w:lang w:eastAsia="zh-CN"/>
        </w:rPr>
        <w:t xml:space="preserve">the </w:t>
      </w:r>
      <w:r w:rsidRPr="00F06651">
        <w:rPr>
          <w:lang w:eastAsia="zh-CN"/>
        </w:rPr>
        <w:t>wireless network infrastructure. This section is based largely on the New Zealand Ministry of the Environment’s ‘National Environmental Standards for Telecommunication Facilities: Users’ Guide’ (Ministry of the Environment, 2009). This is a binding regulation and replaces certain rules in district plans and by</w:t>
      </w:r>
      <w:r w:rsidR="00B22BCE">
        <w:rPr>
          <w:lang w:eastAsia="zh-CN"/>
        </w:rPr>
        <w:t>-</w:t>
      </w:r>
      <w:r w:rsidRPr="00F06651">
        <w:rPr>
          <w:lang w:eastAsia="zh-CN"/>
        </w:rPr>
        <w:t>laws that affect the activities of telecommunications operators. Every local authority and consent authority in New Zealand must observe national environmental standards and must enforce the observance of national environmental standards to the extent their powers enable them to do so.</w:t>
      </w:r>
    </w:p>
    <w:p w14:paraId="6B0F7FAE" w14:textId="77777777" w:rsidR="00AA662C" w:rsidRPr="00F06651" w:rsidRDefault="00AA662C" w:rsidP="006F369D">
      <w:pPr>
        <w:rPr>
          <w:lang w:eastAsia="zh-CN"/>
        </w:rPr>
      </w:pPr>
      <w:r w:rsidRPr="00F06651">
        <w:rPr>
          <w:lang w:eastAsia="zh-CN"/>
        </w:rPr>
        <w:t>Environmental impact assessment for telecommunication facilities may include:</w:t>
      </w:r>
    </w:p>
    <w:p w14:paraId="4CA224A8" w14:textId="0C614BC3" w:rsidR="00AA662C" w:rsidRPr="00F06651" w:rsidRDefault="006F369D" w:rsidP="006F369D">
      <w:pPr>
        <w:pStyle w:val="enumlev1"/>
        <w:rPr>
          <w:lang w:eastAsia="en-AU"/>
        </w:rPr>
      </w:pPr>
      <w:r>
        <w:t>•</w:t>
      </w:r>
      <w:r>
        <w:tab/>
      </w:r>
      <w:r w:rsidR="00AA662C" w:rsidRPr="00F06651">
        <w:rPr>
          <w:lang w:eastAsia="en-AU"/>
        </w:rPr>
        <w:t>assessment of compliance with national RF</w:t>
      </w:r>
      <w:r w:rsidR="00B22BCE">
        <w:rPr>
          <w:lang w:eastAsia="en-AU"/>
        </w:rPr>
        <w:t>-</w:t>
      </w:r>
      <w:r w:rsidR="00AA662C" w:rsidRPr="00F06651">
        <w:rPr>
          <w:lang w:eastAsia="en-AU"/>
        </w:rPr>
        <w:t>EMF exposure limits in areas that are reasonably accessible to the public;</w:t>
      </w:r>
    </w:p>
    <w:p w14:paraId="036510FC" w14:textId="77777777" w:rsidR="00AA662C" w:rsidRPr="00F06651" w:rsidRDefault="006F369D" w:rsidP="006F369D">
      <w:pPr>
        <w:pStyle w:val="enumlev1"/>
        <w:rPr>
          <w:lang w:eastAsia="en-AU"/>
        </w:rPr>
      </w:pPr>
      <w:r>
        <w:t>•</w:t>
      </w:r>
      <w:r>
        <w:tab/>
      </w:r>
      <w:r w:rsidR="00AA662C" w:rsidRPr="00F06651">
        <w:rPr>
          <w:lang w:eastAsia="en-AU"/>
        </w:rPr>
        <w:t>consideration of protection of vegetation, and historic, amenity and coastal areas;</w:t>
      </w:r>
    </w:p>
    <w:p w14:paraId="57493FC1" w14:textId="77777777" w:rsidR="00AA662C" w:rsidRPr="00F06651" w:rsidRDefault="006F369D" w:rsidP="006F369D">
      <w:pPr>
        <w:pStyle w:val="enumlev1"/>
        <w:rPr>
          <w:lang w:eastAsia="en-AU"/>
        </w:rPr>
      </w:pPr>
      <w:r>
        <w:t>•</w:t>
      </w:r>
      <w:r>
        <w:tab/>
      </w:r>
      <w:r w:rsidR="00AA662C" w:rsidRPr="00F06651">
        <w:rPr>
          <w:lang w:eastAsia="en-AU"/>
        </w:rPr>
        <w:t>procedures for change of antennas and modifications to existing utility structures;</w:t>
      </w:r>
    </w:p>
    <w:p w14:paraId="301FAF66" w14:textId="77777777" w:rsidR="00AA662C" w:rsidRPr="00F06651" w:rsidRDefault="006F369D" w:rsidP="006F369D">
      <w:pPr>
        <w:pStyle w:val="enumlev1"/>
        <w:rPr>
          <w:lang w:eastAsia="en-AU"/>
        </w:rPr>
      </w:pPr>
      <w:r>
        <w:t>•</w:t>
      </w:r>
      <w:r>
        <w:tab/>
      </w:r>
      <w:r w:rsidR="00AA662C" w:rsidRPr="00F06651">
        <w:rPr>
          <w:lang w:eastAsia="en-AU"/>
        </w:rPr>
        <w:t>restrictions on the size and location of telecommunication cabinets;</w:t>
      </w:r>
    </w:p>
    <w:p w14:paraId="4A989F31" w14:textId="77777777" w:rsidR="00AA662C" w:rsidRPr="00F06651" w:rsidRDefault="006F369D" w:rsidP="006F369D">
      <w:pPr>
        <w:pStyle w:val="enumlev1"/>
        <w:rPr>
          <w:lang w:eastAsia="en-AU"/>
        </w:rPr>
      </w:pPr>
      <w:r>
        <w:t>•</w:t>
      </w:r>
      <w:r>
        <w:tab/>
      </w:r>
      <w:r w:rsidR="00AA662C" w:rsidRPr="00F06651">
        <w:rPr>
          <w:lang w:eastAsia="en-AU"/>
        </w:rPr>
        <w:t>compliance with noise limits for telecommunication cabinets, air conditioning equipment and diesel generators;</w:t>
      </w:r>
    </w:p>
    <w:p w14:paraId="5C1FEB0C" w14:textId="77777777" w:rsidR="00AA662C" w:rsidRPr="00F06651" w:rsidRDefault="006F369D" w:rsidP="006F369D">
      <w:pPr>
        <w:pStyle w:val="enumlev1"/>
        <w:rPr>
          <w:lang w:eastAsia="en-AU"/>
        </w:rPr>
      </w:pPr>
      <w:r>
        <w:t>•</w:t>
      </w:r>
      <w:r>
        <w:tab/>
      </w:r>
      <w:r w:rsidR="00AA662C" w:rsidRPr="00F06651">
        <w:rPr>
          <w:lang w:eastAsia="en-AU"/>
        </w:rPr>
        <w:t>consideration of visual effects of proposed wireless network equipment.</w:t>
      </w:r>
    </w:p>
    <w:p w14:paraId="4F8919CE" w14:textId="0BA43403" w:rsidR="00AA662C" w:rsidRPr="00F06651" w:rsidRDefault="00AA662C" w:rsidP="006F369D">
      <w:pPr>
        <w:rPr>
          <w:lang w:eastAsia="zh-CN"/>
        </w:rPr>
      </w:pPr>
      <w:r w:rsidRPr="00F06651">
        <w:rPr>
          <w:lang w:eastAsia="zh-CN"/>
        </w:rPr>
        <w:t>Wireless network equipment generally presents a low environmental impact</w:t>
      </w:r>
      <w:r w:rsidR="00B22BCE">
        <w:rPr>
          <w:lang w:eastAsia="zh-CN"/>
        </w:rPr>
        <w:t>,</w:t>
      </w:r>
      <w:r w:rsidRPr="00F06651">
        <w:rPr>
          <w:lang w:eastAsia="zh-CN"/>
        </w:rPr>
        <w:t xml:space="preserve"> and therefore requirements in this area should be proportionate and reasonable.</w:t>
      </w:r>
    </w:p>
    <w:p w14:paraId="59AFC3A2" w14:textId="77777777" w:rsidR="00AA662C" w:rsidRPr="00F06651" w:rsidRDefault="00AA662C" w:rsidP="006F369D">
      <w:pPr>
        <w:pStyle w:val="Heading2"/>
        <w:rPr>
          <w:lang w:eastAsia="en-AU"/>
        </w:rPr>
      </w:pPr>
      <w:bookmarkStart w:id="177" w:name="_Toc397945080"/>
      <w:bookmarkStart w:id="178" w:name="_Toc400020899"/>
      <w:bookmarkStart w:id="179" w:name="_Toc400106167"/>
      <w:r>
        <w:rPr>
          <w:lang w:eastAsia="en-AU"/>
        </w:rPr>
        <w:lastRenderedPageBreak/>
        <w:t>9.3</w:t>
      </w:r>
      <w:r>
        <w:rPr>
          <w:lang w:eastAsia="en-AU"/>
        </w:rPr>
        <w:tab/>
      </w:r>
      <w:r w:rsidRPr="00F06651">
        <w:rPr>
          <w:lang w:eastAsia="en-AU"/>
        </w:rPr>
        <w:t>Schools, hospitals and similar community facilities</w:t>
      </w:r>
      <w:bookmarkEnd w:id="177"/>
      <w:bookmarkEnd w:id="178"/>
      <w:bookmarkEnd w:id="179"/>
      <w:r w:rsidRPr="00F06651">
        <w:rPr>
          <w:lang w:eastAsia="en-AU"/>
        </w:rPr>
        <w:t xml:space="preserve"> </w:t>
      </w:r>
    </w:p>
    <w:p w14:paraId="46F108D9" w14:textId="77777777" w:rsidR="00AA662C" w:rsidRPr="00F06651" w:rsidRDefault="00AA662C" w:rsidP="006F369D">
      <w:pPr>
        <w:rPr>
          <w:lang w:eastAsia="zh-CN"/>
        </w:rPr>
      </w:pPr>
      <w:r w:rsidRPr="00F06651">
        <w:rPr>
          <w:lang w:eastAsia="zh-CN"/>
        </w:rPr>
        <w:t>It is recognized that there may be community concerns or specific requirements for siting of wireless infrastructure near specific facilities.</w:t>
      </w:r>
    </w:p>
    <w:p w14:paraId="27ED555C" w14:textId="5090B3B4" w:rsidR="00AA662C" w:rsidRPr="00F06651" w:rsidRDefault="00AA662C" w:rsidP="006F369D">
      <w:pPr>
        <w:rPr>
          <w:lang w:eastAsia="zh-CN"/>
        </w:rPr>
      </w:pPr>
      <w:r w:rsidRPr="00F06651">
        <w:rPr>
          <w:lang w:eastAsia="zh-CN"/>
        </w:rPr>
        <w:t>In regard to schools, hospitals, elderly c</w:t>
      </w:r>
      <w:r w:rsidR="00464CD2">
        <w:rPr>
          <w:lang w:eastAsia="zh-CN"/>
        </w:rPr>
        <w:t>are and similar facilities</w:t>
      </w:r>
      <w:r w:rsidR="00412981">
        <w:rPr>
          <w:lang w:eastAsia="zh-CN"/>
        </w:rPr>
        <w:t>,</w:t>
      </w:r>
      <w:r w:rsidR="00464CD2">
        <w:rPr>
          <w:lang w:eastAsia="zh-CN"/>
        </w:rPr>
        <w:t xml:space="preserve"> Recommendation </w:t>
      </w:r>
      <w:r w:rsidR="00412981">
        <w:rPr>
          <w:lang w:eastAsia="zh-CN"/>
        </w:rPr>
        <w:t xml:space="preserve">ITU-T </w:t>
      </w:r>
      <w:r w:rsidRPr="00F06651">
        <w:rPr>
          <w:lang w:eastAsia="zh-CN"/>
        </w:rPr>
        <w:t>K.91</w:t>
      </w:r>
      <w:r w:rsidR="00412981">
        <w:rPr>
          <w:lang w:eastAsia="zh-CN"/>
        </w:rPr>
        <w:t>(</w:t>
      </w:r>
      <w:r w:rsidRPr="00F06651">
        <w:rPr>
          <w:lang w:eastAsia="zh-CN"/>
        </w:rPr>
        <w:t xml:space="preserve"> 2012</w:t>
      </w:r>
      <w:r w:rsidR="00412981">
        <w:rPr>
          <w:lang w:eastAsia="zh-CN"/>
        </w:rPr>
        <w:t>)</w:t>
      </w:r>
      <w:r w:rsidRPr="00F06651">
        <w:rPr>
          <w:lang w:eastAsia="zh-CN"/>
        </w:rPr>
        <w:t xml:space="preserve"> states that with respect to human exposure there are currently no technical requirements for any special consideration for locating base stations close to areas such as hospitals and schools. This is due to the fact that existing exposure guidelines incorporate safety margins in the exposure limits which are applicable to all locations. It also notes that good reception will result in lower transmitting power for customer devices and, therefore, in lower exposure to the end user.</w:t>
      </w:r>
    </w:p>
    <w:p w14:paraId="56F06CCF" w14:textId="04892514" w:rsidR="00AA662C" w:rsidRPr="00F06651" w:rsidRDefault="00AA662C" w:rsidP="006F369D">
      <w:pPr>
        <w:rPr>
          <w:lang w:eastAsia="zh-CN"/>
        </w:rPr>
      </w:pPr>
      <w:r w:rsidRPr="00F06651">
        <w:rPr>
          <w:lang w:eastAsia="zh-CN"/>
        </w:rPr>
        <w:t>In the case of hospitals</w:t>
      </w:r>
      <w:r w:rsidR="00412981">
        <w:rPr>
          <w:lang w:eastAsia="zh-CN"/>
        </w:rPr>
        <w:t>,</w:t>
      </w:r>
      <w:r w:rsidRPr="00F06651">
        <w:rPr>
          <w:lang w:eastAsia="zh-CN"/>
        </w:rPr>
        <w:t xml:space="preserve"> there may be electromagnetic compatibility (EMC) questions related to hospital equipment and wireless network infrastructure. ISO/TR 21730</w:t>
      </w:r>
      <w:r w:rsidR="00412981">
        <w:rPr>
          <w:lang w:eastAsia="zh-CN"/>
        </w:rPr>
        <w:t xml:space="preserve"> (</w:t>
      </w:r>
      <w:r w:rsidRPr="00F06651">
        <w:rPr>
          <w:lang w:eastAsia="zh-CN"/>
        </w:rPr>
        <w:t>2007</w:t>
      </w:r>
      <w:r w:rsidR="00412981">
        <w:rPr>
          <w:lang w:eastAsia="zh-CN"/>
        </w:rPr>
        <w:t>)</w:t>
      </w:r>
      <w:r w:rsidRPr="00F06651">
        <w:rPr>
          <w:lang w:eastAsia="zh-CN"/>
        </w:rPr>
        <w:t xml:space="preserve"> provides guidance on the use of mobile wireless communication and computing technology in health</w:t>
      </w:r>
      <w:r w:rsidR="00B04688">
        <w:rPr>
          <w:lang w:eastAsia="zh-CN"/>
        </w:rPr>
        <w:t xml:space="preserve"> </w:t>
      </w:r>
      <w:r w:rsidRPr="00F06651">
        <w:rPr>
          <w:lang w:eastAsia="zh-CN"/>
        </w:rPr>
        <w:t xml:space="preserve">care facilities including recommendations for electromagnetic compatibility with medical devices. </w:t>
      </w:r>
    </w:p>
    <w:p w14:paraId="608B187D" w14:textId="77777777" w:rsidR="00AA662C" w:rsidRPr="00F06651" w:rsidRDefault="00AA662C" w:rsidP="006F369D">
      <w:pPr>
        <w:rPr>
          <w:lang w:eastAsia="zh-CN"/>
        </w:rPr>
      </w:pPr>
      <w:r w:rsidRPr="00F06651">
        <w:rPr>
          <w:lang w:eastAsia="zh-CN"/>
        </w:rPr>
        <w:t>This guidance states the following:</w:t>
      </w:r>
    </w:p>
    <w:p w14:paraId="533764B3" w14:textId="77777777" w:rsidR="00AA662C" w:rsidRPr="00F06651" w:rsidRDefault="00AA662C" w:rsidP="006F369D">
      <w:pPr>
        <w:rPr>
          <w:i/>
          <w:iCs/>
          <w:color w:val="000000"/>
          <w:szCs w:val="22"/>
          <w:lang w:eastAsia="zh-CN"/>
        </w:rPr>
      </w:pPr>
      <w:r w:rsidRPr="00F06651">
        <w:rPr>
          <w:i/>
          <w:iCs/>
          <w:color w:val="000000"/>
          <w:szCs w:val="22"/>
          <w:lang w:eastAsia="zh-CN"/>
        </w:rPr>
        <w:t>‘RF emissions from in-building system network antennas (WAN microcells or repeaters, LAN access points) are most appropriately managed by locating them in a place where separation distance mitigates medical device EMI effects, such as the roof of corridors and rooms.</w:t>
      </w:r>
    </w:p>
    <w:p w14:paraId="0F1F1972" w14:textId="1C601522" w:rsidR="00AA662C" w:rsidRPr="00F06651" w:rsidRDefault="00AA662C" w:rsidP="006F369D">
      <w:pPr>
        <w:rPr>
          <w:i/>
          <w:iCs/>
          <w:color w:val="000000"/>
          <w:szCs w:val="22"/>
          <w:lang w:eastAsia="zh-CN"/>
        </w:rPr>
      </w:pPr>
      <w:r w:rsidRPr="00F06651">
        <w:rPr>
          <w:i/>
          <w:iCs/>
          <w:color w:val="000000"/>
          <w:szCs w:val="22"/>
          <w:lang w:eastAsia="zh-CN"/>
        </w:rPr>
        <w:t xml:space="preserve">RF emissions from base station sites physically located on healthcare facility roof-top or building structures should conform to existing national radio regulations to limit emissions directly into the supporting building structure.’ </w:t>
      </w:r>
      <w:r w:rsidRPr="00F06651">
        <w:rPr>
          <w:iCs/>
          <w:color w:val="000000"/>
          <w:szCs w:val="22"/>
          <w:lang w:eastAsia="zh-CN"/>
        </w:rPr>
        <w:t>(p. 14)</w:t>
      </w:r>
    </w:p>
    <w:p w14:paraId="371FEBE7" w14:textId="77777777" w:rsidR="00AA662C" w:rsidRPr="00F06651" w:rsidRDefault="00AA662C" w:rsidP="006F369D">
      <w:pPr>
        <w:rPr>
          <w:lang w:eastAsia="zh-CN"/>
        </w:rPr>
      </w:pPr>
      <w:r w:rsidRPr="00F06651">
        <w:rPr>
          <w:lang w:eastAsia="zh-CN"/>
        </w:rPr>
        <w:t xml:space="preserve">Most studies of interference have used mobile phones and other wireless equipment close to pacemakers or other medical devices (Calcagnini </w:t>
      </w:r>
      <w:r w:rsidR="000E4A5B" w:rsidRPr="002E4045">
        <w:rPr>
          <w:i/>
          <w:iCs/>
          <w:lang w:eastAsia="zh-CN"/>
        </w:rPr>
        <w:t>et al</w:t>
      </w:r>
      <w:r w:rsidRPr="00F06651">
        <w:rPr>
          <w:lang w:eastAsia="zh-CN"/>
        </w:rPr>
        <w:t xml:space="preserve">., 2011; Iskra </w:t>
      </w:r>
      <w:r w:rsidR="000E4A5B" w:rsidRPr="002E4045">
        <w:rPr>
          <w:i/>
          <w:iCs/>
          <w:lang w:eastAsia="zh-CN"/>
        </w:rPr>
        <w:t>et al</w:t>
      </w:r>
      <w:r w:rsidRPr="00F06651">
        <w:rPr>
          <w:lang w:eastAsia="zh-CN"/>
        </w:rPr>
        <w:t xml:space="preserve">., 2007; Morrissey, 2004; Tang </w:t>
      </w:r>
      <w:r w:rsidR="000E4A5B" w:rsidRPr="002E4045">
        <w:rPr>
          <w:i/>
          <w:iCs/>
          <w:lang w:eastAsia="zh-CN"/>
        </w:rPr>
        <w:t>et al</w:t>
      </w:r>
      <w:r w:rsidR="00B04688">
        <w:rPr>
          <w:lang w:eastAsia="zh-CN"/>
        </w:rPr>
        <w:t>.</w:t>
      </w:r>
      <w:r w:rsidRPr="00F06651">
        <w:rPr>
          <w:lang w:eastAsia="zh-CN"/>
        </w:rPr>
        <w:t xml:space="preserve">, 2009; van der Togt </w:t>
      </w:r>
      <w:r w:rsidR="000E4A5B" w:rsidRPr="002E4045">
        <w:rPr>
          <w:i/>
          <w:iCs/>
          <w:lang w:eastAsia="zh-CN"/>
        </w:rPr>
        <w:t>et al</w:t>
      </w:r>
      <w:r w:rsidRPr="00F06651">
        <w:rPr>
          <w:lang w:eastAsia="zh-CN"/>
        </w:rPr>
        <w:t>., 2008). They have generally reported no interference at separations greater than 1 to 2 m between the phone and the medical device. The separation is in the order of 15-20 cm for mobile phones and pacemakers. As indoor wireless networks typically operate on similar powers to mobile phones, provided the antenna installation is ceiling or wall mounted, interference is unlikely to occur.</w:t>
      </w:r>
    </w:p>
    <w:p w14:paraId="5EA9CD51" w14:textId="78D33A5F" w:rsidR="00AA662C" w:rsidRPr="00F06651" w:rsidRDefault="00AA662C" w:rsidP="006F369D">
      <w:pPr>
        <w:rPr>
          <w:lang w:eastAsia="zh-CN"/>
        </w:rPr>
      </w:pPr>
      <w:r w:rsidRPr="00F06651">
        <w:rPr>
          <w:lang w:eastAsia="zh-CN"/>
        </w:rPr>
        <w:t>Provided that the potential EMC issues are addressed</w:t>
      </w:r>
      <w:r w:rsidR="00B04688">
        <w:rPr>
          <w:lang w:eastAsia="zh-CN"/>
        </w:rPr>
        <w:t>,</w:t>
      </w:r>
      <w:r w:rsidRPr="00F06651">
        <w:rPr>
          <w:lang w:eastAsia="zh-CN"/>
        </w:rPr>
        <w:t xml:space="preserve"> there is no reason to restrict </w:t>
      </w:r>
      <w:r w:rsidR="00B04688">
        <w:rPr>
          <w:lang w:eastAsia="zh-CN"/>
        </w:rPr>
        <w:t xml:space="preserve">the </w:t>
      </w:r>
      <w:r w:rsidRPr="00F06651">
        <w:rPr>
          <w:lang w:eastAsia="zh-CN"/>
        </w:rPr>
        <w:t xml:space="preserve">siting of the antennas. In addition, measurements reported for femtocells indicate that mobile devices will operate at lower power levels thereby reducing the risk of interference and resulting in lower exposure from mobile devices (Boursianis </w:t>
      </w:r>
      <w:r w:rsidR="000E4A5B" w:rsidRPr="002E4045">
        <w:rPr>
          <w:i/>
          <w:iCs/>
          <w:lang w:eastAsia="zh-CN"/>
        </w:rPr>
        <w:t>et al</w:t>
      </w:r>
      <w:r w:rsidRPr="00F06651">
        <w:rPr>
          <w:lang w:eastAsia="zh-CN"/>
        </w:rPr>
        <w:t xml:space="preserve">., 2012; Zarikoff </w:t>
      </w:r>
      <w:r w:rsidR="000E4A5B" w:rsidRPr="002E4045">
        <w:rPr>
          <w:i/>
          <w:iCs/>
          <w:lang w:eastAsia="zh-CN"/>
        </w:rPr>
        <w:t>et al</w:t>
      </w:r>
      <w:r w:rsidRPr="00F06651">
        <w:rPr>
          <w:lang w:eastAsia="zh-CN"/>
        </w:rPr>
        <w:t>., 2013).</w:t>
      </w:r>
    </w:p>
    <w:p w14:paraId="33367272" w14:textId="77777777" w:rsidR="00AA662C" w:rsidRPr="00F06651" w:rsidRDefault="00AA662C" w:rsidP="006F369D">
      <w:pPr>
        <w:pStyle w:val="Heading2"/>
        <w:rPr>
          <w:lang w:eastAsia="en-AU"/>
        </w:rPr>
      </w:pPr>
      <w:bookmarkStart w:id="180" w:name="_Toc397945081"/>
      <w:bookmarkStart w:id="181" w:name="_Toc400020900"/>
      <w:bookmarkStart w:id="182" w:name="_Toc400106168"/>
      <w:r>
        <w:rPr>
          <w:lang w:eastAsia="en-AU"/>
        </w:rPr>
        <w:t>9.4</w:t>
      </w:r>
      <w:r>
        <w:rPr>
          <w:lang w:eastAsia="en-AU"/>
        </w:rPr>
        <w:tab/>
      </w:r>
      <w:r w:rsidRPr="00F06651">
        <w:rPr>
          <w:lang w:eastAsia="en-AU"/>
        </w:rPr>
        <w:t>Access to public buildings and land</w:t>
      </w:r>
      <w:bookmarkEnd w:id="180"/>
      <w:bookmarkEnd w:id="181"/>
      <w:bookmarkEnd w:id="182"/>
      <w:r w:rsidRPr="00F06651">
        <w:rPr>
          <w:lang w:eastAsia="en-AU"/>
        </w:rPr>
        <w:t xml:space="preserve"> </w:t>
      </w:r>
    </w:p>
    <w:p w14:paraId="4AD146F8" w14:textId="77777777" w:rsidR="00AA662C" w:rsidRPr="00F06651" w:rsidRDefault="00AA662C" w:rsidP="006F369D">
      <w:pPr>
        <w:rPr>
          <w:lang w:eastAsia="zh-CN"/>
        </w:rPr>
      </w:pPr>
      <w:r w:rsidRPr="006B3ECE">
        <w:rPr>
          <w:lang w:eastAsia="zh-CN"/>
        </w:rPr>
        <w:t>With the rapid</w:t>
      </w:r>
      <w:r w:rsidRPr="00F06651">
        <w:rPr>
          <w:lang w:eastAsia="zh-CN"/>
        </w:rPr>
        <w:t xml:space="preserve"> growth and expansion of ICT systems, wireless networks need to maintain coverage and service in order to meet community and service demand.</w:t>
      </w:r>
    </w:p>
    <w:p w14:paraId="599C83D7" w14:textId="136EE1F0" w:rsidR="00AA662C" w:rsidRPr="00F06651" w:rsidRDefault="00AA662C" w:rsidP="006F369D">
      <w:pPr>
        <w:rPr>
          <w:bCs/>
          <w:kern w:val="36"/>
          <w:sz w:val="22"/>
          <w:lang w:eastAsia="en-AU"/>
        </w:rPr>
      </w:pPr>
      <w:r w:rsidRPr="00F06651">
        <w:rPr>
          <w:lang w:eastAsia="zh-CN"/>
        </w:rPr>
        <w:t>The use of existing public buildings, infrastructure and land to locate wireless network base stations can provide an ideal solution to finding new suitable locations particularly in well-established communities and residential areas where the ICT systems are required. This approach could also help to protect open spaces. The Broadband Deployment on Federal Property Working Group</w:t>
      </w:r>
      <w:r w:rsidRPr="00F06651">
        <w:rPr>
          <w:vertAlign w:val="superscript"/>
          <w:lang w:eastAsia="zh-CN"/>
        </w:rPr>
        <w:footnoteReference w:id="18"/>
      </w:r>
      <w:r w:rsidRPr="00F06651">
        <w:rPr>
          <w:lang w:eastAsia="zh-CN"/>
        </w:rPr>
        <w:t xml:space="preserve"> was established in June 2012 by the United States </w:t>
      </w:r>
      <w:r w:rsidR="006B3ECE">
        <w:rPr>
          <w:lang w:eastAsia="zh-CN"/>
        </w:rPr>
        <w:t>P</w:t>
      </w:r>
      <w:r w:rsidRPr="00F06651">
        <w:rPr>
          <w:lang w:eastAsia="zh-CN"/>
        </w:rPr>
        <w:t>resident in order to develop and implement a strategy to facilitate the timely and efficient deployment of broadband facilities on Federal lands, buildings, and rights of way, federally assisted highways, and tribal lands. Countries like Mexico have launched similar initiatives.</w:t>
      </w:r>
    </w:p>
    <w:p w14:paraId="647AB096" w14:textId="77777777" w:rsidR="00AA662C" w:rsidRPr="00F06651" w:rsidRDefault="00AA662C" w:rsidP="006F369D">
      <w:pPr>
        <w:pStyle w:val="Heading2"/>
        <w:rPr>
          <w:lang w:eastAsia="en-AU"/>
        </w:rPr>
      </w:pPr>
      <w:bookmarkStart w:id="183" w:name="_Toc397945082"/>
      <w:bookmarkStart w:id="184" w:name="_Toc400020901"/>
      <w:bookmarkStart w:id="185" w:name="_Toc400106169"/>
      <w:r>
        <w:rPr>
          <w:lang w:eastAsia="en-AU"/>
        </w:rPr>
        <w:lastRenderedPageBreak/>
        <w:t>9.5</w:t>
      </w:r>
      <w:r>
        <w:rPr>
          <w:lang w:eastAsia="en-AU"/>
        </w:rPr>
        <w:tab/>
      </w:r>
      <w:r w:rsidRPr="00F06651">
        <w:rPr>
          <w:lang w:eastAsia="en-AU"/>
        </w:rPr>
        <w:t>Planning exclusion zones</w:t>
      </w:r>
      <w:bookmarkEnd w:id="183"/>
      <w:bookmarkEnd w:id="184"/>
      <w:bookmarkEnd w:id="185"/>
    </w:p>
    <w:p w14:paraId="51D55065" w14:textId="1FDE7D05" w:rsidR="00AA662C" w:rsidRPr="00F06651" w:rsidRDefault="00AA662C" w:rsidP="006F369D">
      <w:pPr>
        <w:rPr>
          <w:lang w:eastAsia="zh-CN"/>
        </w:rPr>
      </w:pPr>
      <w:r w:rsidRPr="00F06651">
        <w:rPr>
          <w:lang w:eastAsia="zh-CN"/>
        </w:rPr>
        <w:t>In the context of wireless communications</w:t>
      </w:r>
      <w:r w:rsidR="006B3ECE">
        <w:rPr>
          <w:lang w:eastAsia="zh-CN"/>
        </w:rPr>
        <w:t>,</w:t>
      </w:r>
      <w:r w:rsidRPr="00F06651">
        <w:rPr>
          <w:lang w:eastAsia="zh-CN"/>
        </w:rPr>
        <w:t xml:space="preserve"> infrastructure deployment planning-based exclusion zones (also known as ‘Buffer Zones’ or ‘Cordon Sanitaires’) are geographic areas generally imposed by some local governments and their agencies around community facilities where a base station cannot be established. These areas are generally distance-based and are applied without regard for the nature, or operation of radio base stations, or existing sources of RF</w:t>
      </w:r>
      <w:r w:rsidR="006B3ECE">
        <w:rPr>
          <w:lang w:eastAsia="zh-CN"/>
        </w:rPr>
        <w:t>-</w:t>
      </w:r>
      <w:r w:rsidRPr="00F06651">
        <w:rPr>
          <w:lang w:eastAsia="zh-CN"/>
        </w:rPr>
        <w:t xml:space="preserve">EMF exposure in the environment. </w:t>
      </w:r>
    </w:p>
    <w:p w14:paraId="7F7A0DBA" w14:textId="356EF193" w:rsidR="00AA662C" w:rsidRPr="00F06651" w:rsidRDefault="00AA662C" w:rsidP="006F369D">
      <w:pPr>
        <w:rPr>
          <w:lang w:eastAsia="zh-CN"/>
        </w:rPr>
      </w:pPr>
      <w:r w:rsidRPr="00F06651">
        <w:rPr>
          <w:lang w:eastAsia="zh-CN"/>
        </w:rPr>
        <w:t>Typically, exclusion zones are imposed by some government policymakers in residential areas around community facilities such as primary and secondary schools, pre-schools or medical facilities including hospitals. However, there is no science-based rationale for their introduction, the specified facilities or the zone size (NRPB, 2004).</w:t>
      </w:r>
    </w:p>
    <w:p w14:paraId="086D8D03" w14:textId="77777777" w:rsidR="00AA662C" w:rsidRPr="00F06651" w:rsidRDefault="00AA662C" w:rsidP="006F369D">
      <w:pPr>
        <w:rPr>
          <w:lang w:eastAsia="zh-CN"/>
        </w:rPr>
      </w:pPr>
      <w:r w:rsidRPr="00F06651">
        <w:rPr>
          <w:lang w:eastAsia="zh-CN"/>
        </w:rPr>
        <w:t>As the availability of mobile networks can contribute to save lives (for example, in the case of accidents, disasters, etc</w:t>
      </w:r>
      <w:r w:rsidR="00243112">
        <w:rPr>
          <w:lang w:eastAsia="zh-CN"/>
        </w:rPr>
        <w:t>.</w:t>
      </w:r>
      <w:r w:rsidRPr="00F06651">
        <w:rPr>
          <w:lang w:eastAsia="zh-CN"/>
        </w:rPr>
        <w:t>)</w:t>
      </w:r>
      <w:r w:rsidR="006B3ECE">
        <w:rPr>
          <w:lang w:eastAsia="zh-CN"/>
        </w:rPr>
        <w:t>,</w:t>
      </w:r>
      <w:r w:rsidRPr="00F06651">
        <w:rPr>
          <w:lang w:eastAsia="zh-CN"/>
        </w:rPr>
        <w:t xml:space="preserve"> exclusion zones should be minimized (Chapman </w:t>
      </w:r>
      <w:r w:rsidR="000E4A5B" w:rsidRPr="002E4045">
        <w:rPr>
          <w:i/>
          <w:iCs/>
          <w:lang w:eastAsia="zh-CN"/>
        </w:rPr>
        <w:t>et al</w:t>
      </w:r>
      <w:r w:rsidR="006B3ECE">
        <w:rPr>
          <w:lang w:eastAsia="zh-CN"/>
        </w:rPr>
        <w:t>.</w:t>
      </w:r>
      <w:r w:rsidRPr="00F06651">
        <w:rPr>
          <w:lang w:eastAsia="zh-CN"/>
        </w:rPr>
        <w:t xml:space="preserve">, 1998; Wu </w:t>
      </w:r>
      <w:r w:rsidR="000E4A5B" w:rsidRPr="002E4045">
        <w:rPr>
          <w:i/>
          <w:iCs/>
          <w:lang w:eastAsia="zh-CN"/>
        </w:rPr>
        <w:t>et al</w:t>
      </w:r>
      <w:r w:rsidR="006B3ECE">
        <w:rPr>
          <w:lang w:eastAsia="zh-CN"/>
        </w:rPr>
        <w:t>.</w:t>
      </w:r>
      <w:r w:rsidRPr="00F06651">
        <w:rPr>
          <w:lang w:eastAsia="zh-CN"/>
        </w:rPr>
        <w:t>, 2012). A policy of planning-based exclusion zones has the potential to impact significantly upon the siting and deployment of wireless communications infrastructure. In turn</w:t>
      </w:r>
      <w:r w:rsidR="006B3ECE">
        <w:rPr>
          <w:lang w:eastAsia="zh-CN"/>
        </w:rPr>
        <w:t>,</w:t>
      </w:r>
      <w:r w:rsidRPr="00F06651">
        <w:rPr>
          <w:lang w:eastAsia="zh-CN"/>
        </w:rPr>
        <w:t xml:space="preserve"> this impacts the delivery of quality wireless services (including mobile broadband) to consumers that increasingly rely upon these services. Operators usually have to increase the transmit power in nearby base stations to </w:t>
      </w:r>
      <w:r w:rsidR="00EB6B31" w:rsidRPr="00F06651">
        <w:rPr>
          <w:lang w:eastAsia="zh-CN"/>
        </w:rPr>
        <w:t>fulfil</w:t>
      </w:r>
      <w:r w:rsidRPr="00F06651">
        <w:rPr>
          <w:lang w:eastAsia="zh-CN"/>
        </w:rPr>
        <w:t xml:space="preserve"> the service requirements</w:t>
      </w:r>
      <w:r w:rsidR="00464CD2">
        <w:rPr>
          <w:lang w:eastAsia="zh-CN"/>
        </w:rPr>
        <w:t>.</w:t>
      </w:r>
    </w:p>
    <w:p w14:paraId="6DC76A0E" w14:textId="7C365630" w:rsidR="00AA662C" w:rsidRPr="00F06651" w:rsidRDefault="00AA662C" w:rsidP="006F369D">
      <w:pPr>
        <w:rPr>
          <w:lang w:eastAsia="zh-CN"/>
        </w:rPr>
      </w:pPr>
      <w:r w:rsidRPr="00F06651">
        <w:rPr>
          <w:lang w:eastAsia="zh-CN"/>
        </w:rPr>
        <w:t>A case</w:t>
      </w:r>
      <w:r w:rsidR="006B3ECE">
        <w:rPr>
          <w:lang w:eastAsia="zh-CN"/>
        </w:rPr>
        <w:t xml:space="preserve"> </w:t>
      </w:r>
      <w:r w:rsidRPr="00F06651">
        <w:rPr>
          <w:lang w:eastAsia="zh-CN"/>
        </w:rPr>
        <w:t>study, based on the city of Melbourne, Australia,</w:t>
      </w:r>
      <w:r w:rsidR="0049069D">
        <w:rPr>
          <w:lang w:eastAsia="zh-CN"/>
        </w:rPr>
        <w:t xml:space="preserve"> </w:t>
      </w:r>
      <w:r w:rsidRPr="00F06651">
        <w:rPr>
          <w:lang w:eastAsia="zh-CN"/>
        </w:rPr>
        <w:t>explored the effects of implementing a hypothetical 500 m exclusion zone policy around community facilities (schools, pre-school</w:t>
      </w:r>
      <w:r w:rsidR="006B3ECE">
        <w:rPr>
          <w:lang w:eastAsia="zh-CN"/>
        </w:rPr>
        <w:t>s</w:t>
      </w:r>
      <w:r w:rsidRPr="00F06651">
        <w:rPr>
          <w:lang w:eastAsia="zh-CN"/>
        </w:rPr>
        <w:t xml:space="preserve"> and medical facilities) to a large urban area (</w:t>
      </w:r>
      <w:r w:rsidRPr="00F06651">
        <w:rPr>
          <w:bCs/>
          <w:kern w:val="36"/>
          <w:lang w:eastAsia="en-AU"/>
        </w:rPr>
        <w:t>Evans Planning</w:t>
      </w:r>
      <w:r w:rsidRPr="00F06651">
        <w:rPr>
          <w:lang w:eastAsia="zh-CN"/>
        </w:rPr>
        <w:t xml:space="preserve">, 2012). The study found that across the full metropolitan area, 54.1% of all existing radio base stations would be impacted. For an inner urban suburb, an exclusion zone of 500 m around all community facilities would cover 87.5% of the total geographic area of the suburb, affecting virtually all of the existing antenna sites. </w:t>
      </w:r>
    </w:p>
    <w:p w14:paraId="163C7D3F" w14:textId="77777777" w:rsidR="00AA662C" w:rsidRPr="00F06651" w:rsidRDefault="00AA662C" w:rsidP="006F369D">
      <w:pPr>
        <w:rPr>
          <w:lang w:eastAsia="zh-CN"/>
        </w:rPr>
      </w:pPr>
      <w:r w:rsidRPr="00F06651">
        <w:rPr>
          <w:lang w:eastAsia="zh-CN"/>
        </w:rPr>
        <w:t>Overall, the existence of multiple negative consequences suggests that distance-based planning exclusion zones are not an effective response to community concerns related to wireless infrastructure siting. SSC should not apply unscientific planning exclusion zones affecting wireless network infrastructure.</w:t>
      </w:r>
    </w:p>
    <w:p w14:paraId="299D8B91" w14:textId="4B955BB5" w:rsidR="00AA662C" w:rsidRPr="00F06651" w:rsidRDefault="00AA662C" w:rsidP="006F369D">
      <w:pPr>
        <w:rPr>
          <w:lang w:eastAsia="zh-CN"/>
        </w:rPr>
      </w:pPr>
      <w:r w:rsidRPr="00F06651">
        <w:rPr>
          <w:lang w:eastAsia="zh-CN"/>
        </w:rPr>
        <w:t xml:space="preserve">Some countries, such as Israel, prohibit or restrict the siting of base stations in nature reserves in order to preserve the aesthetics of </w:t>
      </w:r>
      <w:r w:rsidR="006B3ECE">
        <w:rPr>
          <w:lang w:eastAsia="zh-CN"/>
        </w:rPr>
        <w:t xml:space="preserve">the </w:t>
      </w:r>
      <w:r w:rsidRPr="00F06651">
        <w:rPr>
          <w:lang w:eastAsia="zh-CN"/>
        </w:rPr>
        <w:t>natural environment and avoid disruption due to construction activities. In the United Kingdom, a joint accord between National Parks England and the Mobile Operators Association was signed in July 2014. The accord aims to help communities living in national parks to benefit from consistent high quality connectivity and protect the special qualities of the National Parks by minimi</w:t>
      </w:r>
      <w:r w:rsidR="001D1214">
        <w:rPr>
          <w:lang w:eastAsia="zh-CN"/>
        </w:rPr>
        <w:t>z</w:t>
      </w:r>
      <w:r w:rsidRPr="00F06651">
        <w:rPr>
          <w:lang w:eastAsia="zh-CN"/>
        </w:rPr>
        <w:t>ing any adverse environmental impacts.</w:t>
      </w:r>
    </w:p>
    <w:p w14:paraId="1BFFFD90" w14:textId="77777777" w:rsidR="00AA662C" w:rsidRPr="00F06651" w:rsidRDefault="00AA662C" w:rsidP="006F369D">
      <w:pPr>
        <w:rPr>
          <w:lang w:eastAsia="zh-CN"/>
        </w:rPr>
      </w:pPr>
      <w:r w:rsidRPr="00F06651">
        <w:rPr>
          <w:lang w:eastAsia="zh-CN"/>
        </w:rPr>
        <w:t>There are no indications that specific siting requirements are needed for wireless network equipment sited near petrol stations.</w:t>
      </w:r>
    </w:p>
    <w:p w14:paraId="46AF4684" w14:textId="77777777" w:rsidR="00AA662C" w:rsidRPr="00F06651" w:rsidRDefault="00AA662C" w:rsidP="006F369D">
      <w:pPr>
        <w:pStyle w:val="Heading2"/>
        <w:rPr>
          <w:lang w:eastAsia="en-AU"/>
        </w:rPr>
      </w:pPr>
      <w:bookmarkStart w:id="186" w:name="_Toc397945084"/>
      <w:bookmarkStart w:id="187" w:name="_Toc400020902"/>
      <w:bookmarkStart w:id="188" w:name="_Toc400106170"/>
      <w:r>
        <w:rPr>
          <w:lang w:eastAsia="en-AU"/>
        </w:rPr>
        <w:t>9.6</w:t>
      </w:r>
      <w:r>
        <w:rPr>
          <w:lang w:eastAsia="en-AU"/>
        </w:rPr>
        <w:tab/>
      </w:r>
      <w:r w:rsidRPr="005220F1">
        <w:rPr>
          <w:lang w:eastAsia="en-AU"/>
        </w:rPr>
        <w:t>Visual integration</w:t>
      </w:r>
      <w:r w:rsidRPr="00F06651">
        <w:rPr>
          <w:lang w:eastAsia="en-AU"/>
        </w:rPr>
        <w:t xml:space="preserve"> with the environment</w:t>
      </w:r>
      <w:bookmarkEnd w:id="186"/>
      <w:bookmarkEnd w:id="187"/>
      <w:bookmarkEnd w:id="188"/>
      <w:r w:rsidRPr="00F06651">
        <w:rPr>
          <w:lang w:eastAsia="en-AU"/>
        </w:rPr>
        <w:t xml:space="preserve"> </w:t>
      </w:r>
    </w:p>
    <w:p w14:paraId="4D31218D" w14:textId="77777777" w:rsidR="00AA662C" w:rsidRPr="00F06651" w:rsidRDefault="00AA662C" w:rsidP="006F369D">
      <w:pPr>
        <w:rPr>
          <w:lang w:eastAsia="zh-CN"/>
        </w:rPr>
      </w:pPr>
      <w:r w:rsidRPr="00F06651">
        <w:rPr>
          <w:lang w:eastAsia="zh-CN"/>
        </w:rPr>
        <w:t>Similar to all forms of development, wireless network equipment may have a visual effect. This visual effect can be attributed to two unavoidable characteristics of wireless network equipment:</w:t>
      </w:r>
    </w:p>
    <w:p w14:paraId="70E0F1C4" w14:textId="77777777" w:rsidR="00AA662C" w:rsidRPr="00F06651" w:rsidRDefault="006F369D" w:rsidP="006F369D">
      <w:pPr>
        <w:pStyle w:val="enumlev1"/>
      </w:pPr>
      <w:r>
        <w:t>a)</w:t>
      </w:r>
      <w:r>
        <w:tab/>
      </w:r>
      <w:r w:rsidR="00AA662C" w:rsidRPr="00F06651">
        <w:t>They are structures which generally protrude from other structures; and</w:t>
      </w:r>
    </w:p>
    <w:p w14:paraId="00A7DA5A" w14:textId="77777777" w:rsidR="00AA662C" w:rsidRPr="00F06651" w:rsidRDefault="006F369D" w:rsidP="006F369D">
      <w:pPr>
        <w:pStyle w:val="enumlev1"/>
      </w:pPr>
      <w:r>
        <w:t>b)</w:t>
      </w:r>
      <w:r>
        <w:tab/>
      </w:r>
      <w:r w:rsidR="00AA662C" w:rsidRPr="00F06651">
        <w:t>They need to be located at suitable heights in order to operate effectively.</w:t>
      </w:r>
    </w:p>
    <w:p w14:paraId="427062C5" w14:textId="77777777" w:rsidR="00AA662C" w:rsidRPr="00F06651" w:rsidRDefault="00AA662C" w:rsidP="006F369D">
      <w:pPr>
        <w:rPr>
          <w:lang w:eastAsia="zh-CN"/>
        </w:rPr>
      </w:pPr>
      <w:r w:rsidRPr="00F06651">
        <w:rPr>
          <w:lang w:eastAsia="zh-CN"/>
        </w:rPr>
        <w:t>These characteristics mean that wireless network equipment may be, and often is, highly visible in both urban and rural landscapes. The visual effect of wireless network equipment may be addressed by:</w:t>
      </w:r>
    </w:p>
    <w:p w14:paraId="6C8A029F" w14:textId="77777777" w:rsidR="00AA662C" w:rsidRPr="00F06651" w:rsidRDefault="006F369D" w:rsidP="006F369D">
      <w:pPr>
        <w:pStyle w:val="enumlev1"/>
      </w:pPr>
      <w:r>
        <w:lastRenderedPageBreak/>
        <w:t>a)</w:t>
      </w:r>
      <w:r>
        <w:tab/>
      </w:r>
      <w:r w:rsidR="00AA662C" w:rsidRPr="00F06651">
        <w:t>Undertaking a detailed assessment of the landscape in which the wireless network equipment is to be located; and</w:t>
      </w:r>
    </w:p>
    <w:p w14:paraId="05937804" w14:textId="77777777" w:rsidR="00AA662C" w:rsidRPr="00F06651" w:rsidRDefault="006F369D" w:rsidP="006F369D">
      <w:pPr>
        <w:pStyle w:val="enumlev1"/>
      </w:pPr>
      <w:r>
        <w:t>b)</w:t>
      </w:r>
      <w:r>
        <w:tab/>
      </w:r>
      <w:r w:rsidR="00AA662C" w:rsidRPr="00F06651">
        <w:t>Designing the facility to respond appropriately to this landscape setting.</w:t>
      </w:r>
    </w:p>
    <w:p w14:paraId="056FD473" w14:textId="77777777" w:rsidR="00AA662C" w:rsidRPr="00F06651" w:rsidRDefault="00AA662C" w:rsidP="006F369D">
      <w:pPr>
        <w:rPr>
          <w:lang w:eastAsia="zh-CN"/>
        </w:rPr>
      </w:pPr>
      <w:r w:rsidRPr="00F06651">
        <w:rPr>
          <w:lang w:eastAsia="zh-CN"/>
        </w:rPr>
        <w:t xml:space="preserve">In this way, the wireless network equipment can be designed in a manner that is compatible with the particular landscape setting. The higher the level of compatibility of the wireless network equipment design with the landscape, the less significant or intrusive the visual effect will be. Understanding the contextual setting is paramount to developing a design response that is both appropriate and compatible. </w:t>
      </w:r>
    </w:p>
    <w:p w14:paraId="2E35EC96" w14:textId="3BEC1ABA" w:rsidR="00AA662C" w:rsidRPr="00F06651" w:rsidRDefault="00AA662C" w:rsidP="006F369D">
      <w:pPr>
        <w:rPr>
          <w:lang w:eastAsia="zh-CN"/>
        </w:rPr>
      </w:pPr>
      <w:r w:rsidRPr="00F06651">
        <w:rPr>
          <w:lang w:eastAsia="zh-CN"/>
        </w:rPr>
        <w:t xml:space="preserve">Whilst reducing </w:t>
      </w:r>
      <w:r w:rsidR="007246E2">
        <w:rPr>
          <w:lang w:eastAsia="zh-CN"/>
        </w:rPr>
        <w:t xml:space="preserve">the </w:t>
      </w:r>
      <w:r w:rsidRPr="00F06651">
        <w:rPr>
          <w:lang w:eastAsia="zh-CN"/>
        </w:rPr>
        <w:t>visual effect is a very important objective</w:t>
      </w:r>
      <w:r w:rsidR="007246E2">
        <w:rPr>
          <w:lang w:eastAsia="zh-CN"/>
        </w:rPr>
        <w:t>,</w:t>
      </w:r>
      <w:r w:rsidRPr="00F06651">
        <w:rPr>
          <w:lang w:eastAsia="zh-CN"/>
        </w:rPr>
        <w:t xml:space="preserve"> other factors may have a substantial bearing on the final outcome. It should be recogni</w:t>
      </w:r>
      <w:r w:rsidR="007246E2">
        <w:rPr>
          <w:lang w:eastAsia="zh-CN"/>
        </w:rPr>
        <w:t>z</w:t>
      </w:r>
      <w:r w:rsidRPr="00F06651">
        <w:rPr>
          <w:lang w:eastAsia="zh-CN"/>
        </w:rPr>
        <w:t>ed that not all wireless network equipment will be able to achieve the best visual outcome. Some of the issues which often need to be considered in parallel with visual integration include:</w:t>
      </w:r>
    </w:p>
    <w:p w14:paraId="65C201CB" w14:textId="77777777" w:rsidR="00AA662C" w:rsidRPr="00F06651" w:rsidRDefault="006F369D" w:rsidP="006F369D">
      <w:pPr>
        <w:pStyle w:val="enumlev1"/>
      </w:pPr>
      <w:r>
        <w:t>•</w:t>
      </w:r>
      <w:r>
        <w:tab/>
      </w:r>
      <w:r w:rsidR="00AA662C" w:rsidRPr="00F06651">
        <w:t>availability and suitability of land;</w:t>
      </w:r>
    </w:p>
    <w:p w14:paraId="5ECBB7A3" w14:textId="77777777" w:rsidR="00AA662C" w:rsidRPr="00F06651" w:rsidRDefault="006F369D" w:rsidP="006F369D">
      <w:pPr>
        <w:pStyle w:val="enumlev1"/>
      </w:pPr>
      <w:r>
        <w:t>•</w:t>
      </w:r>
      <w:r>
        <w:tab/>
      </w:r>
      <w:r w:rsidR="00AA662C" w:rsidRPr="00F06651">
        <w:t>any reasonable requirements of the landlord;</w:t>
      </w:r>
    </w:p>
    <w:p w14:paraId="4850E1D3" w14:textId="77777777" w:rsidR="00AA662C" w:rsidRPr="00F06651" w:rsidRDefault="006F369D" w:rsidP="006F369D">
      <w:pPr>
        <w:pStyle w:val="enumlev1"/>
      </w:pPr>
      <w:r>
        <w:t>•</w:t>
      </w:r>
      <w:r>
        <w:tab/>
      </w:r>
      <w:r w:rsidR="00AA662C" w:rsidRPr="00F06651">
        <w:t>radio frequency performance;</w:t>
      </w:r>
    </w:p>
    <w:p w14:paraId="61F42DEC" w14:textId="77777777" w:rsidR="00AA662C" w:rsidRPr="00F06651" w:rsidRDefault="006F369D" w:rsidP="006F369D">
      <w:pPr>
        <w:pStyle w:val="enumlev1"/>
      </w:pPr>
      <w:r>
        <w:t>•</w:t>
      </w:r>
      <w:r>
        <w:tab/>
      </w:r>
      <w:r w:rsidR="00464CD2">
        <w:t>i</w:t>
      </w:r>
      <w:r w:rsidR="00AA662C" w:rsidRPr="00F06651">
        <w:t>mpact on other facilities located at the same site;</w:t>
      </w:r>
    </w:p>
    <w:p w14:paraId="6F92A181" w14:textId="77777777" w:rsidR="00AA662C" w:rsidRPr="00F06651" w:rsidRDefault="006F369D" w:rsidP="006F369D">
      <w:pPr>
        <w:pStyle w:val="enumlev1"/>
      </w:pPr>
      <w:r>
        <w:t>•</w:t>
      </w:r>
      <w:r>
        <w:tab/>
      </w:r>
      <w:r w:rsidR="00AA662C" w:rsidRPr="00F06651">
        <w:t>noise – usually from air conditioners and/or diesel generators;</w:t>
      </w:r>
    </w:p>
    <w:p w14:paraId="674ACBD8" w14:textId="77777777" w:rsidR="00AA662C" w:rsidRPr="00F06651" w:rsidRDefault="006F369D" w:rsidP="006F369D">
      <w:pPr>
        <w:pStyle w:val="enumlev1"/>
      </w:pPr>
      <w:r>
        <w:t>•</w:t>
      </w:r>
      <w:r>
        <w:tab/>
      </w:r>
      <w:r w:rsidR="00AA662C" w:rsidRPr="00F06651">
        <w:t>access for maintenance purposes;</w:t>
      </w:r>
    </w:p>
    <w:p w14:paraId="3B7B1295" w14:textId="77777777" w:rsidR="00AA662C" w:rsidRPr="00F06651" w:rsidRDefault="006F369D" w:rsidP="006F369D">
      <w:pPr>
        <w:pStyle w:val="enumlev1"/>
      </w:pPr>
      <w:r>
        <w:t>•</w:t>
      </w:r>
      <w:r>
        <w:tab/>
      </w:r>
      <w:r w:rsidR="00AA662C" w:rsidRPr="00F06651">
        <w:t>installation time frames and availability of materials;</w:t>
      </w:r>
    </w:p>
    <w:p w14:paraId="7B84B44B" w14:textId="77777777" w:rsidR="00AA662C" w:rsidRPr="00F06651" w:rsidRDefault="006F369D" w:rsidP="006F369D">
      <w:pPr>
        <w:pStyle w:val="enumlev1"/>
      </w:pPr>
      <w:r>
        <w:t>•</w:t>
      </w:r>
      <w:r>
        <w:tab/>
      </w:r>
      <w:r w:rsidR="00AA662C" w:rsidRPr="00F06651">
        <w:t>construction issues – structural and loading feasibility;</w:t>
      </w:r>
    </w:p>
    <w:p w14:paraId="2D059D1B" w14:textId="77777777" w:rsidR="00AA662C" w:rsidRPr="00F06651" w:rsidRDefault="006F369D" w:rsidP="006F369D">
      <w:pPr>
        <w:pStyle w:val="enumlev1"/>
      </w:pPr>
      <w:r>
        <w:t>•</w:t>
      </w:r>
      <w:r>
        <w:tab/>
      </w:r>
      <w:r w:rsidR="00AA662C" w:rsidRPr="00F06651">
        <w:t>cost;</w:t>
      </w:r>
    </w:p>
    <w:p w14:paraId="4B68D206" w14:textId="77777777" w:rsidR="00AA662C" w:rsidRPr="00F06651" w:rsidRDefault="006F369D" w:rsidP="006F369D">
      <w:pPr>
        <w:pStyle w:val="enumlev1"/>
      </w:pPr>
      <w:r>
        <w:t>•</w:t>
      </w:r>
      <w:r>
        <w:tab/>
      </w:r>
      <w:r w:rsidR="00AA662C" w:rsidRPr="00F06651">
        <w:t>compliance with relevant and applicable national RF exposure standards; and</w:t>
      </w:r>
    </w:p>
    <w:p w14:paraId="0F4E1962" w14:textId="77777777" w:rsidR="00AA662C" w:rsidRPr="00F06651" w:rsidRDefault="006F369D" w:rsidP="006F369D">
      <w:pPr>
        <w:pStyle w:val="enumlev1"/>
      </w:pPr>
      <w:r>
        <w:t>•</w:t>
      </w:r>
      <w:r>
        <w:tab/>
      </w:r>
      <w:r w:rsidR="00AA662C" w:rsidRPr="00F06651">
        <w:t>co-location and site sharing opportunities.</w:t>
      </w:r>
    </w:p>
    <w:p w14:paraId="423078FA" w14:textId="77777777" w:rsidR="00AA662C" w:rsidRPr="00F06651" w:rsidRDefault="00AA662C" w:rsidP="006F369D">
      <w:pPr>
        <w:rPr>
          <w:lang w:eastAsia="zh-CN"/>
        </w:rPr>
      </w:pPr>
      <w:r w:rsidRPr="00F06651">
        <w:rPr>
          <w:lang w:eastAsia="zh-CN"/>
        </w:rPr>
        <w:t>Key principles for design and siting with improved visual integration include:</w:t>
      </w:r>
    </w:p>
    <w:p w14:paraId="589DE762" w14:textId="77777777" w:rsidR="00AA662C" w:rsidRPr="00F06651" w:rsidRDefault="006F369D" w:rsidP="006F369D">
      <w:pPr>
        <w:pStyle w:val="enumlev1"/>
      </w:pPr>
      <w:r>
        <w:t>•</w:t>
      </w:r>
      <w:r>
        <w:tab/>
      </w:r>
      <w:r w:rsidR="00EB6B31" w:rsidRPr="00F06651">
        <w:t>colour</w:t>
      </w:r>
      <w:r w:rsidR="00AA662C" w:rsidRPr="00F06651">
        <w:t xml:space="preserve"> relative to surroundings;</w:t>
      </w:r>
    </w:p>
    <w:p w14:paraId="3CC28F44" w14:textId="77777777" w:rsidR="00AA662C" w:rsidRPr="00F06651" w:rsidRDefault="006F369D" w:rsidP="006F369D">
      <w:pPr>
        <w:pStyle w:val="enumlev1"/>
      </w:pPr>
      <w:r>
        <w:t>•</w:t>
      </w:r>
      <w:r>
        <w:tab/>
      </w:r>
      <w:r w:rsidR="00AA662C" w:rsidRPr="00F06651">
        <w:t>texture relative to existing materials;</w:t>
      </w:r>
    </w:p>
    <w:p w14:paraId="0EFEF66D" w14:textId="77777777" w:rsidR="00AA662C" w:rsidRPr="00F06651" w:rsidRDefault="006F369D" w:rsidP="006F369D">
      <w:pPr>
        <w:pStyle w:val="enumlev1"/>
      </w:pPr>
      <w:r>
        <w:t>•</w:t>
      </w:r>
      <w:r>
        <w:tab/>
      </w:r>
      <w:r w:rsidR="00AA662C" w:rsidRPr="00F06651">
        <w:t>form in regar</w:t>
      </w:r>
      <w:r>
        <w:t>d to height, shape and position</w:t>
      </w:r>
      <w:r w:rsidR="00AA662C" w:rsidRPr="00F06651">
        <w:t>;</w:t>
      </w:r>
    </w:p>
    <w:p w14:paraId="66407B74" w14:textId="77777777" w:rsidR="00AA662C" w:rsidRPr="00F06651" w:rsidRDefault="006F369D" w:rsidP="006F369D">
      <w:pPr>
        <w:pStyle w:val="enumlev1"/>
      </w:pPr>
      <w:r>
        <w:t>•</w:t>
      </w:r>
      <w:r>
        <w:tab/>
      </w:r>
      <w:r w:rsidR="00AA662C" w:rsidRPr="00F06651">
        <w:t>bulk and scale relative to the local environment;</w:t>
      </w:r>
    </w:p>
    <w:p w14:paraId="52CCF266" w14:textId="77777777" w:rsidR="00AA662C" w:rsidRPr="00F06651" w:rsidRDefault="006F369D" w:rsidP="006F369D">
      <w:pPr>
        <w:pStyle w:val="enumlev1"/>
      </w:pPr>
      <w:r>
        <w:t>•</w:t>
      </w:r>
      <w:r>
        <w:tab/>
      </w:r>
      <w:r w:rsidR="00AA662C" w:rsidRPr="00F06651">
        <w:t>design in harmony with the surroundings;</w:t>
      </w:r>
    </w:p>
    <w:p w14:paraId="1B7C040E" w14:textId="77777777" w:rsidR="00AA662C" w:rsidRPr="00F06651" w:rsidRDefault="006F369D" w:rsidP="006F369D">
      <w:pPr>
        <w:pStyle w:val="enumlev1"/>
      </w:pPr>
      <w:r>
        <w:t>•</w:t>
      </w:r>
      <w:r>
        <w:tab/>
      </w:r>
      <w:r w:rsidR="00AA662C" w:rsidRPr="00F06651">
        <w:t>ability to integrate with existing wireless network equipment;</w:t>
      </w:r>
    </w:p>
    <w:p w14:paraId="7FB44E1F" w14:textId="6BCA2197" w:rsidR="00AA662C" w:rsidRPr="00F06651" w:rsidRDefault="006F369D" w:rsidP="006F369D">
      <w:pPr>
        <w:pStyle w:val="enumlev1"/>
      </w:pPr>
      <w:r>
        <w:t>•</w:t>
      </w:r>
      <w:r>
        <w:tab/>
      </w:r>
      <w:r w:rsidR="00AA662C" w:rsidRPr="00F06651">
        <w:t xml:space="preserve">local landmarks, cultural or historical </w:t>
      </w:r>
      <w:r w:rsidR="00CC2953" w:rsidRPr="00F06651">
        <w:t>centres</w:t>
      </w:r>
      <w:r w:rsidR="00AA662C" w:rsidRPr="00F06651">
        <w:t>, viewpoints; and</w:t>
      </w:r>
    </w:p>
    <w:p w14:paraId="4325EE94" w14:textId="77777777" w:rsidR="00AA662C" w:rsidRPr="00F06651" w:rsidRDefault="006F369D" w:rsidP="006F369D">
      <w:pPr>
        <w:pStyle w:val="enumlev1"/>
      </w:pPr>
      <w:r>
        <w:t>•</w:t>
      </w:r>
      <w:r>
        <w:tab/>
      </w:r>
      <w:r w:rsidR="00AA662C" w:rsidRPr="00F06651">
        <w:t>use of surrounding vegetation for screening ground level equipment shelters.</w:t>
      </w:r>
    </w:p>
    <w:p w14:paraId="213E6C39" w14:textId="77777777" w:rsidR="00AA662C" w:rsidRPr="00F06651" w:rsidRDefault="00AA662C" w:rsidP="006F369D">
      <w:pPr>
        <w:rPr>
          <w:lang w:eastAsia="zh-CN"/>
        </w:rPr>
      </w:pPr>
      <w:r w:rsidRPr="00F06651">
        <w:rPr>
          <w:lang w:eastAsia="zh-CN"/>
        </w:rPr>
        <w:t xml:space="preserve">It should be noted that in some cases efforts to reduce the visual effect of </w:t>
      </w:r>
      <w:r w:rsidR="007246E2">
        <w:rPr>
          <w:lang w:eastAsia="zh-CN"/>
        </w:rPr>
        <w:t xml:space="preserve">the </w:t>
      </w:r>
      <w:r w:rsidRPr="00F06651">
        <w:rPr>
          <w:lang w:eastAsia="zh-CN"/>
        </w:rPr>
        <w:t>wireless network equipment have been criticized as a form of concealment of potential health risks. Therefore, dialogue and openness should be ensured from the early stages of the process in order to address these concerns.</w:t>
      </w:r>
    </w:p>
    <w:p w14:paraId="72CA92FB" w14:textId="3BEBF7B7" w:rsidR="00AA662C" w:rsidRPr="00F06651" w:rsidRDefault="00AA662C" w:rsidP="006F369D">
      <w:pPr>
        <w:pStyle w:val="Heading2"/>
        <w:rPr>
          <w:lang w:eastAsia="en-AU"/>
        </w:rPr>
      </w:pPr>
      <w:bookmarkStart w:id="189" w:name="_Toc397945085"/>
      <w:bookmarkStart w:id="190" w:name="_Toc400020903"/>
      <w:bookmarkStart w:id="191" w:name="_Toc400106171"/>
      <w:r>
        <w:rPr>
          <w:lang w:eastAsia="en-AU"/>
        </w:rPr>
        <w:t>9.7</w:t>
      </w:r>
      <w:r>
        <w:rPr>
          <w:lang w:eastAsia="en-AU"/>
        </w:rPr>
        <w:tab/>
      </w:r>
      <w:r w:rsidRPr="00F06651">
        <w:rPr>
          <w:lang w:eastAsia="en-AU"/>
        </w:rPr>
        <w:t xml:space="preserve">Environmental </w:t>
      </w:r>
      <w:r w:rsidR="00CC2953">
        <w:rPr>
          <w:lang w:eastAsia="en-AU"/>
        </w:rPr>
        <w:t>i</w:t>
      </w:r>
      <w:r w:rsidRPr="00F06651">
        <w:rPr>
          <w:lang w:eastAsia="en-AU"/>
        </w:rPr>
        <w:t xml:space="preserve">mpact </w:t>
      </w:r>
      <w:r w:rsidR="00CC2953">
        <w:rPr>
          <w:lang w:eastAsia="en-AU"/>
        </w:rPr>
        <w:t>a</w:t>
      </w:r>
      <w:r w:rsidRPr="00F06651">
        <w:rPr>
          <w:lang w:eastAsia="en-AU"/>
        </w:rPr>
        <w:t>ssessment</w:t>
      </w:r>
      <w:bookmarkEnd w:id="189"/>
      <w:bookmarkEnd w:id="190"/>
      <w:bookmarkEnd w:id="191"/>
      <w:r w:rsidRPr="00F06651">
        <w:rPr>
          <w:lang w:eastAsia="en-AU"/>
        </w:rPr>
        <w:t xml:space="preserve"> </w:t>
      </w:r>
    </w:p>
    <w:p w14:paraId="6075A3F0" w14:textId="668AF1F5" w:rsidR="00AA662C" w:rsidRPr="00F06651" w:rsidRDefault="00AA662C" w:rsidP="006F369D">
      <w:pPr>
        <w:rPr>
          <w:lang w:eastAsia="zh-CN"/>
        </w:rPr>
      </w:pPr>
      <w:r w:rsidRPr="00F06651">
        <w:rPr>
          <w:lang w:eastAsia="zh-CN"/>
        </w:rPr>
        <w:t xml:space="preserve">This </w:t>
      </w:r>
      <w:r w:rsidR="0039003D">
        <w:rPr>
          <w:lang w:eastAsia="zh-CN"/>
        </w:rPr>
        <w:t>Technical R</w:t>
      </w:r>
      <w:r w:rsidRPr="00F06651">
        <w:rPr>
          <w:lang w:eastAsia="zh-CN"/>
        </w:rPr>
        <w:t xml:space="preserve">eport limits </w:t>
      </w:r>
      <w:r w:rsidR="0039003D">
        <w:rPr>
          <w:lang w:eastAsia="zh-CN"/>
        </w:rPr>
        <w:t xml:space="preserve">the </w:t>
      </w:r>
      <w:r w:rsidRPr="00F06651">
        <w:rPr>
          <w:lang w:eastAsia="zh-CN"/>
        </w:rPr>
        <w:t xml:space="preserve">discussion of </w:t>
      </w:r>
      <w:r w:rsidR="0039003D">
        <w:rPr>
          <w:lang w:eastAsia="zh-CN"/>
        </w:rPr>
        <w:t xml:space="preserve">the </w:t>
      </w:r>
      <w:r w:rsidRPr="00F06651">
        <w:rPr>
          <w:lang w:eastAsia="zh-CN"/>
        </w:rPr>
        <w:t xml:space="preserve">environmental impact assessment to matters related to the siting of wireless network infrastructure. This section is based largely on the New Zealand Ministry of the Environment’s ‘National Environmental Standards for Telecommunication Facilities: Users’ Guide’ (Ministry of the Environment, 2009). This is a binding regulation and replaces certain rules in district plans and bylaws that affect the activities of telecommunications operators. Every </w:t>
      </w:r>
      <w:r w:rsidRPr="00F06651">
        <w:rPr>
          <w:lang w:eastAsia="zh-CN"/>
        </w:rPr>
        <w:lastRenderedPageBreak/>
        <w:t>local authority and consent authority in New Zealand must observe national environmental standards and must enforce the observance of national environmental standards to the extent their powers enable them to do so.</w:t>
      </w:r>
    </w:p>
    <w:p w14:paraId="1C1F18AA" w14:textId="77777777" w:rsidR="00AA662C" w:rsidRPr="00F06651" w:rsidRDefault="00AA662C" w:rsidP="006F369D">
      <w:pPr>
        <w:rPr>
          <w:lang w:eastAsia="zh-CN"/>
        </w:rPr>
      </w:pPr>
      <w:r w:rsidRPr="00F06651">
        <w:rPr>
          <w:lang w:eastAsia="zh-CN"/>
        </w:rPr>
        <w:t>Environmental impact assessment for telecommunication facilities may include:</w:t>
      </w:r>
    </w:p>
    <w:p w14:paraId="7001E980" w14:textId="7B7132F8" w:rsidR="00AA662C" w:rsidRPr="00F06651" w:rsidRDefault="006F369D" w:rsidP="006F369D">
      <w:pPr>
        <w:pStyle w:val="enumlev1"/>
        <w:rPr>
          <w:lang w:eastAsia="en-AU"/>
        </w:rPr>
      </w:pPr>
      <w:r>
        <w:t>•</w:t>
      </w:r>
      <w:r>
        <w:tab/>
      </w:r>
      <w:r w:rsidR="00AA662C" w:rsidRPr="00F06651">
        <w:rPr>
          <w:lang w:eastAsia="en-AU"/>
        </w:rPr>
        <w:t>assessment of compliance with national RF</w:t>
      </w:r>
      <w:r w:rsidR="0039003D">
        <w:rPr>
          <w:lang w:eastAsia="en-AU"/>
        </w:rPr>
        <w:t>-</w:t>
      </w:r>
      <w:r w:rsidR="00AA662C" w:rsidRPr="00F06651">
        <w:rPr>
          <w:lang w:eastAsia="en-AU"/>
        </w:rPr>
        <w:t>EMF exposure limits in areas that are reasonably accessible to the public;</w:t>
      </w:r>
    </w:p>
    <w:p w14:paraId="1467D91A" w14:textId="40BD54AC" w:rsidR="00AA662C" w:rsidRPr="00F06651" w:rsidRDefault="006F369D" w:rsidP="006F369D">
      <w:pPr>
        <w:pStyle w:val="enumlev1"/>
        <w:rPr>
          <w:lang w:eastAsia="en-AU"/>
        </w:rPr>
      </w:pPr>
      <w:r>
        <w:t>•</w:t>
      </w:r>
      <w:r>
        <w:tab/>
      </w:r>
      <w:r w:rsidR="00AA662C" w:rsidRPr="00F06651">
        <w:rPr>
          <w:lang w:eastAsia="en-AU"/>
        </w:rPr>
        <w:t xml:space="preserve">consideration </w:t>
      </w:r>
      <w:r w:rsidR="0039003D">
        <w:rPr>
          <w:lang w:eastAsia="en-AU"/>
        </w:rPr>
        <w:t>for the</w:t>
      </w:r>
      <w:r w:rsidR="00AA662C" w:rsidRPr="00F06651">
        <w:rPr>
          <w:lang w:eastAsia="en-AU"/>
        </w:rPr>
        <w:t xml:space="preserve"> protection of vegetation, and historic, amenity and coastal areas;</w:t>
      </w:r>
    </w:p>
    <w:p w14:paraId="6F0068D3" w14:textId="77777777" w:rsidR="00AA662C" w:rsidRPr="00F06651" w:rsidRDefault="006F369D" w:rsidP="006F369D">
      <w:pPr>
        <w:pStyle w:val="enumlev1"/>
        <w:rPr>
          <w:lang w:eastAsia="en-AU"/>
        </w:rPr>
      </w:pPr>
      <w:r>
        <w:t>•</w:t>
      </w:r>
      <w:r>
        <w:tab/>
      </w:r>
      <w:r w:rsidR="00AA662C" w:rsidRPr="00F06651">
        <w:rPr>
          <w:lang w:eastAsia="en-AU"/>
        </w:rPr>
        <w:t>procedures for change of antennas and modifications to existing utility structures;</w:t>
      </w:r>
    </w:p>
    <w:p w14:paraId="7DC25132" w14:textId="77777777" w:rsidR="00AA662C" w:rsidRPr="00F06651" w:rsidRDefault="006F369D" w:rsidP="006F369D">
      <w:pPr>
        <w:pStyle w:val="enumlev1"/>
        <w:rPr>
          <w:lang w:eastAsia="en-AU"/>
        </w:rPr>
      </w:pPr>
      <w:r>
        <w:t>•</w:t>
      </w:r>
      <w:r>
        <w:tab/>
      </w:r>
      <w:r w:rsidR="00AA662C" w:rsidRPr="00F06651">
        <w:rPr>
          <w:lang w:eastAsia="en-AU"/>
        </w:rPr>
        <w:t>restrictions on the size and location of telecommunication cabinets;</w:t>
      </w:r>
    </w:p>
    <w:p w14:paraId="22B1F6C2" w14:textId="77777777" w:rsidR="00AA662C" w:rsidRPr="00F06651" w:rsidRDefault="006F369D" w:rsidP="006F369D">
      <w:pPr>
        <w:pStyle w:val="enumlev1"/>
        <w:rPr>
          <w:lang w:eastAsia="en-AU"/>
        </w:rPr>
      </w:pPr>
      <w:r>
        <w:t>•</w:t>
      </w:r>
      <w:r>
        <w:tab/>
      </w:r>
      <w:r w:rsidR="00AA662C" w:rsidRPr="00F06651">
        <w:rPr>
          <w:lang w:eastAsia="en-AU"/>
        </w:rPr>
        <w:t>compliance with noise limits for telecommunication cabinets, air conditioning equipment and diesel generators;</w:t>
      </w:r>
    </w:p>
    <w:p w14:paraId="2054333D" w14:textId="77777777" w:rsidR="00AA662C" w:rsidRPr="00F06651" w:rsidRDefault="006F369D" w:rsidP="006F369D">
      <w:pPr>
        <w:pStyle w:val="enumlev1"/>
        <w:rPr>
          <w:lang w:eastAsia="en-AU"/>
        </w:rPr>
      </w:pPr>
      <w:r>
        <w:t>•</w:t>
      </w:r>
      <w:r>
        <w:tab/>
      </w:r>
      <w:r w:rsidR="00AA662C" w:rsidRPr="00F06651">
        <w:rPr>
          <w:lang w:eastAsia="en-AU"/>
        </w:rPr>
        <w:t>consideration of visual effects of proposed wireless network equipment.</w:t>
      </w:r>
    </w:p>
    <w:p w14:paraId="593E7EEE" w14:textId="79CBE9FF" w:rsidR="00AA662C" w:rsidRPr="00F06651" w:rsidRDefault="00AA662C" w:rsidP="006F369D">
      <w:pPr>
        <w:rPr>
          <w:lang w:eastAsia="zh-CN"/>
        </w:rPr>
      </w:pPr>
      <w:r w:rsidRPr="00F06651">
        <w:rPr>
          <w:lang w:eastAsia="zh-CN"/>
        </w:rPr>
        <w:t>Wireless network equipment generally presents a low environmental impact</w:t>
      </w:r>
      <w:r w:rsidR="0039003D">
        <w:rPr>
          <w:lang w:eastAsia="zh-CN"/>
        </w:rPr>
        <w:t>,</w:t>
      </w:r>
      <w:r w:rsidRPr="00F06651">
        <w:rPr>
          <w:lang w:eastAsia="zh-CN"/>
        </w:rPr>
        <w:t xml:space="preserve"> and therefore requirements in this area should be proportionate and reasonable.</w:t>
      </w:r>
    </w:p>
    <w:p w14:paraId="4D984D26" w14:textId="77777777" w:rsidR="00AA662C" w:rsidRPr="00F06651" w:rsidRDefault="00AA662C" w:rsidP="006F369D">
      <w:pPr>
        <w:pStyle w:val="Heading1"/>
      </w:pPr>
      <w:bookmarkStart w:id="192" w:name="_Toc397945086"/>
      <w:bookmarkStart w:id="193" w:name="_Toc400020904"/>
      <w:bookmarkStart w:id="194" w:name="_Toc400106172"/>
      <w:r>
        <w:t>10</w:t>
      </w:r>
      <w:r>
        <w:tab/>
      </w:r>
      <w:r w:rsidRPr="00F06651">
        <w:t>Conclusions</w:t>
      </w:r>
      <w:bookmarkEnd w:id="192"/>
      <w:bookmarkEnd w:id="193"/>
      <w:bookmarkEnd w:id="194"/>
    </w:p>
    <w:p w14:paraId="66D478BA" w14:textId="5834FDC4" w:rsidR="00AA662C" w:rsidRPr="00F06651" w:rsidRDefault="00AA662C" w:rsidP="006F369D">
      <w:pPr>
        <w:rPr>
          <w:lang w:eastAsia="zh-CN"/>
        </w:rPr>
      </w:pPr>
      <w:r w:rsidRPr="00F06651">
        <w:rPr>
          <w:lang w:eastAsia="zh-CN"/>
        </w:rPr>
        <w:t xml:space="preserve">Wireless and wired networks provide the underlying connections that underpin </w:t>
      </w:r>
      <w:r w:rsidR="00501372">
        <w:rPr>
          <w:lang w:eastAsia="zh-CN"/>
        </w:rPr>
        <w:t>s</w:t>
      </w:r>
      <w:r w:rsidRPr="00F06651">
        <w:rPr>
          <w:lang w:eastAsia="zh-CN"/>
        </w:rPr>
        <w:t xml:space="preserve">mart </w:t>
      </w:r>
      <w:r w:rsidR="00501372">
        <w:rPr>
          <w:lang w:eastAsia="zh-CN"/>
        </w:rPr>
        <w:t>s</w:t>
      </w:r>
      <w:r w:rsidRPr="00F06651">
        <w:rPr>
          <w:lang w:eastAsia="zh-CN"/>
        </w:rPr>
        <w:t xml:space="preserve">ustainable </w:t>
      </w:r>
      <w:r w:rsidR="00501372">
        <w:rPr>
          <w:lang w:eastAsia="zh-CN"/>
        </w:rPr>
        <w:t>c</w:t>
      </w:r>
      <w:r w:rsidRPr="00F06651">
        <w:rPr>
          <w:lang w:eastAsia="zh-CN"/>
        </w:rPr>
        <w:t>ities. Efficient deployment of wireless infrastructure will reduce the transmitted RF power in providing services and support greater efficiency for ICTs.</w:t>
      </w:r>
    </w:p>
    <w:p w14:paraId="0028742E" w14:textId="77777777" w:rsidR="00AA662C" w:rsidRPr="00F06651" w:rsidRDefault="00AA662C" w:rsidP="006F369D">
      <w:pPr>
        <w:rPr>
          <w:rFonts w:eastAsia="Times New Roman"/>
          <w:lang w:eastAsia="zh-CN"/>
        </w:rPr>
      </w:pPr>
      <w:r w:rsidRPr="00F06651">
        <w:rPr>
          <w:rFonts w:eastAsia="Times New Roman"/>
          <w:lang w:eastAsia="zh-CN"/>
        </w:rPr>
        <w:t xml:space="preserve">The design and deployment of wireless networks must also ensure compliance with </w:t>
      </w:r>
      <w:r w:rsidR="00501372">
        <w:rPr>
          <w:rFonts w:eastAsia="Times New Roman"/>
          <w:lang w:eastAsia="zh-CN"/>
        </w:rPr>
        <w:t xml:space="preserve">the </w:t>
      </w:r>
      <w:r w:rsidRPr="00F06651">
        <w:rPr>
          <w:rFonts w:eastAsia="Times New Roman"/>
          <w:lang w:eastAsia="zh-CN"/>
        </w:rPr>
        <w:t xml:space="preserve">required quality of service as well as </w:t>
      </w:r>
      <w:r w:rsidR="00501372">
        <w:rPr>
          <w:rFonts w:eastAsia="Times New Roman"/>
          <w:lang w:eastAsia="zh-CN"/>
        </w:rPr>
        <w:t xml:space="preserve">with </w:t>
      </w:r>
      <w:r w:rsidRPr="00F06651">
        <w:rPr>
          <w:rFonts w:eastAsia="Times New Roman"/>
          <w:lang w:eastAsia="zh-CN"/>
        </w:rPr>
        <w:t>standards and regulations on human exposure to radio frequency (RF) electromagnetic fields.</w:t>
      </w:r>
    </w:p>
    <w:p w14:paraId="2AFDBED0" w14:textId="41847F32" w:rsidR="00AA662C" w:rsidRPr="00F06651" w:rsidRDefault="00AA662C" w:rsidP="006F369D">
      <w:pPr>
        <w:rPr>
          <w:rFonts w:eastAsia="Times New Roman"/>
          <w:lang w:eastAsia="zh-CN"/>
        </w:rPr>
      </w:pPr>
      <w:r w:rsidRPr="00F06651">
        <w:rPr>
          <w:rFonts w:eastAsia="Times New Roman"/>
          <w:lang w:eastAsia="zh-CN"/>
        </w:rPr>
        <w:t>Wireless and wired access technologies are used to support SSC applications such as smart meters</w:t>
      </w:r>
      <w:r w:rsidR="00501372">
        <w:rPr>
          <w:rFonts w:eastAsia="Times New Roman"/>
          <w:lang w:eastAsia="zh-CN"/>
        </w:rPr>
        <w:t>,</w:t>
      </w:r>
      <w:r w:rsidRPr="00F06651">
        <w:rPr>
          <w:rFonts w:eastAsia="Times New Roman"/>
          <w:lang w:eastAsia="zh-CN"/>
        </w:rPr>
        <w:t xml:space="preserve"> remote health care</w:t>
      </w:r>
      <w:r w:rsidR="00501372">
        <w:rPr>
          <w:rFonts w:eastAsia="Times New Roman"/>
          <w:lang w:eastAsia="zh-CN"/>
        </w:rPr>
        <w:t>,</w:t>
      </w:r>
      <w:r w:rsidRPr="00F06651">
        <w:rPr>
          <w:rFonts w:eastAsia="Times New Roman"/>
          <w:lang w:eastAsia="zh-CN"/>
        </w:rPr>
        <w:t xml:space="preserve"> </w:t>
      </w:r>
      <w:r w:rsidR="00501372">
        <w:rPr>
          <w:rFonts w:eastAsia="Times New Roman"/>
          <w:lang w:eastAsia="zh-CN"/>
        </w:rPr>
        <w:t xml:space="preserve">and </w:t>
      </w:r>
      <w:r w:rsidRPr="00F06651">
        <w:rPr>
          <w:rFonts w:eastAsia="Times New Roman"/>
          <w:lang w:eastAsia="zh-CN"/>
        </w:rPr>
        <w:t xml:space="preserve">smart transportation and education. Availability of connectivity is essential to the operation of these services </w:t>
      </w:r>
      <w:r w:rsidR="00501372">
        <w:rPr>
          <w:rFonts w:eastAsia="Times New Roman"/>
          <w:lang w:eastAsia="zh-CN"/>
        </w:rPr>
        <w:t>which</w:t>
      </w:r>
      <w:r w:rsidRPr="00F06651">
        <w:rPr>
          <w:rFonts w:eastAsia="Times New Roman"/>
          <w:lang w:eastAsia="zh-CN"/>
        </w:rPr>
        <w:t xml:space="preserve"> in turn deliver environmental benefits</w:t>
      </w:r>
      <w:r w:rsidR="00501372">
        <w:rPr>
          <w:rFonts w:eastAsia="Times New Roman"/>
          <w:lang w:eastAsia="zh-CN"/>
        </w:rPr>
        <w:t>,</w:t>
      </w:r>
      <w:r w:rsidRPr="00F06651">
        <w:rPr>
          <w:rFonts w:eastAsia="Times New Roman"/>
          <w:lang w:eastAsia="zh-CN"/>
        </w:rPr>
        <w:t xml:space="preserve"> improved quality of life and reductions in operating costs. </w:t>
      </w:r>
    </w:p>
    <w:p w14:paraId="638DEA95" w14:textId="77777777" w:rsidR="00AA662C" w:rsidRPr="00F06651" w:rsidRDefault="00AA662C" w:rsidP="006F369D">
      <w:pPr>
        <w:rPr>
          <w:rFonts w:eastAsia="Times New Roman"/>
          <w:lang w:eastAsia="zh-CN"/>
        </w:rPr>
      </w:pPr>
      <w:r w:rsidRPr="00F06651">
        <w:rPr>
          <w:rFonts w:eastAsia="Times New Roman"/>
          <w:lang w:eastAsia="zh-CN"/>
        </w:rPr>
        <w:t>A range of different wireless technologies are used to support the ICT applications of SSC. The choice of a particular technology is influenced by factors such as range and data rate requirements. Short range wireless technologies include Bluetooth; medium range includes Wi-Fi; and longer range includes mobile technologies such as 2G, 3G and LTE. Each technology will have its own specific requirements in relation to the siting of wireless network infrastructure. However, in all cases shorter operating distances allow for lower powers for both the wireless network and the SSC application.</w:t>
      </w:r>
    </w:p>
    <w:p w14:paraId="566D471F" w14:textId="3EDB406F" w:rsidR="00AA662C" w:rsidRPr="009568BC" w:rsidRDefault="00AA662C" w:rsidP="00A77D4C">
      <w:pPr>
        <w:rPr>
          <w:rFonts w:eastAsiaTheme="minorEastAsia"/>
          <w:lang w:val="en-US" w:eastAsia="zh-CN"/>
        </w:rPr>
      </w:pPr>
      <w:r w:rsidRPr="00F06651">
        <w:rPr>
          <w:rFonts w:eastAsia="Times New Roman"/>
          <w:lang w:eastAsia="zh-CN"/>
        </w:rPr>
        <w:t>In some cases</w:t>
      </w:r>
      <w:r w:rsidR="00501372">
        <w:rPr>
          <w:rFonts w:eastAsia="Times New Roman"/>
          <w:lang w:eastAsia="zh-CN"/>
        </w:rPr>
        <w:t>,</w:t>
      </w:r>
      <w:r w:rsidRPr="00F06651">
        <w:rPr>
          <w:rFonts w:eastAsia="Times New Roman"/>
          <w:lang w:eastAsia="zh-CN"/>
        </w:rPr>
        <w:t xml:space="preserve"> the public may be concerned about possible health risks from exposures to the radio signals. It is important that SSC policies for EMF exposures follow the science</w:t>
      </w:r>
      <w:r w:rsidR="00501372">
        <w:rPr>
          <w:rFonts w:eastAsia="Times New Roman"/>
          <w:lang w:eastAsia="zh-CN"/>
        </w:rPr>
        <w:t>-</w:t>
      </w:r>
      <w:r w:rsidRPr="00F06651">
        <w:rPr>
          <w:rFonts w:eastAsia="Times New Roman"/>
          <w:lang w:eastAsia="zh-CN"/>
        </w:rPr>
        <w:t xml:space="preserve">based recommendations of WHO and ITU. International EMF exposure guidelines have been developed by ICNIRP to protect all persons from all established health risks. It is recommended that national governments base their </w:t>
      </w:r>
      <w:r w:rsidRPr="00F06651">
        <w:rPr>
          <w:rFonts w:eastAsia="Times New Roman"/>
          <w:bCs/>
          <w:kern w:val="36"/>
          <w:lang w:eastAsia="en-AU"/>
        </w:rPr>
        <w:t xml:space="preserve">EMF exposure limits on the ICNIRP exposure guidelines and that SSC adopt the same requirements. </w:t>
      </w:r>
      <w:r w:rsidRPr="00F06651">
        <w:rPr>
          <w:rFonts w:eastAsia="Times New Roman"/>
          <w:lang w:eastAsia="zh-CN"/>
        </w:rPr>
        <w:t>Operators and manufacturers of wireless technologies should ensure compliance with these limit values. ITU and IEC have developed technical standards that can be used for compliance assessments through calculations or measurements</w:t>
      </w:r>
      <w:r w:rsidR="00A77D4C">
        <w:rPr>
          <w:rFonts w:eastAsia="Times New Roman"/>
          <w:lang w:eastAsia="zh-CN"/>
        </w:rPr>
        <w:t xml:space="preserve">. </w:t>
      </w:r>
      <w:r w:rsidR="00A77D4C" w:rsidRPr="00A77D4C">
        <w:rPr>
          <w:rFonts w:eastAsia="Times New Roman"/>
          <w:lang w:eastAsia="zh-CN"/>
        </w:rPr>
        <w:t xml:space="preserve">The compliance assessment policies should follow the ITU-T Recommendations. </w:t>
      </w:r>
      <w:r w:rsidRPr="00F06651">
        <w:rPr>
          <w:rFonts w:eastAsia="Times New Roman"/>
          <w:lang w:eastAsia="zh-CN"/>
        </w:rPr>
        <w:t xml:space="preserve"> </w:t>
      </w:r>
      <w:bookmarkStart w:id="195" w:name="_GoBack"/>
      <w:bookmarkEnd w:id="195"/>
    </w:p>
    <w:p w14:paraId="394E46CE" w14:textId="70DD73B4" w:rsidR="00AA662C" w:rsidRPr="00F06651" w:rsidRDefault="00AA662C" w:rsidP="006F369D">
      <w:pPr>
        <w:rPr>
          <w:lang w:eastAsia="zh-CN"/>
        </w:rPr>
      </w:pPr>
      <w:r w:rsidRPr="00F06651">
        <w:rPr>
          <w:lang w:eastAsia="zh-CN"/>
        </w:rPr>
        <w:t>SSC should adopt standardized antenna permit procedures as this will reduce the administrative burden on both authorities and operators of wireless infrastructure. These permitting procedures should be harmonized nationally to the largest extent possible and specify decision periods</w:t>
      </w:r>
      <w:r w:rsidR="00E11E21">
        <w:rPr>
          <w:lang w:eastAsia="zh-CN"/>
        </w:rPr>
        <w:t>,</w:t>
      </w:r>
      <w:r w:rsidRPr="00F06651">
        <w:rPr>
          <w:lang w:eastAsia="zh-CN"/>
        </w:rPr>
        <w:t xml:space="preserve"> information requirements and include simplified procedures for matters such as installation of small </w:t>
      </w:r>
      <w:r w:rsidRPr="00F06651">
        <w:rPr>
          <w:lang w:eastAsia="zh-CN"/>
        </w:rPr>
        <w:lastRenderedPageBreak/>
        <w:t xml:space="preserve">cells and modifications to existing sites. SSC can also promote </w:t>
      </w:r>
      <w:r w:rsidR="00E11E21">
        <w:rPr>
          <w:lang w:eastAsia="zh-CN"/>
        </w:rPr>
        <w:t xml:space="preserve">an </w:t>
      </w:r>
      <w:r w:rsidRPr="00F06651">
        <w:rPr>
          <w:lang w:eastAsia="zh-CN"/>
        </w:rPr>
        <w:t>efficient deployment by providing access to government building and lands. SSC should avoid policies, such as restrictive RF exposure limits or planning exclusion zones, that increase public concern and that can negatively impact deployment. In regard to community facilities</w:t>
      </w:r>
      <w:r w:rsidR="00E11E21">
        <w:rPr>
          <w:lang w:eastAsia="zh-CN"/>
        </w:rPr>
        <w:t>,</w:t>
      </w:r>
      <w:r w:rsidRPr="00F06651">
        <w:rPr>
          <w:lang w:eastAsia="zh-CN"/>
        </w:rPr>
        <w:t xml:space="preserve"> </w:t>
      </w:r>
      <w:r w:rsidR="00464CD2">
        <w:rPr>
          <w:lang w:eastAsia="zh-CN"/>
        </w:rPr>
        <w:t xml:space="preserve">Recommendation </w:t>
      </w:r>
      <w:r w:rsidRPr="00F06651">
        <w:rPr>
          <w:lang w:eastAsia="zh-CN"/>
        </w:rPr>
        <w:t xml:space="preserve">ITU K.91 </w:t>
      </w:r>
      <w:r w:rsidR="00E11E21">
        <w:rPr>
          <w:lang w:eastAsia="zh-CN"/>
        </w:rPr>
        <w:t>(</w:t>
      </w:r>
      <w:r w:rsidRPr="00F06651">
        <w:rPr>
          <w:lang w:eastAsia="zh-CN"/>
        </w:rPr>
        <w:t>2012</w:t>
      </w:r>
      <w:r w:rsidR="00E11E21">
        <w:rPr>
          <w:lang w:eastAsia="zh-CN"/>
        </w:rPr>
        <w:t>)</w:t>
      </w:r>
      <w:r w:rsidRPr="00F06651">
        <w:rPr>
          <w:lang w:eastAsia="zh-CN"/>
        </w:rPr>
        <w:t xml:space="preserve"> states that with respect to human exposure there are currently no technical requirements for any special consideration when locating base stations close to areas such as hospitals and schools.</w:t>
      </w:r>
    </w:p>
    <w:p w14:paraId="0AFF1ED0" w14:textId="45EDD327" w:rsidR="00AA662C" w:rsidRPr="00F06651" w:rsidRDefault="00AA662C" w:rsidP="006F369D">
      <w:pPr>
        <w:rPr>
          <w:lang w:eastAsia="zh-CN"/>
        </w:rPr>
      </w:pPr>
      <w:r w:rsidRPr="00C31957">
        <w:rPr>
          <w:lang w:eastAsia="zh-CN"/>
        </w:rPr>
        <w:t>Siting rules</w:t>
      </w:r>
      <w:r w:rsidRPr="00F06651">
        <w:rPr>
          <w:lang w:eastAsia="zh-CN"/>
        </w:rPr>
        <w:t xml:space="preserve"> should take into account the physical characteristics of the wireless network equipment. </w:t>
      </w:r>
      <w:r w:rsidR="00C31957">
        <w:rPr>
          <w:lang w:eastAsia="zh-CN"/>
        </w:rPr>
        <w:t>In general</w:t>
      </w:r>
      <w:r w:rsidRPr="00F06651">
        <w:rPr>
          <w:lang w:eastAsia="zh-CN"/>
        </w:rPr>
        <w:t xml:space="preserve">, the requirements needed to obtain approvals increase according to the size of the proposed radio base station. Physical installations of wireless equipment should consider the surrounding environment and aim for visual integration. Whilst reducing </w:t>
      </w:r>
      <w:r w:rsidR="00C31957">
        <w:rPr>
          <w:lang w:eastAsia="zh-CN"/>
        </w:rPr>
        <w:t xml:space="preserve">the </w:t>
      </w:r>
      <w:r w:rsidRPr="00F06651">
        <w:rPr>
          <w:lang w:eastAsia="zh-CN"/>
        </w:rPr>
        <w:t>visual effect is a very important objective</w:t>
      </w:r>
      <w:r w:rsidR="00C31957">
        <w:rPr>
          <w:lang w:eastAsia="zh-CN"/>
        </w:rPr>
        <w:t>,</w:t>
      </w:r>
      <w:r w:rsidRPr="00F06651">
        <w:rPr>
          <w:lang w:eastAsia="zh-CN"/>
        </w:rPr>
        <w:t xml:space="preserve"> other factors may have a substantial bearing on the final outcome. Higher data rate applications may require backhaul data connections by optic</w:t>
      </w:r>
      <w:r w:rsidR="00C31957">
        <w:rPr>
          <w:lang w:eastAsia="zh-CN"/>
        </w:rPr>
        <w:t>al</w:t>
      </w:r>
      <w:r w:rsidRPr="00F06651">
        <w:rPr>
          <w:lang w:eastAsia="zh-CN"/>
        </w:rPr>
        <w:t xml:space="preserve"> fibre</w:t>
      </w:r>
      <w:r w:rsidR="00C31957">
        <w:rPr>
          <w:lang w:eastAsia="zh-CN"/>
        </w:rPr>
        <w:t>s,</w:t>
      </w:r>
      <w:r w:rsidRPr="00F06651">
        <w:rPr>
          <w:lang w:eastAsia="zh-CN"/>
        </w:rPr>
        <w:t xml:space="preserve"> whereas in other cases radio</w:t>
      </w:r>
      <w:r w:rsidR="00C31957">
        <w:rPr>
          <w:lang w:eastAsia="zh-CN"/>
        </w:rPr>
        <w:t xml:space="preserve"> </w:t>
      </w:r>
      <w:r w:rsidRPr="00F06651">
        <w:rPr>
          <w:lang w:eastAsia="zh-CN"/>
        </w:rPr>
        <w:t>links may be sufficient. In all cases</w:t>
      </w:r>
      <w:r w:rsidR="00C31957">
        <w:rPr>
          <w:lang w:eastAsia="zh-CN"/>
        </w:rPr>
        <w:t>,</w:t>
      </w:r>
      <w:r w:rsidRPr="00F06651">
        <w:rPr>
          <w:lang w:eastAsia="zh-CN"/>
        </w:rPr>
        <w:t xml:space="preserve"> power and access for maintenance are critical considerations in wireless equipment siting. The position of antennas should also take </w:t>
      </w:r>
      <w:r w:rsidR="00C31957">
        <w:rPr>
          <w:lang w:eastAsia="zh-CN"/>
        </w:rPr>
        <w:t xml:space="preserve">into </w:t>
      </w:r>
      <w:r w:rsidRPr="00F06651">
        <w:rPr>
          <w:lang w:eastAsia="zh-CN"/>
        </w:rPr>
        <w:t>account the orientation and size of EMF compliance zones. Appropriate signage can be used to inform persons accessing areas near to antennas of safe working procedures.</w:t>
      </w:r>
    </w:p>
    <w:p w14:paraId="784DBA18" w14:textId="77777777" w:rsidR="00AA662C" w:rsidRPr="00F06651" w:rsidRDefault="00AA662C" w:rsidP="006F369D">
      <w:pPr>
        <w:rPr>
          <w:lang w:eastAsia="zh-CN"/>
        </w:rPr>
      </w:pPr>
      <w:r w:rsidRPr="00F06651">
        <w:rPr>
          <w:lang w:eastAsia="zh-CN"/>
        </w:rPr>
        <w:t xml:space="preserve">SSC officials, ICT industry and other stakeholders should base communications on reliable sources such as </w:t>
      </w:r>
      <w:r w:rsidR="004F58C4">
        <w:rPr>
          <w:lang w:eastAsia="zh-CN"/>
        </w:rPr>
        <w:t xml:space="preserve">the </w:t>
      </w:r>
      <w:r w:rsidRPr="00F06651">
        <w:rPr>
          <w:lang w:eastAsia="zh-CN"/>
        </w:rPr>
        <w:t>ITU and WHO publications. Good risk communication practice and community engagement can reduce public concerns about EMF. Specific groups, such as workers that service or work with wireless ICT devices and equipment, may require EMF safety training.</w:t>
      </w:r>
    </w:p>
    <w:p w14:paraId="58E9352F" w14:textId="4FCA5230" w:rsidR="00AA662C" w:rsidRPr="00F06651" w:rsidRDefault="00AA662C" w:rsidP="006F369D">
      <w:pPr>
        <w:rPr>
          <w:lang w:eastAsia="zh-CN"/>
        </w:rPr>
      </w:pPr>
      <w:r w:rsidRPr="00F06651">
        <w:rPr>
          <w:lang w:eastAsia="zh-CN"/>
        </w:rPr>
        <w:t>Having acknowledged the importance of good practices in the deployment of wireless ICT technologies and services for the efficient operation of SSC the ‘Smart Sustainability City EMF Check</w:t>
      </w:r>
      <w:r w:rsidR="00D47DC8">
        <w:rPr>
          <w:lang w:eastAsia="zh-CN"/>
        </w:rPr>
        <w:t>-</w:t>
      </w:r>
      <w:r w:rsidRPr="00F06651">
        <w:rPr>
          <w:lang w:eastAsia="zh-CN"/>
        </w:rPr>
        <w:t>list’ (Annex 1) has been developed as a guide for policy and decision</w:t>
      </w:r>
      <w:r w:rsidR="004F58C4">
        <w:rPr>
          <w:lang w:eastAsia="zh-CN"/>
        </w:rPr>
        <w:t>-</w:t>
      </w:r>
      <w:r w:rsidRPr="00F06651">
        <w:rPr>
          <w:lang w:eastAsia="zh-CN"/>
        </w:rPr>
        <w:t>makers. It is recommended that city officials and planners apply the ‘Smart Sustainability City EMF Check</w:t>
      </w:r>
      <w:r w:rsidR="00D47DC8">
        <w:rPr>
          <w:lang w:eastAsia="zh-CN"/>
        </w:rPr>
        <w:t>-</w:t>
      </w:r>
      <w:r w:rsidRPr="00F06651">
        <w:rPr>
          <w:lang w:eastAsia="zh-CN"/>
        </w:rPr>
        <w:t xml:space="preserve">list’ to ensure that SSC wireless ICT operates efficiently, and in compliance with EMF exposure standards. </w:t>
      </w:r>
    </w:p>
    <w:p w14:paraId="05AA3FB1" w14:textId="77777777" w:rsidR="00AA662C" w:rsidRPr="00F06651" w:rsidRDefault="00AA662C" w:rsidP="00AA662C">
      <w:pPr>
        <w:spacing w:after="200" w:line="276" w:lineRule="auto"/>
        <w:rPr>
          <w:rFonts w:eastAsia="SimSun"/>
          <w:szCs w:val="24"/>
          <w:lang w:eastAsia="zh-CN"/>
        </w:rPr>
      </w:pPr>
    </w:p>
    <w:p w14:paraId="6F5A2730" w14:textId="77777777" w:rsidR="00AA662C" w:rsidRPr="00F06651" w:rsidRDefault="00AA662C" w:rsidP="00AA662C">
      <w:pPr>
        <w:tabs>
          <w:tab w:val="clear" w:pos="794"/>
          <w:tab w:val="clear" w:pos="1191"/>
          <w:tab w:val="clear" w:pos="1588"/>
          <w:tab w:val="clear" w:pos="1985"/>
        </w:tabs>
        <w:overflowPunct/>
        <w:autoSpaceDE/>
        <w:autoSpaceDN/>
        <w:adjustRightInd/>
        <w:spacing w:before="0" w:after="200" w:line="276" w:lineRule="auto"/>
        <w:textAlignment w:val="auto"/>
        <w:rPr>
          <w:rFonts w:eastAsia="SimSun"/>
          <w:szCs w:val="24"/>
          <w:lang w:eastAsia="zh-CN"/>
        </w:rPr>
      </w:pPr>
      <w:r w:rsidRPr="00F06651">
        <w:rPr>
          <w:rFonts w:eastAsia="SimSun"/>
          <w:szCs w:val="24"/>
          <w:lang w:eastAsia="zh-CN"/>
        </w:rPr>
        <w:br w:type="page"/>
      </w:r>
    </w:p>
    <w:p w14:paraId="709E5DFC" w14:textId="77777777" w:rsidR="00AA662C" w:rsidRDefault="00AA662C" w:rsidP="00AB3A5D">
      <w:pPr>
        <w:pStyle w:val="AnnexNoTitle"/>
      </w:pPr>
      <w:bookmarkStart w:id="196" w:name="_Toc397945087"/>
      <w:bookmarkStart w:id="197" w:name="_Toc400020905"/>
      <w:bookmarkStart w:id="198" w:name="_Toc400106173"/>
      <w:r w:rsidRPr="00F06651">
        <w:lastRenderedPageBreak/>
        <w:t>Bibliography</w:t>
      </w:r>
      <w:bookmarkEnd w:id="196"/>
      <w:bookmarkEnd w:id="197"/>
      <w:bookmarkEnd w:id="198"/>
    </w:p>
    <w:p w14:paraId="06888F00" w14:textId="77777777" w:rsidR="00AB3A5D" w:rsidRPr="00AB3A5D" w:rsidRDefault="00AB3A5D" w:rsidP="00AB3A5D"/>
    <w:p w14:paraId="3FE2AF9E" w14:textId="77777777" w:rsidR="00F969C3" w:rsidRDefault="00F969C3" w:rsidP="00AB3A5D">
      <w:pPr>
        <w:pStyle w:val="Reftext"/>
        <w:rPr>
          <w:lang w:eastAsia="zh-CN"/>
        </w:rPr>
      </w:pPr>
      <w:r>
        <w:rPr>
          <w:lang w:eastAsia="zh-CN"/>
        </w:rPr>
        <w:t>3 GPP TS 25.104</w:t>
      </w:r>
    </w:p>
    <w:p w14:paraId="76781836" w14:textId="77777777" w:rsidR="00F969C3" w:rsidRDefault="00F969C3" w:rsidP="00AB3A5D">
      <w:pPr>
        <w:pStyle w:val="Reftext"/>
        <w:rPr>
          <w:lang w:eastAsia="zh-CN"/>
        </w:rPr>
      </w:pPr>
      <w:r>
        <w:rPr>
          <w:lang w:eastAsia="zh-CN"/>
        </w:rPr>
        <w:t>3 GP TS 36 104</w:t>
      </w:r>
    </w:p>
    <w:p w14:paraId="7845CB52" w14:textId="6F5758DB" w:rsidR="00AA662C" w:rsidRPr="00F06651" w:rsidRDefault="00AA662C" w:rsidP="00AB3A5D">
      <w:pPr>
        <w:pStyle w:val="Reftext"/>
        <w:rPr>
          <w:lang w:eastAsia="zh-CN"/>
        </w:rPr>
      </w:pPr>
      <w:r w:rsidRPr="00F06651">
        <w:rPr>
          <w:lang w:eastAsia="zh-CN"/>
        </w:rPr>
        <w:t>B</w:t>
      </w:r>
      <w:r w:rsidR="008263B5" w:rsidRPr="00F06651">
        <w:rPr>
          <w:lang w:eastAsia="zh-CN"/>
        </w:rPr>
        <w:t>ornkessel</w:t>
      </w:r>
      <w:r w:rsidRPr="00F06651">
        <w:rPr>
          <w:lang w:eastAsia="zh-CN"/>
        </w:rPr>
        <w:t>, C., S</w:t>
      </w:r>
      <w:r w:rsidR="008263B5" w:rsidRPr="00F06651">
        <w:rPr>
          <w:lang w:eastAsia="zh-CN"/>
        </w:rPr>
        <w:t>chubert</w:t>
      </w:r>
      <w:r w:rsidRPr="00F06651">
        <w:rPr>
          <w:lang w:eastAsia="zh-CN"/>
        </w:rPr>
        <w:t>, M</w:t>
      </w:r>
      <w:r w:rsidR="008263B5">
        <w:rPr>
          <w:lang w:eastAsia="zh-CN"/>
        </w:rPr>
        <w:t>.</w:t>
      </w:r>
      <w:r w:rsidRPr="00F06651">
        <w:rPr>
          <w:lang w:eastAsia="zh-CN"/>
        </w:rPr>
        <w:t>, W</w:t>
      </w:r>
      <w:r w:rsidR="008263B5" w:rsidRPr="00F06651">
        <w:rPr>
          <w:lang w:eastAsia="zh-CN"/>
        </w:rPr>
        <w:t>uschek</w:t>
      </w:r>
      <w:r w:rsidRPr="00F06651">
        <w:rPr>
          <w:lang w:eastAsia="zh-CN"/>
        </w:rPr>
        <w:t xml:space="preserve">, M., </w:t>
      </w:r>
      <w:r w:rsidR="007B06A3">
        <w:rPr>
          <w:lang w:eastAsia="zh-CN"/>
        </w:rPr>
        <w:t xml:space="preserve">and </w:t>
      </w:r>
      <w:r w:rsidRPr="00F06651">
        <w:rPr>
          <w:lang w:eastAsia="zh-CN"/>
        </w:rPr>
        <w:t>S</w:t>
      </w:r>
      <w:r w:rsidR="008263B5" w:rsidRPr="00F06651">
        <w:rPr>
          <w:lang w:eastAsia="zh-CN"/>
        </w:rPr>
        <w:t>chmidt</w:t>
      </w:r>
      <w:r w:rsidRPr="00F06651">
        <w:rPr>
          <w:lang w:eastAsia="zh-CN"/>
        </w:rPr>
        <w:t xml:space="preserve">, P. </w:t>
      </w:r>
      <w:r w:rsidR="0025425E">
        <w:rPr>
          <w:lang w:eastAsia="zh-CN"/>
        </w:rPr>
        <w:t>(</w:t>
      </w:r>
      <w:r w:rsidR="008263B5">
        <w:rPr>
          <w:lang w:eastAsia="zh-CN"/>
        </w:rPr>
        <w:t xml:space="preserve">2007), </w:t>
      </w:r>
      <w:r w:rsidR="000E4A5B" w:rsidRPr="002E4045">
        <w:rPr>
          <w:i/>
          <w:iCs/>
          <w:lang w:eastAsia="zh-CN"/>
        </w:rPr>
        <w:t xml:space="preserve">Determination of the General Public Exposure around GSM and UMTS Base Stations, </w:t>
      </w:r>
      <w:r w:rsidR="000E4A5B" w:rsidRPr="002E4045">
        <w:rPr>
          <w:lang w:eastAsia="zh-CN"/>
        </w:rPr>
        <w:t>Radiation Protection</w:t>
      </w:r>
      <w:r w:rsidRPr="00F06651">
        <w:rPr>
          <w:lang w:eastAsia="zh-CN"/>
        </w:rPr>
        <w:t xml:space="preserve"> </w:t>
      </w:r>
      <w:r w:rsidR="000E4A5B" w:rsidRPr="002E4045">
        <w:rPr>
          <w:lang w:eastAsia="zh-CN"/>
        </w:rPr>
        <w:t>Dosimetry</w:t>
      </w:r>
      <w:r w:rsidRPr="00F06651">
        <w:rPr>
          <w:lang w:eastAsia="zh-CN"/>
        </w:rPr>
        <w:t xml:space="preserve">, Vol. 124, No. 1, </w:t>
      </w:r>
      <w:r w:rsidR="0025425E">
        <w:rPr>
          <w:lang w:eastAsia="zh-CN"/>
        </w:rPr>
        <w:t xml:space="preserve">1 March, </w:t>
      </w:r>
      <w:r w:rsidRPr="00F06651">
        <w:rPr>
          <w:lang w:eastAsia="zh-CN"/>
        </w:rPr>
        <w:t>pp. 40-47.</w:t>
      </w:r>
    </w:p>
    <w:p w14:paraId="289604CC" w14:textId="1EE704DA" w:rsidR="00AA662C" w:rsidRPr="00F06651" w:rsidRDefault="00AA662C" w:rsidP="00AB3A5D">
      <w:pPr>
        <w:pStyle w:val="Reftext"/>
        <w:rPr>
          <w:bCs/>
          <w:kern w:val="36"/>
          <w:lang w:eastAsia="en-AU"/>
        </w:rPr>
      </w:pPr>
      <w:r w:rsidRPr="00F06651">
        <w:rPr>
          <w:bCs/>
          <w:kern w:val="36"/>
          <w:lang w:eastAsia="en-AU"/>
        </w:rPr>
        <w:t>B</w:t>
      </w:r>
      <w:r w:rsidR="007B06A3" w:rsidRPr="00F06651">
        <w:rPr>
          <w:bCs/>
          <w:kern w:val="36"/>
          <w:lang w:eastAsia="en-AU"/>
        </w:rPr>
        <w:t>oursianis</w:t>
      </w:r>
      <w:r w:rsidRPr="00F06651">
        <w:rPr>
          <w:bCs/>
          <w:kern w:val="36"/>
          <w:lang w:eastAsia="en-AU"/>
        </w:rPr>
        <w:t>, A., V</w:t>
      </w:r>
      <w:r w:rsidR="000E4A5B" w:rsidRPr="002E4045">
        <w:rPr>
          <w:bCs/>
          <w:kern w:val="36"/>
          <w:lang w:eastAsia="en-AU"/>
        </w:rPr>
        <w:t>anias</w:t>
      </w:r>
      <w:r w:rsidRPr="00F06651">
        <w:rPr>
          <w:bCs/>
          <w:kern w:val="36"/>
          <w:lang w:eastAsia="en-AU"/>
        </w:rPr>
        <w:t xml:space="preserve">, P., </w:t>
      </w:r>
      <w:r w:rsidR="007B06A3">
        <w:rPr>
          <w:bCs/>
          <w:kern w:val="36"/>
          <w:lang w:eastAsia="en-AU"/>
        </w:rPr>
        <w:t xml:space="preserve">and </w:t>
      </w:r>
      <w:r w:rsidRPr="00F06651">
        <w:rPr>
          <w:bCs/>
          <w:kern w:val="36"/>
          <w:lang w:eastAsia="en-AU"/>
        </w:rPr>
        <w:t>S</w:t>
      </w:r>
      <w:r w:rsidR="007B06A3" w:rsidRPr="00F06651">
        <w:rPr>
          <w:bCs/>
          <w:kern w:val="36"/>
          <w:lang w:eastAsia="en-AU"/>
        </w:rPr>
        <w:t>amaras</w:t>
      </w:r>
      <w:r w:rsidRPr="00F06651">
        <w:rPr>
          <w:bCs/>
          <w:kern w:val="36"/>
          <w:lang w:eastAsia="en-AU"/>
        </w:rPr>
        <w:t>, T.</w:t>
      </w:r>
      <w:r w:rsidR="007B06A3">
        <w:rPr>
          <w:bCs/>
          <w:kern w:val="36"/>
          <w:lang w:eastAsia="en-AU"/>
        </w:rPr>
        <w:t xml:space="preserve"> (2012),</w:t>
      </w:r>
      <w:r w:rsidRPr="00F06651">
        <w:rPr>
          <w:bCs/>
          <w:kern w:val="36"/>
          <w:lang w:eastAsia="en-AU"/>
        </w:rPr>
        <w:t xml:space="preserve"> </w:t>
      </w:r>
      <w:r w:rsidR="000E4A5B" w:rsidRPr="002E4045">
        <w:rPr>
          <w:bCs/>
          <w:i/>
          <w:iCs/>
          <w:kern w:val="36"/>
          <w:lang w:eastAsia="en-AU"/>
        </w:rPr>
        <w:t>Measurements for Assessing the Exposure from 3G Femtocells, Radiation Protection Dosimetry</w:t>
      </w:r>
      <w:r w:rsidRPr="00F06651">
        <w:rPr>
          <w:bCs/>
          <w:kern w:val="36"/>
          <w:lang w:eastAsia="en-AU"/>
        </w:rPr>
        <w:t>, Vol. 150,</w:t>
      </w:r>
      <w:r w:rsidR="00AB3A5D">
        <w:rPr>
          <w:bCs/>
          <w:kern w:val="36"/>
          <w:lang w:eastAsia="en-AU"/>
        </w:rPr>
        <w:t xml:space="preserve"> No. 2, </w:t>
      </w:r>
      <w:r w:rsidR="0025425E">
        <w:rPr>
          <w:bCs/>
          <w:kern w:val="36"/>
          <w:lang w:eastAsia="en-AU"/>
        </w:rPr>
        <w:t xml:space="preserve">June, </w:t>
      </w:r>
      <w:r w:rsidR="00AB3A5D">
        <w:rPr>
          <w:bCs/>
          <w:kern w:val="36"/>
          <w:lang w:eastAsia="en-AU"/>
        </w:rPr>
        <w:t>pp. 158-167.</w:t>
      </w:r>
    </w:p>
    <w:p w14:paraId="1E42D144" w14:textId="4376E261" w:rsidR="00AA662C" w:rsidRPr="00F06651" w:rsidRDefault="00AA662C" w:rsidP="00AB3A5D">
      <w:pPr>
        <w:pStyle w:val="Reftext"/>
        <w:rPr>
          <w:bCs/>
          <w:kern w:val="36"/>
          <w:lang w:eastAsia="en-AU"/>
        </w:rPr>
      </w:pPr>
      <w:r w:rsidRPr="00F06651">
        <w:rPr>
          <w:bCs/>
          <w:kern w:val="36"/>
          <w:lang w:eastAsia="en-AU"/>
        </w:rPr>
        <w:t>B</w:t>
      </w:r>
      <w:r w:rsidR="007B06A3" w:rsidRPr="00F06651">
        <w:rPr>
          <w:bCs/>
          <w:kern w:val="36"/>
          <w:lang w:eastAsia="en-AU"/>
        </w:rPr>
        <w:t>urgess</w:t>
      </w:r>
      <w:r w:rsidRPr="00F06651">
        <w:rPr>
          <w:bCs/>
          <w:kern w:val="36"/>
          <w:lang w:eastAsia="en-AU"/>
        </w:rPr>
        <w:t xml:space="preserve"> A.</w:t>
      </w:r>
      <w:r w:rsidR="007B06A3">
        <w:rPr>
          <w:bCs/>
          <w:kern w:val="36"/>
          <w:lang w:eastAsia="en-AU"/>
        </w:rPr>
        <w:t xml:space="preserve"> (2004),</w:t>
      </w:r>
      <w:r w:rsidRPr="00F06651">
        <w:rPr>
          <w:bCs/>
          <w:kern w:val="36"/>
          <w:lang w:eastAsia="en-AU"/>
        </w:rPr>
        <w:t xml:space="preserve"> </w:t>
      </w:r>
      <w:r w:rsidR="000E4A5B" w:rsidRPr="002E4045">
        <w:rPr>
          <w:bCs/>
          <w:i/>
          <w:iCs/>
          <w:kern w:val="36"/>
          <w:lang w:eastAsia="en-AU"/>
        </w:rPr>
        <w:t>Cellular Phones, Public Fears and a Culture of Precaution</w:t>
      </w:r>
      <w:r w:rsidRPr="00F06651">
        <w:rPr>
          <w:bCs/>
          <w:kern w:val="36"/>
          <w:lang w:eastAsia="en-AU"/>
        </w:rPr>
        <w:t xml:space="preserve">, </w:t>
      </w:r>
      <w:r w:rsidR="000E4A5B" w:rsidRPr="002E4045">
        <w:rPr>
          <w:bCs/>
          <w:iCs/>
          <w:kern w:val="36"/>
          <w:lang w:eastAsia="en-AU"/>
        </w:rPr>
        <w:t>Cambridge:</w:t>
      </w:r>
      <w:r w:rsidRPr="00F06651">
        <w:rPr>
          <w:bCs/>
          <w:i/>
          <w:kern w:val="36"/>
          <w:lang w:eastAsia="en-AU"/>
        </w:rPr>
        <w:t xml:space="preserve"> </w:t>
      </w:r>
      <w:r w:rsidR="000E4A5B" w:rsidRPr="002E4045">
        <w:rPr>
          <w:bCs/>
          <w:iCs/>
          <w:kern w:val="36"/>
          <w:lang w:eastAsia="en-AU"/>
        </w:rPr>
        <w:t>Cambridge University Press</w:t>
      </w:r>
      <w:r w:rsidRPr="00F06651">
        <w:rPr>
          <w:bCs/>
          <w:kern w:val="36"/>
          <w:lang w:eastAsia="en-AU"/>
        </w:rPr>
        <w:t>.</w:t>
      </w:r>
    </w:p>
    <w:p w14:paraId="0462D84D" w14:textId="4CE9D774" w:rsidR="001E426F" w:rsidRDefault="00C42E0C">
      <w:pPr>
        <w:pStyle w:val="Reftext"/>
        <w:rPr>
          <w:bCs/>
          <w:kern w:val="36"/>
          <w:lang w:eastAsia="en-AU"/>
        </w:rPr>
      </w:pPr>
      <w:r w:rsidRPr="00F06651">
        <w:rPr>
          <w:bCs/>
          <w:kern w:val="36"/>
          <w:lang w:eastAsia="en-AU"/>
        </w:rPr>
        <w:t>C</w:t>
      </w:r>
      <w:r w:rsidR="007B06A3" w:rsidRPr="00F06651">
        <w:rPr>
          <w:bCs/>
          <w:kern w:val="36"/>
          <w:lang w:eastAsia="en-AU"/>
        </w:rPr>
        <w:t>alcagnini</w:t>
      </w:r>
      <w:r w:rsidRPr="00F06651">
        <w:rPr>
          <w:bCs/>
          <w:kern w:val="36"/>
          <w:lang w:eastAsia="en-AU"/>
        </w:rPr>
        <w:t xml:space="preserve"> </w:t>
      </w:r>
      <w:r w:rsidR="000E4A5B" w:rsidRPr="002E4045">
        <w:rPr>
          <w:bCs/>
          <w:i/>
          <w:iCs/>
          <w:kern w:val="36"/>
          <w:lang w:eastAsia="en-AU"/>
        </w:rPr>
        <w:t>et al</w:t>
      </w:r>
      <w:r w:rsidRPr="00F06651">
        <w:rPr>
          <w:bCs/>
          <w:kern w:val="36"/>
          <w:lang w:eastAsia="en-AU"/>
        </w:rPr>
        <w:t>.</w:t>
      </w:r>
      <w:r w:rsidR="00AA662C" w:rsidRPr="00F06651">
        <w:rPr>
          <w:bCs/>
          <w:kern w:val="36"/>
          <w:lang w:eastAsia="en-AU"/>
        </w:rPr>
        <w:t xml:space="preserve">, </w:t>
      </w:r>
      <w:r w:rsidR="000E4A5B" w:rsidRPr="002E4045">
        <w:rPr>
          <w:bCs/>
          <w:i/>
          <w:iCs/>
          <w:kern w:val="36"/>
          <w:lang w:eastAsia="en-AU"/>
        </w:rPr>
        <w:t>Electromagnetic Compatibility of WLAN Adapters with Life-Supporting Medical</w:t>
      </w:r>
      <w:r w:rsidR="00AA662C" w:rsidRPr="00F06651">
        <w:rPr>
          <w:bCs/>
          <w:kern w:val="36"/>
          <w:lang w:eastAsia="en-AU"/>
        </w:rPr>
        <w:t xml:space="preserve"> </w:t>
      </w:r>
      <w:r w:rsidR="000E4A5B" w:rsidRPr="002E4045">
        <w:rPr>
          <w:bCs/>
          <w:i/>
          <w:iCs/>
          <w:kern w:val="36"/>
          <w:lang w:eastAsia="en-AU"/>
        </w:rPr>
        <w:t>Devices</w:t>
      </w:r>
      <w:r w:rsidR="0025425E">
        <w:rPr>
          <w:bCs/>
          <w:kern w:val="36"/>
          <w:lang w:eastAsia="en-AU"/>
        </w:rPr>
        <w:t xml:space="preserve"> (</w:t>
      </w:r>
      <w:r w:rsidR="007B06A3" w:rsidRPr="00F06651">
        <w:rPr>
          <w:bCs/>
          <w:kern w:val="36"/>
          <w:lang w:eastAsia="en-AU"/>
        </w:rPr>
        <w:t>2011</w:t>
      </w:r>
      <w:r w:rsidR="0025425E">
        <w:rPr>
          <w:bCs/>
          <w:kern w:val="36"/>
          <w:lang w:eastAsia="en-AU"/>
        </w:rPr>
        <w:t>)</w:t>
      </w:r>
      <w:r w:rsidR="007B06A3">
        <w:rPr>
          <w:bCs/>
          <w:kern w:val="36"/>
          <w:lang w:eastAsia="en-AU"/>
        </w:rPr>
        <w:t xml:space="preserve">, </w:t>
      </w:r>
      <w:r w:rsidR="00AA662C" w:rsidRPr="00F06651">
        <w:rPr>
          <w:bCs/>
          <w:kern w:val="36"/>
          <w:lang w:eastAsia="en-AU"/>
        </w:rPr>
        <w:t>Health Physics, 100</w:t>
      </w:r>
      <w:r w:rsidR="007B06A3">
        <w:rPr>
          <w:bCs/>
          <w:kern w:val="36"/>
          <w:lang w:eastAsia="en-AU"/>
        </w:rPr>
        <w:t xml:space="preserve"> </w:t>
      </w:r>
      <w:r w:rsidR="00AA662C" w:rsidRPr="00F06651">
        <w:rPr>
          <w:bCs/>
          <w:kern w:val="36"/>
          <w:lang w:eastAsia="en-AU"/>
        </w:rPr>
        <w:t>(5):</w:t>
      </w:r>
      <w:r w:rsidR="00121075">
        <w:rPr>
          <w:bCs/>
          <w:kern w:val="36"/>
          <w:lang w:eastAsia="en-AU"/>
        </w:rPr>
        <w:t xml:space="preserve"> May, </w:t>
      </w:r>
      <w:r w:rsidR="00AA662C" w:rsidRPr="00F06651">
        <w:rPr>
          <w:bCs/>
          <w:kern w:val="36"/>
          <w:lang w:eastAsia="en-AU"/>
        </w:rPr>
        <w:t>497-501,</w:t>
      </w:r>
    </w:p>
    <w:p w14:paraId="5F10B718" w14:textId="08CACBD5" w:rsidR="00AA662C" w:rsidRPr="00F06651" w:rsidRDefault="00AA662C" w:rsidP="00AB3A5D">
      <w:pPr>
        <w:pStyle w:val="Reftext"/>
        <w:rPr>
          <w:bCs/>
          <w:kern w:val="36"/>
          <w:lang w:eastAsia="en-AU"/>
        </w:rPr>
      </w:pPr>
      <w:r w:rsidRPr="00F06651">
        <w:rPr>
          <w:bCs/>
          <w:kern w:val="36"/>
          <w:lang w:eastAsia="en-AU"/>
        </w:rPr>
        <w:t>C</w:t>
      </w:r>
      <w:r w:rsidR="007B06A3" w:rsidRPr="00F06651">
        <w:rPr>
          <w:bCs/>
          <w:kern w:val="36"/>
          <w:lang w:eastAsia="en-AU"/>
        </w:rPr>
        <w:t>hapman</w:t>
      </w:r>
      <w:r w:rsidRPr="00F06651">
        <w:rPr>
          <w:bCs/>
          <w:kern w:val="36"/>
          <w:lang w:eastAsia="en-AU"/>
        </w:rPr>
        <w:t xml:space="preserve">, S., </w:t>
      </w:r>
      <w:r w:rsidR="007B06A3">
        <w:rPr>
          <w:bCs/>
          <w:kern w:val="36"/>
          <w:lang w:eastAsia="en-AU"/>
        </w:rPr>
        <w:t xml:space="preserve">and </w:t>
      </w:r>
      <w:r w:rsidRPr="00F06651">
        <w:rPr>
          <w:bCs/>
          <w:kern w:val="36"/>
          <w:lang w:eastAsia="en-AU"/>
        </w:rPr>
        <w:t>S</w:t>
      </w:r>
      <w:r w:rsidR="007B06A3" w:rsidRPr="00F06651">
        <w:rPr>
          <w:bCs/>
          <w:kern w:val="36"/>
          <w:lang w:eastAsia="en-AU"/>
        </w:rPr>
        <w:t>chofield</w:t>
      </w:r>
      <w:r w:rsidRPr="00F06651">
        <w:rPr>
          <w:bCs/>
          <w:kern w:val="36"/>
          <w:lang w:eastAsia="en-AU"/>
        </w:rPr>
        <w:t xml:space="preserve">, W.N. </w:t>
      </w:r>
      <w:r w:rsidR="0025425E">
        <w:rPr>
          <w:bCs/>
          <w:kern w:val="36"/>
          <w:lang w:eastAsia="en-AU"/>
        </w:rPr>
        <w:t>(</w:t>
      </w:r>
      <w:r w:rsidR="007B06A3">
        <w:rPr>
          <w:bCs/>
          <w:kern w:val="36"/>
          <w:lang w:eastAsia="en-AU"/>
        </w:rPr>
        <w:t xml:space="preserve">1998), </w:t>
      </w:r>
      <w:r w:rsidR="000E4A5B" w:rsidRPr="002E4045">
        <w:rPr>
          <w:bCs/>
          <w:i/>
          <w:iCs/>
          <w:kern w:val="36"/>
          <w:lang w:eastAsia="en-AU"/>
        </w:rPr>
        <w:t>Lifesavers and Samaritans: Emergency Use of Cellular (Mobile) Phones in Australia, Accident Analysis &amp; Prevention</w:t>
      </w:r>
      <w:r w:rsidRPr="00F06651">
        <w:rPr>
          <w:bCs/>
          <w:kern w:val="36"/>
          <w:lang w:eastAsia="en-AU"/>
        </w:rPr>
        <w:t>, Vol. 30, No.</w:t>
      </w:r>
      <w:r w:rsidR="00AB3A5D">
        <w:rPr>
          <w:bCs/>
          <w:kern w:val="36"/>
          <w:lang w:eastAsia="en-AU"/>
        </w:rPr>
        <w:t> </w:t>
      </w:r>
      <w:r w:rsidRPr="00F06651">
        <w:rPr>
          <w:bCs/>
          <w:kern w:val="36"/>
          <w:lang w:eastAsia="en-AU"/>
        </w:rPr>
        <w:t xml:space="preserve">6, </w:t>
      </w:r>
      <w:r w:rsidR="0025425E">
        <w:rPr>
          <w:bCs/>
          <w:kern w:val="36"/>
          <w:lang w:eastAsia="en-AU"/>
        </w:rPr>
        <w:t xml:space="preserve">November, </w:t>
      </w:r>
      <w:r w:rsidRPr="00F06651">
        <w:rPr>
          <w:bCs/>
          <w:kern w:val="36"/>
          <w:lang w:eastAsia="en-AU"/>
        </w:rPr>
        <w:t>pp. 815-819.</w:t>
      </w:r>
    </w:p>
    <w:p w14:paraId="1F4D0B9B" w14:textId="509688ED" w:rsidR="001E426F" w:rsidRDefault="00AA662C" w:rsidP="002E4045">
      <w:pPr>
        <w:pStyle w:val="Reftext"/>
        <w:spacing w:before="0"/>
        <w:rPr>
          <w:bCs/>
          <w:kern w:val="36"/>
          <w:lang w:eastAsia="en-AU"/>
        </w:rPr>
      </w:pPr>
      <w:r w:rsidRPr="00F06651">
        <w:rPr>
          <w:bCs/>
          <w:kern w:val="36"/>
          <w:lang w:eastAsia="en-AU"/>
        </w:rPr>
        <w:t>C</w:t>
      </w:r>
      <w:r w:rsidR="007B06A3" w:rsidRPr="00F06651">
        <w:rPr>
          <w:bCs/>
          <w:kern w:val="36"/>
          <w:lang w:eastAsia="en-AU"/>
        </w:rPr>
        <w:t>ooper</w:t>
      </w:r>
      <w:r w:rsidRPr="00F06651">
        <w:rPr>
          <w:bCs/>
          <w:kern w:val="36"/>
          <w:lang w:eastAsia="en-AU"/>
        </w:rPr>
        <w:t>, T.G., M</w:t>
      </w:r>
      <w:r w:rsidR="007B06A3" w:rsidRPr="00F06651">
        <w:rPr>
          <w:bCs/>
          <w:kern w:val="36"/>
          <w:lang w:eastAsia="en-AU"/>
        </w:rPr>
        <w:t>ann</w:t>
      </w:r>
      <w:r w:rsidRPr="00F06651">
        <w:rPr>
          <w:bCs/>
          <w:kern w:val="36"/>
          <w:lang w:eastAsia="en-AU"/>
        </w:rPr>
        <w:t>, S.M., K</w:t>
      </w:r>
      <w:r w:rsidR="007B06A3" w:rsidRPr="00F06651">
        <w:rPr>
          <w:bCs/>
          <w:kern w:val="36"/>
          <w:lang w:eastAsia="en-AU"/>
        </w:rPr>
        <w:t>halid</w:t>
      </w:r>
      <w:r w:rsidRPr="00F06651">
        <w:rPr>
          <w:bCs/>
          <w:kern w:val="36"/>
          <w:lang w:eastAsia="en-AU"/>
        </w:rPr>
        <w:t xml:space="preserve">, M., </w:t>
      </w:r>
      <w:r w:rsidR="007B06A3">
        <w:rPr>
          <w:bCs/>
          <w:kern w:val="36"/>
          <w:lang w:eastAsia="en-AU"/>
        </w:rPr>
        <w:t xml:space="preserve">and </w:t>
      </w:r>
      <w:r w:rsidRPr="00F06651">
        <w:rPr>
          <w:bCs/>
          <w:kern w:val="36"/>
          <w:lang w:eastAsia="en-AU"/>
        </w:rPr>
        <w:t>B</w:t>
      </w:r>
      <w:r w:rsidR="007B06A3" w:rsidRPr="00F06651">
        <w:rPr>
          <w:bCs/>
          <w:kern w:val="36"/>
          <w:lang w:eastAsia="en-AU"/>
        </w:rPr>
        <w:t>lackwell</w:t>
      </w:r>
      <w:r w:rsidRPr="00F06651">
        <w:rPr>
          <w:bCs/>
          <w:kern w:val="36"/>
          <w:lang w:eastAsia="en-AU"/>
        </w:rPr>
        <w:t xml:space="preserve">, R.P. </w:t>
      </w:r>
      <w:r w:rsidR="007B06A3">
        <w:rPr>
          <w:bCs/>
          <w:kern w:val="36"/>
          <w:lang w:eastAsia="en-AU"/>
        </w:rPr>
        <w:t xml:space="preserve">(2006), </w:t>
      </w:r>
      <w:r w:rsidR="000E4A5B" w:rsidRPr="002E4045">
        <w:rPr>
          <w:bCs/>
          <w:i/>
          <w:iCs/>
          <w:kern w:val="36"/>
          <w:lang w:eastAsia="en-AU"/>
        </w:rPr>
        <w:t>Public Exposure to</w:t>
      </w:r>
      <w:r w:rsidRPr="00F06651">
        <w:rPr>
          <w:bCs/>
          <w:kern w:val="36"/>
          <w:lang w:eastAsia="en-AU"/>
        </w:rPr>
        <w:t xml:space="preserve"> </w:t>
      </w:r>
      <w:r w:rsidR="000E4A5B" w:rsidRPr="002E4045">
        <w:rPr>
          <w:bCs/>
          <w:i/>
          <w:iCs/>
          <w:kern w:val="36"/>
          <w:lang w:eastAsia="en-AU"/>
        </w:rPr>
        <w:t>Radio Waves near GSM Microcell and Picocell Base Stations</w:t>
      </w:r>
      <w:r w:rsidRPr="00F06651">
        <w:rPr>
          <w:bCs/>
          <w:kern w:val="36"/>
          <w:lang w:eastAsia="en-AU"/>
        </w:rPr>
        <w:t>, Journal of Radiological Protection, Vol. 26,</w:t>
      </w:r>
      <w:r w:rsidR="00AB3A5D">
        <w:rPr>
          <w:bCs/>
          <w:kern w:val="36"/>
          <w:lang w:eastAsia="en-AU"/>
        </w:rPr>
        <w:t xml:space="preserve"> No. 2, </w:t>
      </w:r>
      <w:r w:rsidR="00852746">
        <w:rPr>
          <w:bCs/>
          <w:kern w:val="36"/>
          <w:lang w:eastAsia="en-AU"/>
        </w:rPr>
        <w:t xml:space="preserve">June, </w:t>
      </w:r>
      <w:r w:rsidR="00AB3A5D">
        <w:rPr>
          <w:bCs/>
          <w:kern w:val="36"/>
          <w:lang w:eastAsia="en-AU"/>
        </w:rPr>
        <w:t>pp. 199-211.</w:t>
      </w:r>
    </w:p>
    <w:p w14:paraId="69C304C2" w14:textId="77777777" w:rsidR="005259E8" w:rsidRPr="00F06651" w:rsidRDefault="005259E8" w:rsidP="005259E8">
      <w:pPr>
        <w:pStyle w:val="Reftext"/>
        <w:rPr>
          <w:bCs/>
          <w:kern w:val="36"/>
          <w:lang w:eastAsia="en-AU"/>
        </w:rPr>
      </w:pPr>
      <w:r w:rsidRPr="00F06651">
        <w:rPr>
          <w:bCs/>
          <w:kern w:val="36"/>
          <w:lang w:eastAsia="en-AU"/>
        </w:rPr>
        <w:t>Council Directive 92/58/EEC of 24 June 1992 on the minimum requirements for the provision of safety and/or health signs at work (ninth individual Directive within the meaning of Article 16 (1) of Directive 89/391/EEC).</w:t>
      </w:r>
    </w:p>
    <w:p w14:paraId="37AC38B4" w14:textId="77777777" w:rsidR="005259E8" w:rsidRPr="00F06651" w:rsidRDefault="005259E8" w:rsidP="005259E8">
      <w:pPr>
        <w:pStyle w:val="Reftext"/>
        <w:rPr>
          <w:bCs/>
          <w:kern w:val="36"/>
          <w:lang w:eastAsia="en-AU"/>
        </w:rPr>
      </w:pPr>
      <w:r w:rsidRPr="00F06651">
        <w:rPr>
          <w:bCs/>
          <w:kern w:val="36"/>
          <w:lang w:eastAsia="en-AU"/>
        </w:rPr>
        <w:t>Directive 2013/35/EU of the European Parliament and of the Council of 26 June 2013 on the minimum health and safety requirements regarding the exposure of workers to the risks arising from physical agents (electromagnetic fields) (20th individual Directive within the meaning of Article 16(1) of Directive 89/391/EEC) and repealing Directive 2004/40/EC.</w:t>
      </w:r>
    </w:p>
    <w:p w14:paraId="6508247C" w14:textId="76C49C88" w:rsidR="001E426F" w:rsidRDefault="00AA662C" w:rsidP="002E4045">
      <w:pPr>
        <w:pStyle w:val="Reftext"/>
        <w:ind w:left="0" w:firstLine="0"/>
        <w:rPr>
          <w:bCs/>
          <w:kern w:val="36"/>
          <w:lang w:eastAsia="en-AU"/>
        </w:rPr>
      </w:pPr>
      <w:r w:rsidRPr="00F06651">
        <w:rPr>
          <w:bCs/>
          <w:kern w:val="36"/>
          <w:lang w:eastAsia="en-AU"/>
        </w:rPr>
        <w:t>D</w:t>
      </w:r>
      <w:r w:rsidR="007B06A3" w:rsidRPr="00F06651">
        <w:rPr>
          <w:bCs/>
          <w:kern w:val="36"/>
          <w:lang w:eastAsia="en-AU"/>
        </w:rPr>
        <w:t>olan</w:t>
      </w:r>
      <w:r w:rsidRPr="00F06651">
        <w:rPr>
          <w:bCs/>
          <w:kern w:val="36"/>
          <w:lang w:eastAsia="en-AU"/>
        </w:rPr>
        <w:t xml:space="preserve">, M., </w:t>
      </w:r>
      <w:r w:rsidR="005259E8">
        <w:rPr>
          <w:bCs/>
          <w:kern w:val="36"/>
          <w:lang w:eastAsia="en-AU"/>
        </w:rPr>
        <w:t xml:space="preserve">and </w:t>
      </w:r>
      <w:r w:rsidRPr="00F06651">
        <w:rPr>
          <w:bCs/>
          <w:kern w:val="36"/>
          <w:lang w:eastAsia="en-AU"/>
        </w:rPr>
        <w:t>R</w:t>
      </w:r>
      <w:r w:rsidR="005259E8" w:rsidRPr="00F06651">
        <w:rPr>
          <w:bCs/>
          <w:kern w:val="36"/>
          <w:lang w:eastAsia="en-AU"/>
        </w:rPr>
        <w:t>owley</w:t>
      </w:r>
      <w:r w:rsidRPr="00F06651">
        <w:rPr>
          <w:bCs/>
          <w:kern w:val="36"/>
          <w:lang w:eastAsia="en-AU"/>
        </w:rPr>
        <w:t xml:space="preserve">, J. </w:t>
      </w:r>
      <w:r w:rsidR="005259E8">
        <w:rPr>
          <w:bCs/>
          <w:kern w:val="36"/>
          <w:lang w:eastAsia="en-AU"/>
        </w:rPr>
        <w:t>(</w:t>
      </w:r>
      <w:r w:rsidR="005259E8" w:rsidRPr="00F06651">
        <w:rPr>
          <w:bCs/>
          <w:kern w:val="36"/>
          <w:lang w:eastAsia="en-AU"/>
        </w:rPr>
        <w:t>2009</w:t>
      </w:r>
      <w:r w:rsidR="005259E8">
        <w:rPr>
          <w:bCs/>
          <w:kern w:val="36"/>
          <w:lang w:eastAsia="en-AU"/>
        </w:rPr>
        <w:t xml:space="preserve">), </w:t>
      </w:r>
      <w:r w:rsidR="000E4A5B" w:rsidRPr="002E4045">
        <w:rPr>
          <w:bCs/>
          <w:i/>
          <w:iCs/>
          <w:kern w:val="36"/>
          <w:lang w:eastAsia="en-AU"/>
        </w:rPr>
        <w:t>The Precautionary Principle in the Context of</w:t>
      </w:r>
      <w:r w:rsidRPr="00F06651">
        <w:rPr>
          <w:bCs/>
          <w:kern w:val="36"/>
          <w:lang w:eastAsia="en-AU"/>
        </w:rPr>
        <w:t xml:space="preserve"> </w:t>
      </w:r>
      <w:r w:rsidR="000E4A5B" w:rsidRPr="002E4045">
        <w:rPr>
          <w:bCs/>
          <w:i/>
          <w:iCs/>
          <w:kern w:val="36"/>
          <w:lang w:eastAsia="en-AU"/>
        </w:rPr>
        <w:t>Mobile Phone and Base Station Radiofrequency Exposures</w:t>
      </w:r>
      <w:r w:rsidRPr="00F06651">
        <w:rPr>
          <w:bCs/>
          <w:kern w:val="36"/>
          <w:lang w:eastAsia="en-AU"/>
        </w:rPr>
        <w:t xml:space="preserve">, Environmental Health Perspectives, Vol. 117, No. 9, </w:t>
      </w:r>
      <w:r w:rsidR="00121075">
        <w:rPr>
          <w:bCs/>
          <w:kern w:val="36"/>
          <w:lang w:eastAsia="en-AU"/>
        </w:rPr>
        <w:t xml:space="preserve">September, </w:t>
      </w:r>
      <w:r w:rsidRPr="00F06651">
        <w:rPr>
          <w:bCs/>
          <w:kern w:val="36"/>
          <w:lang w:eastAsia="en-AU"/>
        </w:rPr>
        <w:t>pp. 1329-1332.</w:t>
      </w:r>
    </w:p>
    <w:p w14:paraId="046C93C0" w14:textId="77777777" w:rsidR="00B07184" w:rsidRPr="00F06651" w:rsidRDefault="00B07184" w:rsidP="00AB3A5D">
      <w:pPr>
        <w:pStyle w:val="Reftext"/>
        <w:rPr>
          <w:bCs/>
          <w:kern w:val="36"/>
          <w:lang w:eastAsia="en-AU"/>
        </w:rPr>
      </w:pPr>
      <w:r>
        <w:rPr>
          <w:bCs/>
          <w:kern w:val="36"/>
          <w:lang w:eastAsia="en-AU"/>
        </w:rPr>
        <w:t xml:space="preserve">EMF Explained. Available at </w:t>
      </w:r>
      <w:hyperlink r:id="rId74" w:history="1">
        <w:r w:rsidRPr="006226A5">
          <w:rPr>
            <w:rStyle w:val="Hyperlink"/>
            <w:bCs/>
            <w:kern w:val="36"/>
            <w:lang w:eastAsia="en-AU"/>
          </w:rPr>
          <w:t>http://www.emfexplained.info/</w:t>
        </w:r>
      </w:hyperlink>
      <w:r>
        <w:rPr>
          <w:bCs/>
          <w:kern w:val="36"/>
          <w:lang w:eastAsia="en-AU"/>
        </w:rPr>
        <w:t xml:space="preserve">. </w:t>
      </w:r>
    </w:p>
    <w:p w14:paraId="546CD30A" w14:textId="77777777" w:rsidR="00AA662C" w:rsidRPr="00F06651" w:rsidRDefault="00AA662C" w:rsidP="00464CD2">
      <w:pPr>
        <w:pStyle w:val="Reftext"/>
        <w:jc w:val="left"/>
        <w:rPr>
          <w:bCs/>
          <w:kern w:val="36"/>
          <w:lang w:eastAsia="en-AU"/>
        </w:rPr>
      </w:pPr>
      <w:r w:rsidRPr="00AA662C">
        <w:rPr>
          <w:bCs/>
          <w:kern w:val="36"/>
          <w:lang w:val="de-CH" w:eastAsia="en-AU"/>
        </w:rPr>
        <w:t>E</w:t>
      </w:r>
      <w:r w:rsidR="005259E8" w:rsidRPr="00AA662C">
        <w:rPr>
          <w:bCs/>
          <w:kern w:val="36"/>
          <w:lang w:val="de-CH" w:eastAsia="en-AU"/>
        </w:rPr>
        <w:t>ricsson</w:t>
      </w:r>
      <w:r w:rsidRPr="00AA662C">
        <w:rPr>
          <w:bCs/>
          <w:kern w:val="36"/>
          <w:lang w:val="de-CH" w:eastAsia="en-AU"/>
        </w:rPr>
        <w:t xml:space="preserve">: Smart Metering in Australia, 2013. </w:t>
      </w:r>
      <w:r w:rsidRPr="00F06651">
        <w:rPr>
          <w:bCs/>
          <w:kern w:val="36"/>
          <w:lang w:eastAsia="en-AU"/>
        </w:rPr>
        <w:t xml:space="preserve">Available at </w:t>
      </w:r>
      <w:hyperlink r:id="rId75" w:history="1">
        <w:r w:rsidR="00AB3A5D" w:rsidRPr="000A63BC">
          <w:rPr>
            <w:rStyle w:val="Hyperlink"/>
            <w:bCs/>
            <w:kern w:val="36"/>
            <w:lang w:eastAsia="en-AU"/>
          </w:rPr>
          <w:t>http://www.ericsson.com/res/thecompany/docs/corporate-responsibility/2012/smart-metering.pdf</w:t>
        </w:r>
      </w:hyperlink>
      <w:r w:rsidR="00AB3A5D">
        <w:rPr>
          <w:bCs/>
          <w:kern w:val="36"/>
          <w:lang w:eastAsia="en-AU"/>
        </w:rPr>
        <w:t xml:space="preserve"> </w:t>
      </w:r>
      <w:r w:rsidRPr="00F06651">
        <w:rPr>
          <w:bCs/>
          <w:kern w:val="36"/>
          <w:lang w:eastAsia="en-AU"/>
        </w:rPr>
        <w:t>.</w:t>
      </w:r>
    </w:p>
    <w:p w14:paraId="6DE8F980" w14:textId="77777777" w:rsidR="00AA662C" w:rsidRPr="00F06651" w:rsidRDefault="00AA662C" w:rsidP="00AB3A5D">
      <w:pPr>
        <w:pStyle w:val="Reftext"/>
        <w:rPr>
          <w:bCs/>
          <w:kern w:val="36"/>
          <w:lang w:eastAsia="en-AU"/>
        </w:rPr>
      </w:pPr>
      <w:r w:rsidRPr="00F06651">
        <w:rPr>
          <w:bCs/>
          <w:kern w:val="36"/>
          <w:lang w:eastAsia="en-AU"/>
        </w:rPr>
        <w:t>E</w:t>
      </w:r>
      <w:r w:rsidR="005259E8" w:rsidRPr="00F06651">
        <w:rPr>
          <w:bCs/>
          <w:kern w:val="36"/>
          <w:lang w:eastAsia="en-AU"/>
        </w:rPr>
        <w:t>ricsson</w:t>
      </w:r>
      <w:r w:rsidRPr="00F06651">
        <w:rPr>
          <w:bCs/>
          <w:kern w:val="36"/>
          <w:lang w:eastAsia="en-AU"/>
        </w:rPr>
        <w:t xml:space="preserve">: Mobility Report, June 2014. Available at </w:t>
      </w:r>
      <w:hyperlink r:id="rId76" w:history="1">
        <w:r w:rsidR="00AB3A5D" w:rsidRPr="000A63BC">
          <w:rPr>
            <w:rStyle w:val="Hyperlink"/>
            <w:bCs/>
            <w:kern w:val="36"/>
            <w:lang w:eastAsia="en-AU"/>
          </w:rPr>
          <w:t>http://www.ericsson.com</w:t>
        </w:r>
      </w:hyperlink>
      <w:r w:rsidRPr="00F06651">
        <w:rPr>
          <w:bCs/>
          <w:kern w:val="36"/>
          <w:lang w:eastAsia="en-AU"/>
        </w:rPr>
        <w:t>/.</w:t>
      </w:r>
    </w:p>
    <w:p w14:paraId="1DB89FA9" w14:textId="77777777" w:rsidR="00AA662C" w:rsidRPr="00F06651" w:rsidRDefault="00AA662C" w:rsidP="00AB3A5D">
      <w:pPr>
        <w:pStyle w:val="Reftext"/>
        <w:rPr>
          <w:bCs/>
          <w:kern w:val="36"/>
          <w:lang w:eastAsia="en-AU"/>
        </w:rPr>
      </w:pPr>
      <w:r w:rsidRPr="00F06651">
        <w:rPr>
          <w:bCs/>
          <w:kern w:val="36"/>
          <w:lang w:eastAsia="en-AU"/>
        </w:rPr>
        <w:t>Eurobarometer 2010 Special Eurobarometer 347: Electromagnetic Fields, Conducted by TNS Opinion &amp; Social at the request of the Directorate General for Health and Consumer Affairs. Survey coordinated by Directorate General Communication.</w:t>
      </w:r>
    </w:p>
    <w:p w14:paraId="44368D0F" w14:textId="77777777" w:rsidR="00AA662C" w:rsidRPr="00F06651" w:rsidRDefault="00AA662C" w:rsidP="00AB3A5D">
      <w:pPr>
        <w:pStyle w:val="Reftext"/>
        <w:rPr>
          <w:bCs/>
          <w:kern w:val="36"/>
          <w:lang w:eastAsia="en-AU"/>
        </w:rPr>
      </w:pPr>
      <w:r w:rsidRPr="00F06651">
        <w:rPr>
          <w:bCs/>
          <w:kern w:val="36"/>
          <w:lang w:eastAsia="en-AU"/>
        </w:rPr>
        <w:t>EVANS PLANNING, MANIDIS ROBERTS, PICONET CONSULTING: Impact of exclusion zone policies on siting base stations: Australian case study analysis, GSMA, August 2012.</w:t>
      </w:r>
    </w:p>
    <w:p w14:paraId="7BCE42ED" w14:textId="77777777" w:rsidR="00AA662C" w:rsidRPr="00F06651" w:rsidRDefault="00AA662C" w:rsidP="00464CD2">
      <w:pPr>
        <w:pStyle w:val="Reftext"/>
        <w:jc w:val="left"/>
        <w:rPr>
          <w:bCs/>
          <w:kern w:val="36"/>
          <w:lang w:eastAsia="en-AU"/>
        </w:rPr>
      </w:pPr>
      <w:r w:rsidRPr="00F06651">
        <w:rPr>
          <w:bCs/>
          <w:kern w:val="36"/>
          <w:lang w:eastAsia="en-AU"/>
        </w:rPr>
        <w:t xml:space="preserve">GSMA, Mobile Infrastructure Sharing, 2008. Available at </w:t>
      </w:r>
      <w:hyperlink r:id="rId77" w:history="1">
        <w:r w:rsidR="00AB3A5D" w:rsidRPr="000A63BC">
          <w:rPr>
            <w:rStyle w:val="Hyperlink"/>
            <w:bCs/>
            <w:kern w:val="36"/>
            <w:lang w:eastAsia="en-AU"/>
          </w:rPr>
          <w:t>http://www.gsma.com/publicpolicy/public-policy-resources/mobiles-green-manifesto</w:t>
        </w:r>
      </w:hyperlink>
      <w:r w:rsidR="00AB3A5D">
        <w:rPr>
          <w:bCs/>
          <w:kern w:val="36"/>
          <w:lang w:eastAsia="en-AU"/>
        </w:rPr>
        <w:t xml:space="preserve"> </w:t>
      </w:r>
    </w:p>
    <w:p w14:paraId="32EA6D11" w14:textId="77777777" w:rsidR="00AA662C" w:rsidRPr="00F06651" w:rsidRDefault="00AA662C" w:rsidP="00AB3A5D">
      <w:pPr>
        <w:pStyle w:val="Reftext"/>
        <w:rPr>
          <w:bCs/>
          <w:kern w:val="36"/>
          <w:lang w:eastAsia="en-AU"/>
        </w:rPr>
      </w:pPr>
      <w:r w:rsidRPr="00F06651">
        <w:rPr>
          <w:bCs/>
          <w:kern w:val="36"/>
          <w:lang w:eastAsia="en-AU"/>
        </w:rPr>
        <w:t>GSMA: Mobile’s Green Manifesto, 2012.</w:t>
      </w:r>
    </w:p>
    <w:p w14:paraId="6666FF76" w14:textId="77777777" w:rsidR="00AA662C" w:rsidRPr="00F06651" w:rsidRDefault="00AA662C" w:rsidP="00464CD2">
      <w:pPr>
        <w:pStyle w:val="Reftext"/>
        <w:jc w:val="left"/>
        <w:rPr>
          <w:bCs/>
          <w:kern w:val="36"/>
          <w:lang w:eastAsia="en-AU"/>
        </w:rPr>
      </w:pPr>
      <w:r w:rsidRPr="00F06651">
        <w:rPr>
          <w:bCs/>
          <w:kern w:val="36"/>
          <w:lang w:eastAsia="en-AU"/>
        </w:rPr>
        <w:lastRenderedPageBreak/>
        <w:t xml:space="preserve">GSMA and MMF: RF safety at base station sites, 2008, available at </w:t>
      </w:r>
      <w:hyperlink r:id="rId78" w:history="1">
        <w:r w:rsidR="00464CD2" w:rsidRPr="001A5459">
          <w:rPr>
            <w:rStyle w:val="Hyperlink"/>
            <w:bCs/>
            <w:kern w:val="36"/>
            <w:lang w:eastAsia="en-AU"/>
          </w:rPr>
          <w:t>http://www.gsma.com/publicpolicy/gsma-joint-brochure-rf-safety-at-base-station-sites</w:t>
        </w:r>
      </w:hyperlink>
      <w:r w:rsidR="00464CD2">
        <w:rPr>
          <w:bCs/>
          <w:kern w:val="36"/>
          <w:lang w:eastAsia="en-AU"/>
        </w:rPr>
        <w:t xml:space="preserve"> </w:t>
      </w:r>
      <w:r w:rsidRPr="00F06651">
        <w:rPr>
          <w:bCs/>
          <w:kern w:val="36"/>
          <w:lang w:eastAsia="en-AU"/>
        </w:rPr>
        <w:t>.</w:t>
      </w:r>
    </w:p>
    <w:p w14:paraId="18634D5A" w14:textId="77777777" w:rsidR="00AA662C" w:rsidRPr="00F06651" w:rsidRDefault="00AA662C" w:rsidP="00AB3A5D">
      <w:pPr>
        <w:pStyle w:val="Reftext"/>
        <w:rPr>
          <w:bCs/>
          <w:kern w:val="36"/>
          <w:lang w:eastAsia="en-AU"/>
        </w:rPr>
      </w:pPr>
      <w:r w:rsidRPr="00F06651">
        <w:rPr>
          <w:bCs/>
          <w:kern w:val="36"/>
          <w:lang w:eastAsia="en-AU"/>
        </w:rPr>
        <w:t xml:space="preserve">GSMA and MMF: Risk Communication Guide for Mobile Phones and Base Stations, 2009, available at </w:t>
      </w:r>
      <w:hyperlink r:id="rId79" w:history="1">
        <w:r w:rsidRPr="00F06651">
          <w:rPr>
            <w:bCs/>
            <w:color w:val="0000FF"/>
            <w:kern w:val="36"/>
            <w:u w:val="single"/>
            <w:lang w:eastAsia="en-AU"/>
          </w:rPr>
          <w:t>http://www.gsma.com/publicpolicy/mobile-and-health/risk-communications</w:t>
        </w:r>
      </w:hyperlink>
      <w:r w:rsidRPr="00F06651">
        <w:rPr>
          <w:bCs/>
          <w:kern w:val="36"/>
          <w:lang w:eastAsia="en-AU"/>
        </w:rPr>
        <w:t>.</w:t>
      </w:r>
    </w:p>
    <w:p w14:paraId="349B365C" w14:textId="77777777" w:rsidR="00AA662C" w:rsidRPr="00F06651" w:rsidRDefault="00AA662C" w:rsidP="00AB3A5D">
      <w:pPr>
        <w:pStyle w:val="Reftext"/>
        <w:rPr>
          <w:bCs/>
          <w:kern w:val="36"/>
          <w:lang w:eastAsia="en-AU"/>
        </w:rPr>
      </w:pPr>
      <w:r w:rsidRPr="00F06651">
        <w:rPr>
          <w:bCs/>
          <w:kern w:val="36"/>
          <w:lang w:eastAsia="en-AU"/>
        </w:rPr>
        <w:t>GSMA, Orange, Universitat Oberta de Catalunya, Case study: University goes portable with tablet technology, (2012).</w:t>
      </w:r>
    </w:p>
    <w:p w14:paraId="418137E5" w14:textId="77777777" w:rsidR="00AA662C" w:rsidRPr="00F06651" w:rsidRDefault="00AA662C" w:rsidP="00AB3A5D">
      <w:pPr>
        <w:pStyle w:val="Reftext"/>
        <w:rPr>
          <w:bCs/>
          <w:kern w:val="36"/>
          <w:lang w:eastAsia="en-AU"/>
        </w:rPr>
      </w:pPr>
      <w:r w:rsidRPr="00F06651">
        <w:rPr>
          <w:bCs/>
          <w:kern w:val="36"/>
          <w:lang w:eastAsia="en-AU"/>
        </w:rPr>
        <w:t>H</w:t>
      </w:r>
      <w:r w:rsidR="005259E8" w:rsidRPr="00F06651">
        <w:rPr>
          <w:bCs/>
          <w:kern w:val="36"/>
          <w:lang w:eastAsia="en-AU"/>
        </w:rPr>
        <w:t>ealth</w:t>
      </w:r>
      <w:r w:rsidRPr="00F06651">
        <w:rPr>
          <w:bCs/>
          <w:kern w:val="36"/>
          <w:lang w:eastAsia="en-AU"/>
        </w:rPr>
        <w:t xml:space="preserve"> C</w:t>
      </w:r>
      <w:r w:rsidR="005259E8" w:rsidRPr="00F06651">
        <w:rPr>
          <w:bCs/>
          <w:kern w:val="36"/>
          <w:lang w:eastAsia="en-AU"/>
        </w:rPr>
        <w:t>ouncil</w:t>
      </w:r>
      <w:r w:rsidRPr="00F06651">
        <w:rPr>
          <w:bCs/>
          <w:kern w:val="36"/>
          <w:lang w:eastAsia="en-AU"/>
        </w:rPr>
        <w:t xml:space="preserve"> of the N</w:t>
      </w:r>
      <w:r w:rsidR="005259E8" w:rsidRPr="00F06651">
        <w:rPr>
          <w:bCs/>
          <w:kern w:val="36"/>
          <w:lang w:eastAsia="en-AU"/>
        </w:rPr>
        <w:t>etherlands</w:t>
      </w:r>
      <w:r w:rsidRPr="00F06651">
        <w:rPr>
          <w:bCs/>
          <w:kern w:val="36"/>
          <w:lang w:eastAsia="en-AU"/>
        </w:rPr>
        <w:t>: GSM Base Stations, The Hague, Publication no. 2000/16E, 2000.</w:t>
      </w:r>
    </w:p>
    <w:p w14:paraId="154A292E" w14:textId="6FB5F33B" w:rsidR="00AA662C" w:rsidRPr="00F06651" w:rsidRDefault="00A825B3" w:rsidP="00AB3A5D">
      <w:pPr>
        <w:pStyle w:val="Reftext"/>
        <w:rPr>
          <w:bCs/>
          <w:kern w:val="36"/>
          <w:lang w:eastAsia="en-AU"/>
        </w:rPr>
      </w:pPr>
      <w:r w:rsidRPr="00F06651">
        <w:rPr>
          <w:bCs/>
          <w:kern w:val="36"/>
          <w:lang w:eastAsia="en-AU"/>
        </w:rPr>
        <w:t>H</w:t>
      </w:r>
      <w:r w:rsidR="005259E8" w:rsidRPr="00F06651">
        <w:rPr>
          <w:bCs/>
          <w:kern w:val="36"/>
          <w:lang w:eastAsia="en-AU"/>
        </w:rPr>
        <w:t>ealth</w:t>
      </w:r>
      <w:r w:rsidRPr="00F06651">
        <w:rPr>
          <w:bCs/>
          <w:kern w:val="36"/>
          <w:lang w:eastAsia="en-AU"/>
        </w:rPr>
        <w:t xml:space="preserve"> C</w:t>
      </w:r>
      <w:r w:rsidR="005259E8" w:rsidRPr="00F06651">
        <w:rPr>
          <w:bCs/>
          <w:kern w:val="36"/>
          <w:lang w:eastAsia="en-AU"/>
        </w:rPr>
        <w:t xml:space="preserve">ouncil </w:t>
      </w:r>
      <w:r w:rsidRPr="00F06651">
        <w:rPr>
          <w:bCs/>
          <w:kern w:val="36"/>
          <w:lang w:eastAsia="en-AU"/>
        </w:rPr>
        <w:t>of the N</w:t>
      </w:r>
      <w:r w:rsidR="005259E8" w:rsidRPr="00F06651">
        <w:rPr>
          <w:bCs/>
          <w:kern w:val="36"/>
          <w:lang w:eastAsia="en-AU"/>
        </w:rPr>
        <w:t>etherlands</w:t>
      </w:r>
      <w:r w:rsidR="005259E8">
        <w:rPr>
          <w:bCs/>
          <w:kern w:val="36"/>
          <w:lang w:eastAsia="en-AU"/>
        </w:rPr>
        <w:t>:</w:t>
      </w:r>
      <w:r w:rsidR="00AA662C" w:rsidRPr="00F06651">
        <w:rPr>
          <w:bCs/>
          <w:kern w:val="36"/>
          <w:lang w:eastAsia="en-AU"/>
        </w:rPr>
        <w:t xml:space="preserve"> Influence of radiofrequency telecommunication signals on children’s brains. The Hague: Health Council of the Netherlands, 2011; publication no. 2011/20E.</w:t>
      </w:r>
    </w:p>
    <w:p w14:paraId="591A8D25" w14:textId="324118F1" w:rsidR="00AA662C" w:rsidRPr="00F06651" w:rsidRDefault="00AA662C" w:rsidP="00AB3A5D">
      <w:pPr>
        <w:pStyle w:val="Reftext"/>
        <w:rPr>
          <w:bCs/>
          <w:kern w:val="36"/>
          <w:lang w:eastAsia="en-AU"/>
        </w:rPr>
      </w:pPr>
      <w:r w:rsidRPr="00F06651">
        <w:rPr>
          <w:bCs/>
          <w:kern w:val="36"/>
          <w:lang w:eastAsia="en-AU"/>
        </w:rPr>
        <w:t xml:space="preserve">ICNIRP 1998, Guidelines for Limiting Exposure to Time-Varying Electric, Magnetic, and Electromagnetic Fields (up to 300 GHz)’, ICNIRP guidelines, Health Physics, </w:t>
      </w:r>
      <w:r w:rsidR="005259E8">
        <w:rPr>
          <w:bCs/>
          <w:kern w:val="36"/>
          <w:lang w:eastAsia="en-AU"/>
        </w:rPr>
        <w:t>V</w:t>
      </w:r>
      <w:r w:rsidRPr="00F06651">
        <w:rPr>
          <w:bCs/>
          <w:kern w:val="36"/>
          <w:lang w:eastAsia="en-AU"/>
        </w:rPr>
        <w:t>ol.74, pp. 494-522.</w:t>
      </w:r>
    </w:p>
    <w:p w14:paraId="6AA5B090" w14:textId="77777777" w:rsidR="00AA662C" w:rsidRPr="00F06651" w:rsidRDefault="00AA662C" w:rsidP="00AB3A5D">
      <w:pPr>
        <w:pStyle w:val="Reftext"/>
        <w:rPr>
          <w:bCs/>
          <w:kern w:val="36"/>
          <w:lang w:eastAsia="en-AU"/>
        </w:rPr>
      </w:pPr>
      <w:r w:rsidRPr="00F06651">
        <w:rPr>
          <w:bCs/>
          <w:kern w:val="36"/>
          <w:lang w:eastAsia="en-AU"/>
        </w:rPr>
        <w:t>ICNIRP Statement on the ‘Guidelines for limiting exposure to time-varying electric, magnetic, and electromagnetic fields (up to 300 GHz)’, ICNIRP, Health Physics, 97(3):257-258, September 2009.</w:t>
      </w:r>
    </w:p>
    <w:p w14:paraId="71736245" w14:textId="0666AECB" w:rsidR="00AA662C" w:rsidRPr="00F06651" w:rsidRDefault="00AA662C" w:rsidP="00AB3A5D">
      <w:pPr>
        <w:pStyle w:val="Reftext"/>
        <w:rPr>
          <w:bCs/>
          <w:kern w:val="36"/>
          <w:lang w:eastAsia="en-AU"/>
        </w:rPr>
      </w:pPr>
      <w:r w:rsidRPr="00F06651">
        <w:rPr>
          <w:bCs/>
          <w:kern w:val="36"/>
          <w:lang w:eastAsia="en-AU"/>
        </w:rPr>
        <w:t>IEC 62209-1</w:t>
      </w:r>
      <w:r w:rsidR="00845AE7">
        <w:rPr>
          <w:bCs/>
          <w:kern w:val="36"/>
          <w:lang w:eastAsia="en-AU"/>
        </w:rPr>
        <w:t xml:space="preserve"> ed1.0 (2005)</w:t>
      </w:r>
      <w:r w:rsidRPr="00F06651">
        <w:rPr>
          <w:bCs/>
          <w:kern w:val="36"/>
          <w:lang w:eastAsia="en-AU"/>
        </w:rPr>
        <w:t>,</w:t>
      </w:r>
      <w:r w:rsidRPr="00F06651">
        <w:rPr>
          <w:rFonts w:ascii="Calibri" w:hAnsi="Calibri" w:cs="Arial"/>
          <w:sz w:val="22"/>
          <w:szCs w:val="22"/>
          <w:lang w:eastAsia="zh-CN"/>
        </w:rPr>
        <w:t xml:space="preserve"> </w:t>
      </w:r>
      <w:r w:rsidR="000E4A5B" w:rsidRPr="002E4045">
        <w:rPr>
          <w:bCs/>
          <w:i/>
          <w:iCs/>
          <w:kern w:val="36"/>
          <w:lang w:eastAsia="en-AU"/>
        </w:rPr>
        <w:t>Human exposure to radio frequency fields from hand-held and body-mounted wireless communication devices - Human models, instrumentation, and procedures - Part 1: Procedure to determine the specific absorption rate (SAR) for hand-held devices used in close proximity to the ear (frequency range of 300 MHz to 3 GHz)</w:t>
      </w:r>
      <w:r w:rsidR="00845AE7">
        <w:rPr>
          <w:bCs/>
          <w:kern w:val="36"/>
          <w:lang w:eastAsia="en-AU"/>
        </w:rPr>
        <w:t>.</w:t>
      </w:r>
    </w:p>
    <w:p w14:paraId="728DE8B9" w14:textId="0959C745" w:rsidR="00AA662C" w:rsidRPr="00F06651" w:rsidRDefault="00AA662C" w:rsidP="00AB3A5D">
      <w:pPr>
        <w:pStyle w:val="Reftext"/>
        <w:rPr>
          <w:bCs/>
          <w:kern w:val="36"/>
          <w:lang w:eastAsia="en-AU"/>
        </w:rPr>
      </w:pPr>
      <w:r w:rsidRPr="00F06651">
        <w:rPr>
          <w:bCs/>
          <w:kern w:val="36"/>
          <w:lang w:eastAsia="en-AU"/>
        </w:rPr>
        <w:t>IEC 62209</w:t>
      </w:r>
      <w:r w:rsidR="00845AE7">
        <w:rPr>
          <w:bCs/>
          <w:kern w:val="36"/>
          <w:lang w:eastAsia="en-AU"/>
        </w:rPr>
        <w:t>-</w:t>
      </w:r>
      <w:r w:rsidRPr="00F06651">
        <w:rPr>
          <w:bCs/>
          <w:kern w:val="36"/>
          <w:lang w:eastAsia="en-AU"/>
        </w:rPr>
        <w:t>2</w:t>
      </w:r>
      <w:r w:rsidR="00845AE7">
        <w:rPr>
          <w:bCs/>
          <w:kern w:val="36"/>
          <w:lang w:eastAsia="en-AU"/>
        </w:rPr>
        <w:t xml:space="preserve"> ed1.0 (2010)</w:t>
      </w:r>
      <w:r w:rsidRPr="00F06651">
        <w:rPr>
          <w:bCs/>
          <w:kern w:val="36"/>
          <w:lang w:eastAsia="en-AU"/>
        </w:rPr>
        <w:t xml:space="preserve">, </w:t>
      </w:r>
      <w:r w:rsidR="000E4A5B" w:rsidRPr="002E4045">
        <w:rPr>
          <w:bCs/>
          <w:i/>
          <w:iCs/>
          <w:kern w:val="36"/>
          <w:lang w:eastAsia="en-AU"/>
        </w:rPr>
        <w:t>Human exposure to radio frequency fields from hand-held and body-mounted wireless communication devices - Human models, instrumentation, and procedures - Part 2: Procedure to determine the specific absorption rate (SAR) for wireless communication devices used in close proximity to the human body (frequency range of 30 MHz to 6 GHz)</w:t>
      </w:r>
      <w:r w:rsidR="00845AE7">
        <w:rPr>
          <w:bCs/>
          <w:kern w:val="36"/>
          <w:lang w:eastAsia="en-AU"/>
        </w:rPr>
        <w:t>.</w:t>
      </w:r>
    </w:p>
    <w:p w14:paraId="4926048E" w14:textId="543E46EE" w:rsidR="00AA662C" w:rsidRPr="00F06651" w:rsidRDefault="00AA662C" w:rsidP="00AB3A5D">
      <w:pPr>
        <w:pStyle w:val="Reftext"/>
        <w:rPr>
          <w:bCs/>
          <w:kern w:val="36"/>
          <w:lang w:eastAsia="en-AU"/>
        </w:rPr>
      </w:pPr>
      <w:r w:rsidRPr="00F06651">
        <w:rPr>
          <w:bCs/>
          <w:kern w:val="36"/>
          <w:lang w:eastAsia="en-AU"/>
        </w:rPr>
        <w:t>IEC 62232</w:t>
      </w:r>
      <w:r w:rsidR="00BB1CAE">
        <w:rPr>
          <w:bCs/>
          <w:kern w:val="36"/>
          <w:lang w:eastAsia="en-AU"/>
        </w:rPr>
        <w:t xml:space="preserve"> ed1.0 (2011)</w:t>
      </w:r>
      <w:r w:rsidRPr="00F06651">
        <w:rPr>
          <w:bCs/>
          <w:kern w:val="36"/>
          <w:lang w:eastAsia="en-AU"/>
        </w:rPr>
        <w:t xml:space="preserve">, </w:t>
      </w:r>
      <w:r w:rsidR="000E4A5B" w:rsidRPr="002E4045">
        <w:rPr>
          <w:bCs/>
          <w:i/>
          <w:iCs/>
          <w:kern w:val="36"/>
          <w:lang w:eastAsia="en-AU"/>
        </w:rPr>
        <w:t>Determination of RF field strength and SAR in the vicinity of radiocommunication base stations for the purpose of evaluating human exposure</w:t>
      </w:r>
      <w:r w:rsidR="00BB1CAE">
        <w:rPr>
          <w:bCs/>
          <w:kern w:val="36"/>
          <w:lang w:eastAsia="en-AU"/>
        </w:rPr>
        <w:t>.</w:t>
      </w:r>
    </w:p>
    <w:p w14:paraId="5289A575" w14:textId="77777777" w:rsidR="00AA662C" w:rsidRPr="00F06651" w:rsidRDefault="00AA662C" w:rsidP="00AB3A5D">
      <w:pPr>
        <w:pStyle w:val="Reftext"/>
        <w:rPr>
          <w:bCs/>
          <w:kern w:val="36"/>
          <w:lang w:eastAsia="en-AU"/>
        </w:rPr>
      </w:pPr>
      <w:r w:rsidRPr="00F06651">
        <w:rPr>
          <w:bCs/>
          <w:kern w:val="36"/>
          <w:lang w:eastAsia="en-AU"/>
        </w:rPr>
        <w:t>IEEE C95.2-1999, IEEE Standard for Radio-Frequency Energy and Current-Flow Symbols.</w:t>
      </w:r>
    </w:p>
    <w:p w14:paraId="059D6C99" w14:textId="77777777" w:rsidR="00AA662C" w:rsidRPr="00F06651" w:rsidRDefault="00AA662C" w:rsidP="00AB3A5D">
      <w:pPr>
        <w:pStyle w:val="Reftext"/>
        <w:rPr>
          <w:bCs/>
          <w:kern w:val="36"/>
          <w:lang w:eastAsia="en-AU"/>
        </w:rPr>
      </w:pPr>
      <w:r w:rsidRPr="00F06651">
        <w:rPr>
          <w:bCs/>
          <w:kern w:val="36"/>
          <w:lang w:eastAsia="en-AU"/>
        </w:rPr>
        <w:t>IEEE C95.7-2005, IEEE Recommended Practice for Radio Frequency Safety Programs, 3</w:t>
      </w:r>
      <w:r w:rsidR="00AB3A5D">
        <w:rPr>
          <w:bCs/>
          <w:kern w:val="36"/>
          <w:lang w:eastAsia="en-AU"/>
        </w:rPr>
        <w:t> </w:t>
      </w:r>
      <w:r w:rsidRPr="00F06651">
        <w:rPr>
          <w:bCs/>
          <w:kern w:val="36"/>
          <w:lang w:eastAsia="en-AU"/>
        </w:rPr>
        <w:t>kHz to 300 GHz.</w:t>
      </w:r>
    </w:p>
    <w:p w14:paraId="035BDD10" w14:textId="77777777" w:rsidR="00AA662C" w:rsidRPr="00F06651" w:rsidRDefault="00AA662C" w:rsidP="00AB3A5D">
      <w:pPr>
        <w:pStyle w:val="Reftext"/>
        <w:rPr>
          <w:bCs/>
          <w:kern w:val="36"/>
          <w:lang w:eastAsia="en-AU"/>
        </w:rPr>
      </w:pPr>
      <w:r w:rsidRPr="00F06651">
        <w:rPr>
          <w:bCs/>
          <w:kern w:val="36"/>
          <w:lang w:eastAsia="en-AU"/>
        </w:rPr>
        <w:t xml:space="preserve">ISO/TR 21730:2007, </w:t>
      </w:r>
      <w:r w:rsidR="000E4A5B" w:rsidRPr="002E4045">
        <w:rPr>
          <w:bCs/>
          <w:i/>
          <w:iCs/>
          <w:kern w:val="36"/>
          <w:lang w:eastAsia="en-AU"/>
        </w:rPr>
        <w:t>Health informatics -- Use of mobile wireless communication and computing technology in healthcare facilities -- Recommendations for electromagnetic compatibility (management of unintentional electromagnetic interference) with medical devices</w:t>
      </w:r>
      <w:r w:rsidRPr="00F06651">
        <w:rPr>
          <w:bCs/>
          <w:kern w:val="36"/>
          <w:lang w:eastAsia="en-AU"/>
        </w:rPr>
        <w:t>.</w:t>
      </w:r>
    </w:p>
    <w:p w14:paraId="763C5A1E" w14:textId="77777777" w:rsidR="00AA662C" w:rsidRPr="00F06651" w:rsidRDefault="00AA662C" w:rsidP="00AB3A5D">
      <w:pPr>
        <w:pStyle w:val="Reftext"/>
        <w:rPr>
          <w:bCs/>
          <w:kern w:val="36"/>
          <w:lang w:eastAsia="en-AU"/>
        </w:rPr>
      </w:pPr>
      <w:r w:rsidRPr="00F06651">
        <w:rPr>
          <w:bCs/>
          <w:kern w:val="36"/>
          <w:lang w:eastAsia="en-AU"/>
        </w:rPr>
        <w:t xml:space="preserve">ITU Workshop on Short Range Devices and Ultra Wide Band’ Geneva, 3 June 2014. Accessed at </w:t>
      </w:r>
      <w:r w:rsidRPr="00BE191B">
        <w:rPr>
          <w:bCs/>
          <w:kern w:val="36"/>
          <w:lang w:eastAsia="en-AU"/>
        </w:rPr>
        <w:t>http://www.itu.int/en/ITU-R/study-groups/workshops/RWP1B-SRD-UWB-14/Presentations/International, regional and national regulation of SRDs.pdf</w:t>
      </w:r>
      <w:r w:rsidRPr="00F06651">
        <w:rPr>
          <w:bCs/>
          <w:kern w:val="36"/>
          <w:lang w:eastAsia="en-AU"/>
        </w:rPr>
        <w:t>.</w:t>
      </w:r>
    </w:p>
    <w:p w14:paraId="045A30A8" w14:textId="77777777" w:rsidR="00AA662C" w:rsidRPr="00F06651" w:rsidRDefault="00AA662C" w:rsidP="00AB3A5D">
      <w:pPr>
        <w:pStyle w:val="Reftext"/>
        <w:rPr>
          <w:bCs/>
          <w:kern w:val="36"/>
          <w:lang w:eastAsia="en-AU"/>
        </w:rPr>
      </w:pPr>
      <w:r w:rsidRPr="00F06651">
        <w:rPr>
          <w:bCs/>
          <w:kern w:val="36"/>
          <w:lang w:eastAsia="en-AU"/>
        </w:rPr>
        <w:t>ITU-D, 2014, Report on Question 23/1, Strategies and Policies Concerning Human Exposure to Electromagnetic Fields.</w:t>
      </w:r>
      <w:r w:rsidR="00853F11">
        <w:rPr>
          <w:bCs/>
          <w:kern w:val="36"/>
          <w:lang w:eastAsia="en-AU"/>
        </w:rPr>
        <w:t xml:space="preserve"> </w:t>
      </w:r>
      <w:hyperlink r:id="rId80" w:history="1">
        <w:r w:rsidR="00853F11">
          <w:rPr>
            <w:rStyle w:val="Hyperlink"/>
            <w:sz w:val="20"/>
            <w:lang w:val="en-US"/>
          </w:rPr>
          <w:t>http://www.itu.int/dms_pub/itu-d/opb/stg/D-STG-SG01.23-2014-PDF-E.pdf</w:t>
        </w:r>
      </w:hyperlink>
    </w:p>
    <w:p w14:paraId="29FFCA15" w14:textId="64FAFD5E" w:rsidR="00AA662C" w:rsidRPr="00F06651" w:rsidRDefault="00CD624E" w:rsidP="00811C3E">
      <w:pPr>
        <w:pStyle w:val="Reftext"/>
        <w:rPr>
          <w:bCs/>
          <w:kern w:val="36"/>
          <w:lang w:eastAsia="en-AU"/>
        </w:rPr>
      </w:pPr>
      <w:r>
        <w:rPr>
          <w:bCs/>
          <w:kern w:val="36"/>
          <w:lang w:eastAsia="en-AU"/>
        </w:rPr>
        <w:t xml:space="preserve">ITU-T </w:t>
      </w:r>
      <w:r w:rsidR="00AA662C" w:rsidRPr="00F06651">
        <w:rPr>
          <w:bCs/>
          <w:kern w:val="36"/>
          <w:lang w:eastAsia="en-AU"/>
        </w:rPr>
        <w:t xml:space="preserve">Supplement 1 to </w:t>
      </w:r>
      <w:r w:rsidR="00811C3E" w:rsidRPr="00F06651">
        <w:rPr>
          <w:bCs/>
          <w:kern w:val="36"/>
          <w:lang w:eastAsia="en-AU"/>
        </w:rPr>
        <w:t xml:space="preserve">Recommendation </w:t>
      </w:r>
      <w:r w:rsidR="00AA662C" w:rsidRPr="00F06651">
        <w:rPr>
          <w:bCs/>
          <w:kern w:val="36"/>
          <w:lang w:eastAsia="en-AU"/>
        </w:rPr>
        <w:t>ITU</w:t>
      </w:r>
      <w:r w:rsidR="00811C3E">
        <w:rPr>
          <w:bCs/>
          <w:kern w:val="36"/>
          <w:lang w:eastAsia="en-AU"/>
        </w:rPr>
        <w:t>-T</w:t>
      </w:r>
      <w:r w:rsidR="00AA662C" w:rsidRPr="00F06651">
        <w:rPr>
          <w:bCs/>
          <w:kern w:val="36"/>
          <w:lang w:eastAsia="en-AU"/>
        </w:rPr>
        <w:t xml:space="preserve"> K</w:t>
      </w:r>
      <w:r w:rsidR="00811C3E">
        <w:rPr>
          <w:bCs/>
          <w:kern w:val="36"/>
          <w:lang w:eastAsia="en-AU"/>
        </w:rPr>
        <w:t>.</w:t>
      </w:r>
      <w:r w:rsidR="00AA662C" w:rsidRPr="00F06651">
        <w:rPr>
          <w:bCs/>
          <w:kern w:val="36"/>
          <w:lang w:eastAsia="en-AU"/>
        </w:rPr>
        <w:t>91</w:t>
      </w:r>
      <w:r w:rsidR="00351DDF">
        <w:rPr>
          <w:bCs/>
          <w:kern w:val="36"/>
          <w:lang w:eastAsia="en-AU"/>
        </w:rPr>
        <w:t xml:space="preserve"> (2014),</w:t>
      </w:r>
      <w:r w:rsidR="00AA662C" w:rsidRPr="00F06651">
        <w:rPr>
          <w:bCs/>
          <w:kern w:val="36"/>
          <w:lang w:eastAsia="en-AU"/>
        </w:rPr>
        <w:t xml:space="preserve"> Guide on </w:t>
      </w:r>
      <w:r w:rsidR="00351DDF">
        <w:rPr>
          <w:bCs/>
          <w:kern w:val="36"/>
          <w:lang w:eastAsia="en-AU"/>
        </w:rPr>
        <w:t>e</w:t>
      </w:r>
      <w:r w:rsidR="00AA662C" w:rsidRPr="00F06651">
        <w:rPr>
          <w:bCs/>
          <w:kern w:val="36"/>
          <w:lang w:eastAsia="en-AU"/>
        </w:rPr>
        <w:t xml:space="preserve">lectromagnetic </w:t>
      </w:r>
      <w:r w:rsidR="00351DDF">
        <w:rPr>
          <w:bCs/>
          <w:kern w:val="36"/>
          <w:lang w:eastAsia="en-AU"/>
        </w:rPr>
        <w:t>f</w:t>
      </w:r>
      <w:r w:rsidR="00AA662C" w:rsidRPr="00F06651">
        <w:rPr>
          <w:bCs/>
          <w:kern w:val="36"/>
          <w:lang w:eastAsia="en-AU"/>
        </w:rPr>
        <w:t xml:space="preserve">ields and </w:t>
      </w:r>
      <w:r w:rsidR="00351DDF">
        <w:rPr>
          <w:bCs/>
          <w:kern w:val="36"/>
          <w:lang w:eastAsia="en-AU"/>
        </w:rPr>
        <w:t>h</w:t>
      </w:r>
      <w:r w:rsidR="00AA662C" w:rsidRPr="00F06651">
        <w:rPr>
          <w:bCs/>
          <w:kern w:val="36"/>
          <w:lang w:eastAsia="en-AU"/>
        </w:rPr>
        <w:t>ealth.</w:t>
      </w:r>
    </w:p>
    <w:p w14:paraId="54F84D9C" w14:textId="509C220D" w:rsidR="00AA662C" w:rsidRPr="00F06651" w:rsidRDefault="00A825B3" w:rsidP="00AB3A5D">
      <w:pPr>
        <w:pStyle w:val="Reftext"/>
        <w:rPr>
          <w:bCs/>
          <w:kern w:val="36"/>
          <w:lang w:eastAsia="en-AU"/>
        </w:rPr>
      </w:pPr>
      <w:r>
        <w:rPr>
          <w:bCs/>
          <w:kern w:val="36"/>
          <w:lang w:eastAsia="en-AU"/>
        </w:rPr>
        <w:t>I</w:t>
      </w:r>
      <w:r w:rsidR="00AC6651">
        <w:rPr>
          <w:bCs/>
          <w:kern w:val="36"/>
          <w:lang w:eastAsia="en-AU"/>
        </w:rPr>
        <w:t>skra</w:t>
      </w:r>
      <w:r w:rsidRPr="00F06651">
        <w:rPr>
          <w:bCs/>
          <w:kern w:val="36"/>
          <w:lang w:eastAsia="en-AU"/>
        </w:rPr>
        <w:t xml:space="preserve"> </w:t>
      </w:r>
      <w:r w:rsidR="000E4A5B" w:rsidRPr="002E4045">
        <w:rPr>
          <w:bCs/>
          <w:i/>
          <w:iCs/>
          <w:kern w:val="36"/>
          <w:lang w:eastAsia="en-AU"/>
        </w:rPr>
        <w:t>et al</w:t>
      </w:r>
      <w:r w:rsidR="00AA662C" w:rsidRPr="00F06651">
        <w:rPr>
          <w:bCs/>
          <w:kern w:val="36"/>
          <w:lang w:eastAsia="en-AU"/>
        </w:rPr>
        <w:t xml:space="preserve">. </w:t>
      </w:r>
      <w:r w:rsidR="00AC6651">
        <w:rPr>
          <w:bCs/>
          <w:kern w:val="36"/>
          <w:lang w:eastAsia="en-AU"/>
        </w:rPr>
        <w:t xml:space="preserve">(2007), </w:t>
      </w:r>
      <w:r w:rsidR="000E4A5B" w:rsidRPr="002E4045">
        <w:rPr>
          <w:bCs/>
          <w:i/>
          <w:iCs/>
          <w:kern w:val="36"/>
          <w:lang w:eastAsia="en-AU"/>
        </w:rPr>
        <w:t>Potential GPRS 900/180-MHz and WCDMA 1900-MHz Interference to Medical</w:t>
      </w:r>
      <w:r w:rsidR="00AA662C" w:rsidRPr="00F06651">
        <w:rPr>
          <w:bCs/>
          <w:kern w:val="36"/>
          <w:lang w:eastAsia="en-AU"/>
        </w:rPr>
        <w:t xml:space="preserve"> </w:t>
      </w:r>
      <w:r w:rsidR="000E4A5B" w:rsidRPr="002E4045">
        <w:rPr>
          <w:bCs/>
          <w:i/>
          <w:iCs/>
          <w:kern w:val="36"/>
          <w:lang w:eastAsia="en-AU"/>
        </w:rPr>
        <w:t>Devices</w:t>
      </w:r>
      <w:r w:rsidR="00AA662C" w:rsidRPr="00F06651">
        <w:rPr>
          <w:bCs/>
          <w:kern w:val="36"/>
          <w:lang w:eastAsia="en-AU"/>
        </w:rPr>
        <w:t>, IEEE Transactions on Biomedical Engineering, 54(10):1</w:t>
      </w:r>
      <w:r w:rsidR="00AC6651">
        <w:rPr>
          <w:bCs/>
          <w:kern w:val="36"/>
          <w:lang w:eastAsia="en-AU"/>
        </w:rPr>
        <w:t xml:space="preserve"> October, </w:t>
      </w:r>
      <w:r w:rsidR="00AA662C" w:rsidRPr="00F06651">
        <w:rPr>
          <w:bCs/>
          <w:kern w:val="36"/>
          <w:lang w:eastAsia="en-AU"/>
        </w:rPr>
        <w:t>858-1866</w:t>
      </w:r>
      <w:r w:rsidR="00AC6651">
        <w:rPr>
          <w:bCs/>
          <w:kern w:val="36"/>
          <w:lang w:eastAsia="en-AU"/>
        </w:rPr>
        <w:t>.</w:t>
      </w:r>
    </w:p>
    <w:p w14:paraId="54C64C89" w14:textId="1B75EA00" w:rsidR="001E426F" w:rsidRDefault="00AA662C">
      <w:pPr>
        <w:pStyle w:val="Reftext"/>
        <w:jc w:val="left"/>
        <w:rPr>
          <w:bCs/>
          <w:kern w:val="36"/>
          <w:lang w:eastAsia="en-AU"/>
        </w:rPr>
      </w:pPr>
      <w:r w:rsidRPr="00F06651">
        <w:rPr>
          <w:bCs/>
          <w:kern w:val="36"/>
          <w:lang w:eastAsia="en-AU"/>
        </w:rPr>
        <w:lastRenderedPageBreak/>
        <w:t>J</w:t>
      </w:r>
      <w:r w:rsidR="005259E8" w:rsidRPr="00F06651">
        <w:rPr>
          <w:bCs/>
          <w:kern w:val="36"/>
          <w:lang w:eastAsia="en-AU"/>
        </w:rPr>
        <w:t>oyner</w:t>
      </w:r>
      <w:r w:rsidRPr="00F06651">
        <w:rPr>
          <w:bCs/>
          <w:kern w:val="36"/>
          <w:lang w:eastAsia="en-AU"/>
        </w:rPr>
        <w:t>, K.H., V</w:t>
      </w:r>
      <w:r w:rsidR="005259E8" w:rsidRPr="00F06651">
        <w:rPr>
          <w:bCs/>
          <w:kern w:val="36"/>
          <w:lang w:eastAsia="en-AU"/>
        </w:rPr>
        <w:t>an</w:t>
      </w:r>
      <w:r w:rsidRPr="00F06651">
        <w:rPr>
          <w:bCs/>
          <w:kern w:val="36"/>
          <w:lang w:eastAsia="en-AU"/>
        </w:rPr>
        <w:t xml:space="preserve"> W</w:t>
      </w:r>
      <w:r w:rsidR="005259E8" w:rsidRPr="00F06651">
        <w:rPr>
          <w:bCs/>
          <w:kern w:val="36"/>
          <w:lang w:eastAsia="en-AU"/>
        </w:rPr>
        <w:t>yk</w:t>
      </w:r>
      <w:r w:rsidRPr="00F06651">
        <w:rPr>
          <w:bCs/>
          <w:kern w:val="36"/>
          <w:lang w:eastAsia="en-AU"/>
        </w:rPr>
        <w:t xml:space="preserve">, M.J., </w:t>
      </w:r>
      <w:r w:rsidR="005259E8">
        <w:rPr>
          <w:bCs/>
          <w:kern w:val="36"/>
          <w:lang w:eastAsia="en-AU"/>
        </w:rPr>
        <w:t xml:space="preserve">and </w:t>
      </w:r>
      <w:r w:rsidRPr="00F06651">
        <w:rPr>
          <w:bCs/>
          <w:kern w:val="36"/>
          <w:lang w:eastAsia="en-AU"/>
        </w:rPr>
        <w:t>R</w:t>
      </w:r>
      <w:r w:rsidR="005259E8" w:rsidRPr="00F06651">
        <w:rPr>
          <w:bCs/>
          <w:kern w:val="36"/>
          <w:lang w:eastAsia="en-AU"/>
        </w:rPr>
        <w:t>owley</w:t>
      </w:r>
      <w:r w:rsidRPr="00F06651">
        <w:rPr>
          <w:bCs/>
          <w:kern w:val="36"/>
          <w:lang w:eastAsia="en-AU"/>
        </w:rPr>
        <w:t xml:space="preserve">, J.T. </w:t>
      </w:r>
      <w:r w:rsidR="005259E8">
        <w:rPr>
          <w:bCs/>
          <w:kern w:val="36"/>
          <w:lang w:eastAsia="en-AU"/>
        </w:rPr>
        <w:t>(</w:t>
      </w:r>
      <w:r w:rsidR="005259E8" w:rsidRPr="00F06651">
        <w:rPr>
          <w:bCs/>
          <w:kern w:val="36"/>
          <w:lang w:eastAsia="en-AU"/>
        </w:rPr>
        <w:t>2014</w:t>
      </w:r>
      <w:r w:rsidR="005259E8">
        <w:rPr>
          <w:bCs/>
          <w:kern w:val="36"/>
          <w:lang w:eastAsia="en-AU"/>
        </w:rPr>
        <w:t>),</w:t>
      </w:r>
      <w:r w:rsidR="005259E8" w:rsidRPr="00F06651">
        <w:rPr>
          <w:bCs/>
          <w:kern w:val="36"/>
          <w:lang w:eastAsia="en-AU"/>
        </w:rPr>
        <w:t xml:space="preserve"> </w:t>
      </w:r>
      <w:r w:rsidR="000E4A5B" w:rsidRPr="002E4045">
        <w:rPr>
          <w:bCs/>
          <w:i/>
          <w:iCs/>
          <w:kern w:val="36"/>
          <w:lang w:eastAsia="en-AU"/>
        </w:rPr>
        <w:t>National Surveys of</w:t>
      </w:r>
      <w:r w:rsidRPr="00F06651">
        <w:rPr>
          <w:bCs/>
          <w:kern w:val="36"/>
          <w:lang w:eastAsia="en-AU"/>
        </w:rPr>
        <w:t xml:space="preserve"> </w:t>
      </w:r>
      <w:r w:rsidR="000E4A5B" w:rsidRPr="002E4045">
        <w:rPr>
          <w:bCs/>
          <w:i/>
          <w:iCs/>
          <w:kern w:val="36"/>
          <w:lang w:eastAsia="en-AU"/>
        </w:rPr>
        <w:t>Radiofrequency Field Strengths from Radio Base Stations in Africa</w:t>
      </w:r>
      <w:r w:rsidRPr="00F06651">
        <w:rPr>
          <w:bCs/>
          <w:kern w:val="36"/>
          <w:lang w:eastAsia="en-AU"/>
        </w:rPr>
        <w:t xml:space="preserve">, Radiation Protection Dosimetry, Vol. 158, No. 3, </w:t>
      </w:r>
      <w:r w:rsidR="00852746">
        <w:rPr>
          <w:bCs/>
          <w:kern w:val="36"/>
          <w:lang w:eastAsia="en-AU"/>
        </w:rPr>
        <w:t xml:space="preserve">February, </w:t>
      </w:r>
      <w:r w:rsidRPr="00F06651">
        <w:rPr>
          <w:bCs/>
          <w:kern w:val="36"/>
          <w:lang w:eastAsia="en-AU"/>
        </w:rPr>
        <w:t>pp. 251-262, accessed at</w:t>
      </w:r>
      <w:r w:rsidR="00464CD2">
        <w:rPr>
          <w:bCs/>
          <w:kern w:val="36"/>
          <w:lang w:eastAsia="en-AU"/>
        </w:rPr>
        <w:t xml:space="preserve"> </w:t>
      </w:r>
      <w:hyperlink r:id="rId81" w:history="1">
        <w:r w:rsidRPr="00F06651">
          <w:rPr>
            <w:bCs/>
            <w:color w:val="0000FF"/>
            <w:kern w:val="36"/>
            <w:u w:val="single"/>
            <w:lang w:eastAsia="en-AU"/>
          </w:rPr>
          <w:t>http://rpd.oxfordjournals.org/content/158/3/251</w:t>
        </w:r>
      </w:hyperlink>
      <w:r w:rsidRPr="00F06651">
        <w:rPr>
          <w:bCs/>
          <w:kern w:val="36"/>
          <w:lang w:eastAsia="en-AU"/>
        </w:rPr>
        <w:t>.</w:t>
      </w:r>
    </w:p>
    <w:p w14:paraId="56730F11" w14:textId="05685234" w:rsidR="00AA662C" w:rsidRPr="00F06651" w:rsidRDefault="00A825B3" w:rsidP="00AB3A5D">
      <w:pPr>
        <w:pStyle w:val="Reftext"/>
        <w:rPr>
          <w:bCs/>
          <w:kern w:val="36"/>
          <w:lang w:eastAsia="en-AU"/>
        </w:rPr>
      </w:pPr>
      <w:r>
        <w:rPr>
          <w:bCs/>
          <w:kern w:val="36"/>
          <w:lang w:eastAsia="en-AU"/>
        </w:rPr>
        <w:t>M</w:t>
      </w:r>
      <w:r w:rsidR="005259E8">
        <w:rPr>
          <w:bCs/>
          <w:kern w:val="36"/>
          <w:lang w:eastAsia="en-AU"/>
        </w:rPr>
        <w:t>azar,</w:t>
      </w:r>
      <w:r w:rsidRPr="00F06651">
        <w:rPr>
          <w:bCs/>
          <w:kern w:val="36"/>
          <w:lang w:eastAsia="en-AU"/>
        </w:rPr>
        <w:t xml:space="preserve"> </w:t>
      </w:r>
      <w:r w:rsidR="00AA662C" w:rsidRPr="00F06651">
        <w:rPr>
          <w:bCs/>
          <w:kern w:val="36"/>
          <w:lang w:eastAsia="en-AU"/>
        </w:rPr>
        <w:t>H.</w:t>
      </w:r>
      <w:r w:rsidR="005259E8">
        <w:rPr>
          <w:bCs/>
          <w:kern w:val="36"/>
          <w:lang w:eastAsia="en-AU"/>
        </w:rPr>
        <w:t>,</w:t>
      </w:r>
      <w:r w:rsidR="00AA662C" w:rsidRPr="00F06651">
        <w:rPr>
          <w:bCs/>
          <w:kern w:val="36"/>
          <w:lang w:eastAsia="en-AU"/>
        </w:rPr>
        <w:t xml:space="preserve"> </w:t>
      </w:r>
      <w:r w:rsidR="000E4A5B" w:rsidRPr="002E4045">
        <w:rPr>
          <w:bCs/>
          <w:i/>
          <w:iCs/>
          <w:kern w:val="36"/>
          <w:lang w:eastAsia="en-AU"/>
        </w:rPr>
        <w:t>Radio Spectrum Management: Policies, Regulations, Standards and Techniques</w:t>
      </w:r>
      <w:r w:rsidR="005259E8">
        <w:rPr>
          <w:bCs/>
          <w:kern w:val="36"/>
          <w:lang w:eastAsia="en-AU"/>
        </w:rPr>
        <w:t>,</w:t>
      </w:r>
      <w:r w:rsidR="00AA662C" w:rsidRPr="00F06651">
        <w:rPr>
          <w:bCs/>
          <w:kern w:val="36"/>
          <w:lang w:eastAsia="en-AU"/>
        </w:rPr>
        <w:t xml:space="preserve"> West Sussex: John Wiley &amp; Sons, forthcoming.</w:t>
      </w:r>
    </w:p>
    <w:p w14:paraId="1715DD37" w14:textId="40E3C264" w:rsidR="00AA662C" w:rsidRPr="00F06651" w:rsidRDefault="00AA662C" w:rsidP="00AB3A5D">
      <w:pPr>
        <w:pStyle w:val="Reftext"/>
        <w:rPr>
          <w:bCs/>
          <w:kern w:val="36"/>
          <w:lang w:eastAsia="en-AU"/>
        </w:rPr>
      </w:pPr>
      <w:r w:rsidRPr="00F06651">
        <w:rPr>
          <w:bCs/>
          <w:kern w:val="36"/>
          <w:lang w:eastAsia="en-AU"/>
        </w:rPr>
        <w:t>M</w:t>
      </w:r>
      <w:r w:rsidR="005259E8" w:rsidRPr="00F06651">
        <w:rPr>
          <w:bCs/>
          <w:kern w:val="36"/>
          <w:lang w:eastAsia="en-AU"/>
        </w:rPr>
        <w:t>inistry</w:t>
      </w:r>
      <w:r w:rsidRPr="00F06651">
        <w:rPr>
          <w:bCs/>
          <w:kern w:val="36"/>
          <w:lang w:eastAsia="en-AU"/>
        </w:rPr>
        <w:t xml:space="preserve"> for the E</w:t>
      </w:r>
      <w:r w:rsidR="005259E8" w:rsidRPr="00F06651">
        <w:rPr>
          <w:bCs/>
          <w:kern w:val="36"/>
          <w:lang w:eastAsia="en-AU"/>
        </w:rPr>
        <w:t>nvironment</w:t>
      </w:r>
      <w:r w:rsidRPr="00F06651">
        <w:rPr>
          <w:bCs/>
          <w:kern w:val="36"/>
          <w:lang w:eastAsia="en-AU"/>
        </w:rPr>
        <w:t xml:space="preserve"> </w:t>
      </w:r>
      <w:r w:rsidR="005259E8">
        <w:rPr>
          <w:bCs/>
          <w:kern w:val="36"/>
          <w:lang w:eastAsia="en-AU"/>
        </w:rPr>
        <w:t xml:space="preserve">(2009), </w:t>
      </w:r>
      <w:r w:rsidR="000E4A5B" w:rsidRPr="002E4045">
        <w:rPr>
          <w:bCs/>
          <w:i/>
          <w:iCs/>
          <w:kern w:val="36"/>
          <w:lang w:eastAsia="en-AU"/>
        </w:rPr>
        <w:t>National Environmental Standards for Telecommunication</w:t>
      </w:r>
      <w:r w:rsidRPr="00F06651">
        <w:rPr>
          <w:bCs/>
          <w:kern w:val="36"/>
          <w:lang w:eastAsia="en-AU"/>
        </w:rPr>
        <w:t xml:space="preserve"> </w:t>
      </w:r>
      <w:r w:rsidR="000E4A5B" w:rsidRPr="002E4045">
        <w:rPr>
          <w:bCs/>
          <w:i/>
          <w:iCs/>
          <w:kern w:val="36"/>
          <w:lang w:eastAsia="en-AU"/>
        </w:rPr>
        <w:t>Facilities: Users’ Guide</w:t>
      </w:r>
      <w:r w:rsidR="005259E8">
        <w:rPr>
          <w:bCs/>
          <w:kern w:val="36"/>
          <w:lang w:eastAsia="en-AU"/>
        </w:rPr>
        <w:t>,</w:t>
      </w:r>
      <w:r w:rsidRPr="00F06651">
        <w:rPr>
          <w:bCs/>
          <w:kern w:val="36"/>
          <w:lang w:eastAsia="en-AU"/>
        </w:rPr>
        <w:t xml:space="preserve"> Wellington</w:t>
      </w:r>
      <w:r w:rsidR="005259E8">
        <w:rPr>
          <w:bCs/>
          <w:kern w:val="36"/>
          <w:lang w:eastAsia="en-AU"/>
        </w:rPr>
        <w:t>.</w:t>
      </w:r>
    </w:p>
    <w:p w14:paraId="3CD438E2" w14:textId="6DADCB88" w:rsidR="00AA662C" w:rsidRPr="00F06651" w:rsidRDefault="00AA662C" w:rsidP="00AB3A5D">
      <w:pPr>
        <w:pStyle w:val="Reftext"/>
        <w:rPr>
          <w:bCs/>
          <w:kern w:val="36"/>
          <w:lang w:eastAsia="en-AU"/>
        </w:rPr>
      </w:pPr>
      <w:r w:rsidRPr="00F06651">
        <w:rPr>
          <w:bCs/>
          <w:kern w:val="36"/>
          <w:lang w:eastAsia="en-AU"/>
        </w:rPr>
        <w:t>M</w:t>
      </w:r>
      <w:r w:rsidR="005259E8" w:rsidRPr="00F06651">
        <w:rPr>
          <w:bCs/>
          <w:kern w:val="36"/>
          <w:lang w:eastAsia="en-AU"/>
        </w:rPr>
        <w:t>obile</w:t>
      </w:r>
      <w:r w:rsidRPr="00F06651">
        <w:rPr>
          <w:bCs/>
          <w:kern w:val="36"/>
          <w:lang w:eastAsia="en-AU"/>
        </w:rPr>
        <w:t xml:space="preserve"> C</w:t>
      </w:r>
      <w:r w:rsidR="005259E8" w:rsidRPr="00F06651">
        <w:rPr>
          <w:bCs/>
          <w:kern w:val="36"/>
          <w:lang w:eastAsia="en-AU"/>
        </w:rPr>
        <w:t>arriers</w:t>
      </w:r>
      <w:r w:rsidRPr="00F06651">
        <w:rPr>
          <w:bCs/>
          <w:kern w:val="36"/>
          <w:lang w:eastAsia="en-AU"/>
        </w:rPr>
        <w:t xml:space="preserve"> F</w:t>
      </w:r>
      <w:r w:rsidR="005259E8" w:rsidRPr="00F06651">
        <w:rPr>
          <w:bCs/>
          <w:kern w:val="36"/>
          <w:lang w:eastAsia="en-AU"/>
        </w:rPr>
        <w:t>orum</w:t>
      </w:r>
      <w:r w:rsidRPr="00F06651">
        <w:rPr>
          <w:bCs/>
          <w:kern w:val="36"/>
          <w:lang w:eastAsia="en-AU"/>
        </w:rPr>
        <w:t xml:space="preserve"> </w:t>
      </w:r>
      <w:r w:rsidR="005259E8">
        <w:rPr>
          <w:bCs/>
          <w:kern w:val="36"/>
          <w:lang w:eastAsia="en-AU"/>
        </w:rPr>
        <w:t xml:space="preserve">(2001), </w:t>
      </w:r>
      <w:r w:rsidR="000E4A5B" w:rsidRPr="002E4045">
        <w:rPr>
          <w:bCs/>
          <w:i/>
          <w:iCs/>
          <w:kern w:val="36"/>
          <w:lang w:eastAsia="en-AU"/>
        </w:rPr>
        <w:t>Guidelines for Better Visual Outcomes Low-impact Mobile Facilities</w:t>
      </w:r>
      <w:r w:rsidRPr="00F06651">
        <w:rPr>
          <w:bCs/>
          <w:kern w:val="36"/>
          <w:lang w:eastAsia="en-AU"/>
        </w:rPr>
        <w:t>.</w:t>
      </w:r>
    </w:p>
    <w:p w14:paraId="34970EE5" w14:textId="73AE3C98" w:rsidR="00CB08C3" w:rsidRPr="00F06651" w:rsidRDefault="00CB08C3" w:rsidP="00CB08C3">
      <w:pPr>
        <w:pStyle w:val="Reftext"/>
        <w:rPr>
          <w:bCs/>
          <w:kern w:val="36"/>
          <w:lang w:eastAsia="en-AU"/>
        </w:rPr>
      </w:pPr>
      <w:r w:rsidRPr="00F06651">
        <w:rPr>
          <w:bCs/>
          <w:kern w:val="36"/>
          <w:lang w:eastAsia="en-AU"/>
        </w:rPr>
        <w:t>Mobile Carriers Forum</w:t>
      </w:r>
      <w:r>
        <w:rPr>
          <w:bCs/>
          <w:kern w:val="36"/>
          <w:lang w:eastAsia="en-AU"/>
        </w:rPr>
        <w:t xml:space="preserve"> (August 2007), </w:t>
      </w:r>
      <w:r w:rsidRPr="00F06651">
        <w:rPr>
          <w:bCs/>
          <w:kern w:val="36"/>
          <w:lang w:eastAsia="en-AU"/>
        </w:rPr>
        <w:t>Mobile Network Base Station Deployment Technical Paper.</w:t>
      </w:r>
    </w:p>
    <w:p w14:paraId="22232409" w14:textId="7CDCD4B9" w:rsidR="00AA662C" w:rsidRPr="00F06651" w:rsidRDefault="00A825B3" w:rsidP="00AB3A5D">
      <w:pPr>
        <w:pStyle w:val="Reftext"/>
        <w:rPr>
          <w:bCs/>
          <w:kern w:val="36"/>
          <w:lang w:eastAsia="en-AU"/>
        </w:rPr>
      </w:pPr>
      <w:r>
        <w:rPr>
          <w:bCs/>
          <w:kern w:val="36"/>
          <w:lang w:eastAsia="en-AU"/>
        </w:rPr>
        <w:t>M</w:t>
      </w:r>
      <w:r w:rsidR="00CB08C3">
        <w:rPr>
          <w:bCs/>
          <w:kern w:val="36"/>
          <w:lang w:eastAsia="en-AU"/>
        </w:rPr>
        <w:t>orrissey</w:t>
      </w:r>
      <w:r w:rsidR="00AA662C" w:rsidRPr="00F06651">
        <w:rPr>
          <w:bCs/>
          <w:kern w:val="36"/>
          <w:lang w:eastAsia="en-AU"/>
        </w:rPr>
        <w:t xml:space="preserve">, </w:t>
      </w:r>
      <w:r w:rsidR="000E4A5B" w:rsidRPr="002E4045">
        <w:rPr>
          <w:bCs/>
          <w:i/>
          <w:iCs/>
          <w:kern w:val="36"/>
          <w:lang w:eastAsia="en-AU"/>
        </w:rPr>
        <w:t>Mobile Phones in the Hospital: Improved Mobile Communication and Mitigation of EMI Concerns Can Lead to an Overall Benefit to Healthcare</w:t>
      </w:r>
      <w:r w:rsidR="00AA662C" w:rsidRPr="00F06651">
        <w:rPr>
          <w:bCs/>
          <w:kern w:val="36"/>
          <w:lang w:eastAsia="en-AU"/>
        </w:rPr>
        <w:t xml:space="preserve"> </w:t>
      </w:r>
      <w:r w:rsidR="00852746">
        <w:rPr>
          <w:bCs/>
          <w:kern w:val="36"/>
          <w:lang w:eastAsia="en-AU"/>
        </w:rPr>
        <w:t>(2004),</w:t>
      </w:r>
      <w:r w:rsidR="00CB08C3">
        <w:rPr>
          <w:bCs/>
          <w:kern w:val="36"/>
          <w:lang w:eastAsia="en-AU"/>
        </w:rPr>
        <w:t xml:space="preserve"> </w:t>
      </w:r>
      <w:r w:rsidR="00AA662C" w:rsidRPr="00F06651">
        <w:rPr>
          <w:bCs/>
          <w:kern w:val="36"/>
          <w:lang w:eastAsia="en-AU"/>
        </w:rPr>
        <w:t>Health Physics, 87(1):</w:t>
      </w:r>
      <w:r w:rsidR="00281BBE">
        <w:rPr>
          <w:bCs/>
          <w:kern w:val="36"/>
          <w:lang w:eastAsia="en-AU"/>
        </w:rPr>
        <w:t xml:space="preserve"> July, </w:t>
      </w:r>
      <w:r w:rsidR="00AA662C" w:rsidRPr="00F06651">
        <w:rPr>
          <w:bCs/>
          <w:kern w:val="36"/>
          <w:lang w:eastAsia="en-AU"/>
        </w:rPr>
        <w:t>82-88.</w:t>
      </w:r>
    </w:p>
    <w:p w14:paraId="230B7078" w14:textId="44386063" w:rsidR="00AA662C" w:rsidRPr="00F06651" w:rsidRDefault="00AA662C" w:rsidP="00811C3E">
      <w:pPr>
        <w:pStyle w:val="Reftext"/>
        <w:rPr>
          <w:bCs/>
          <w:kern w:val="36"/>
          <w:lang w:eastAsia="en-AU"/>
        </w:rPr>
      </w:pPr>
      <w:r w:rsidRPr="00F06651">
        <w:rPr>
          <w:bCs/>
          <w:kern w:val="36"/>
          <w:lang w:eastAsia="en-AU"/>
        </w:rPr>
        <w:t xml:space="preserve">NRPB (2004), </w:t>
      </w:r>
      <w:r w:rsidR="000E4A5B" w:rsidRPr="002E4045">
        <w:rPr>
          <w:bCs/>
          <w:i/>
          <w:iCs/>
          <w:kern w:val="36"/>
          <w:lang w:eastAsia="en-AU"/>
        </w:rPr>
        <w:t>Mobile Phones and Health 2004</w:t>
      </w:r>
      <w:r w:rsidRPr="00F06651">
        <w:rPr>
          <w:bCs/>
          <w:kern w:val="36"/>
          <w:lang w:eastAsia="en-AU"/>
        </w:rPr>
        <w:t xml:space="preserve">: Report by the Board of NRPB, </w:t>
      </w:r>
      <w:r w:rsidR="00CB08C3">
        <w:rPr>
          <w:bCs/>
          <w:kern w:val="36"/>
          <w:lang w:eastAsia="en-AU"/>
        </w:rPr>
        <w:t>V</w:t>
      </w:r>
      <w:r w:rsidRPr="00F06651">
        <w:rPr>
          <w:bCs/>
          <w:kern w:val="36"/>
          <w:lang w:eastAsia="en-AU"/>
        </w:rPr>
        <w:t xml:space="preserve">ol. 15, </w:t>
      </w:r>
      <w:r w:rsidR="00CB08C3">
        <w:rPr>
          <w:bCs/>
          <w:kern w:val="36"/>
          <w:lang w:eastAsia="en-AU"/>
        </w:rPr>
        <w:t>N</w:t>
      </w:r>
      <w:r w:rsidRPr="00F06651">
        <w:rPr>
          <w:bCs/>
          <w:kern w:val="36"/>
          <w:lang w:eastAsia="en-AU"/>
        </w:rPr>
        <w:t xml:space="preserve">o. 5 available from </w:t>
      </w:r>
      <w:hyperlink r:id="rId82" w:history="1">
        <w:r w:rsidR="00811C3E" w:rsidRPr="00A814B3">
          <w:rPr>
            <w:rStyle w:val="Hyperlink"/>
            <w:bCs/>
            <w:kern w:val="36"/>
            <w:lang w:eastAsia="en-AU"/>
          </w:rPr>
          <w:t>http://www.hpa.org.uk</w:t>
        </w:r>
      </w:hyperlink>
      <w:r w:rsidRPr="00F06651">
        <w:rPr>
          <w:bCs/>
          <w:kern w:val="36"/>
          <w:lang w:eastAsia="en-AU"/>
        </w:rPr>
        <w:t>/.</w:t>
      </w:r>
    </w:p>
    <w:p w14:paraId="08E6824A" w14:textId="77777777" w:rsidR="00665A55" w:rsidRPr="00F06651" w:rsidRDefault="00665A55" w:rsidP="00665A55">
      <w:pPr>
        <w:pStyle w:val="Reftext"/>
        <w:rPr>
          <w:bCs/>
          <w:kern w:val="36"/>
          <w:lang w:eastAsia="en-AU"/>
        </w:rPr>
      </w:pPr>
      <w:r w:rsidRPr="00F06651">
        <w:rPr>
          <w:bCs/>
          <w:kern w:val="36"/>
          <w:lang w:eastAsia="en-AU"/>
        </w:rPr>
        <w:t xml:space="preserve">Recommendation </w:t>
      </w:r>
      <w:r>
        <w:rPr>
          <w:bCs/>
          <w:kern w:val="36"/>
          <w:lang w:eastAsia="en-AU"/>
        </w:rPr>
        <w:t xml:space="preserve">ITU-R </w:t>
      </w:r>
      <w:r w:rsidRPr="00F06651">
        <w:rPr>
          <w:bCs/>
          <w:kern w:val="36"/>
          <w:lang w:eastAsia="en-AU"/>
        </w:rPr>
        <w:t>BS.1698</w:t>
      </w:r>
      <w:r>
        <w:rPr>
          <w:bCs/>
          <w:kern w:val="36"/>
          <w:lang w:eastAsia="en-AU"/>
        </w:rPr>
        <w:t>-0 (</w:t>
      </w:r>
      <w:r w:rsidRPr="00F06651">
        <w:rPr>
          <w:bCs/>
          <w:kern w:val="36"/>
          <w:lang w:eastAsia="en-AU"/>
        </w:rPr>
        <w:t>2005</w:t>
      </w:r>
      <w:r>
        <w:rPr>
          <w:bCs/>
          <w:kern w:val="36"/>
          <w:lang w:eastAsia="en-AU"/>
        </w:rPr>
        <w:t>)</w:t>
      </w:r>
      <w:r w:rsidRPr="00F06651">
        <w:rPr>
          <w:bCs/>
          <w:kern w:val="36"/>
          <w:lang w:eastAsia="en-AU"/>
        </w:rPr>
        <w:t xml:space="preserve">, </w:t>
      </w:r>
      <w:r w:rsidRPr="009270A6">
        <w:rPr>
          <w:bCs/>
          <w:i/>
          <w:iCs/>
          <w:kern w:val="36"/>
          <w:lang w:eastAsia="en-AU"/>
        </w:rPr>
        <w:t>Evaluating fields from terrestrial broadcasting transmitting systems operating in any frequency band for assessing exposure to</w:t>
      </w:r>
      <w:r w:rsidRPr="00F06651">
        <w:rPr>
          <w:bCs/>
          <w:kern w:val="36"/>
          <w:lang w:eastAsia="en-AU"/>
        </w:rPr>
        <w:t xml:space="preserve"> </w:t>
      </w:r>
      <w:r w:rsidRPr="009270A6">
        <w:rPr>
          <w:bCs/>
          <w:i/>
          <w:iCs/>
          <w:kern w:val="36"/>
          <w:lang w:eastAsia="en-AU"/>
        </w:rPr>
        <w:t>non-ionizing radiation</w:t>
      </w:r>
      <w:r w:rsidRPr="00F06651">
        <w:rPr>
          <w:bCs/>
          <w:kern w:val="36"/>
          <w:lang w:eastAsia="en-AU"/>
        </w:rPr>
        <w:t>.</w:t>
      </w:r>
      <w:r>
        <w:rPr>
          <w:bCs/>
          <w:kern w:val="36"/>
          <w:lang w:eastAsia="en-AU"/>
        </w:rPr>
        <w:t xml:space="preserve"> </w:t>
      </w:r>
      <w:hyperlink r:id="rId83" w:history="1">
        <w:r>
          <w:rPr>
            <w:rStyle w:val="Hyperlink"/>
            <w:sz w:val="20"/>
            <w:lang w:val="en-US"/>
          </w:rPr>
          <w:t>http://www.itu.int/rec/R-REC-BS.1698/en</w:t>
        </w:r>
      </w:hyperlink>
    </w:p>
    <w:p w14:paraId="0E210A6E" w14:textId="77777777" w:rsidR="00665A55" w:rsidRPr="00F06651" w:rsidRDefault="00A90111" w:rsidP="00665A55">
      <w:pPr>
        <w:pStyle w:val="Reftext"/>
        <w:rPr>
          <w:bCs/>
          <w:kern w:val="36"/>
          <w:lang w:eastAsia="en-AU"/>
        </w:rPr>
      </w:pPr>
      <w:r>
        <w:rPr>
          <w:bCs/>
          <w:kern w:val="36"/>
          <w:lang w:eastAsia="en-AU"/>
        </w:rPr>
        <w:t>Recommendation ITU-T K.52</w:t>
      </w:r>
      <w:r w:rsidR="00665A55" w:rsidRPr="00F06651">
        <w:rPr>
          <w:bCs/>
          <w:kern w:val="36"/>
          <w:lang w:eastAsia="en-AU"/>
        </w:rPr>
        <w:t xml:space="preserve"> </w:t>
      </w:r>
      <w:r>
        <w:rPr>
          <w:bCs/>
          <w:kern w:val="36"/>
          <w:lang w:eastAsia="en-AU"/>
        </w:rPr>
        <w:t>(</w:t>
      </w:r>
      <w:r w:rsidR="00665A55" w:rsidRPr="00F06651">
        <w:rPr>
          <w:bCs/>
          <w:kern w:val="36"/>
          <w:lang w:eastAsia="en-AU"/>
        </w:rPr>
        <w:t>2004</w:t>
      </w:r>
      <w:r>
        <w:rPr>
          <w:bCs/>
          <w:kern w:val="36"/>
          <w:lang w:eastAsia="en-AU"/>
        </w:rPr>
        <w:t>)</w:t>
      </w:r>
      <w:r w:rsidR="00665A55" w:rsidRPr="00F06651">
        <w:rPr>
          <w:bCs/>
          <w:kern w:val="36"/>
          <w:lang w:eastAsia="en-AU"/>
        </w:rPr>
        <w:t xml:space="preserve">, </w:t>
      </w:r>
      <w:r w:rsidR="000E4A5B" w:rsidRPr="002E4045">
        <w:rPr>
          <w:bCs/>
          <w:i/>
          <w:iCs/>
          <w:kern w:val="36"/>
          <w:lang w:eastAsia="en-AU"/>
        </w:rPr>
        <w:t>Guidance on complying with limits for human exposure</w:t>
      </w:r>
      <w:r>
        <w:rPr>
          <w:bCs/>
          <w:i/>
          <w:iCs/>
          <w:kern w:val="36"/>
          <w:lang w:eastAsia="en-AU"/>
        </w:rPr>
        <w:t xml:space="preserve"> to </w:t>
      </w:r>
      <w:r w:rsidR="000E4A5B" w:rsidRPr="002E4045">
        <w:rPr>
          <w:bCs/>
          <w:i/>
          <w:iCs/>
          <w:kern w:val="36"/>
          <w:lang w:eastAsia="en-AU"/>
        </w:rPr>
        <w:t>electromagnetic fields</w:t>
      </w:r>
      <w:r w:rsidR="00665A55" w:rsidRPr="00F06651">
        <w:rPr>
          <w:bCs/>
          <w:kern w:val="36"/>
          <w:lang w:eastAsia="en-AU"/>
        </w:rPr>
        <w:t>.</w:t>
      </w:r>
    </w:p>
    <w:p w14:paraId="2499E49F" w14:textId="77777777" w:rsidR="00665A55" w:rsidRPr="00F06651" w:rsidRDefault="00665A55" w:rsidP="00665A55">
      <w:pPr>
        <w:pStyle w:val="Reftext"/>
        <w:rPr>
          <w:bCs/>
          <w:kern w:val="36"/>
          <w:lang w:eastAsia="en-AU"/>
        </w:rPr>
      </w:pPr>
      <w:r>
        <w:rPr>
          <w:bCs/>
          <w:kern w:val="36"/>
          <w:lang w:eastAsia="en-AU"/>
        </w:rPr>
        <w:t xml:space="preserve">Recommendation </w:t>
      </w:r>
      <w:r w:rsidRPr="00F06651">
        <w:rPr>
          <w:bCs/>
          <w:kern w:val="36"/>
          <w:lang w:eastAsia="en-AU"/>
        </w:rPr>
        <w:t xml:space="preserve">ITU-T K.61 </w:t>
      </w:r>
      <w:r>
        <w:rPr>
          <w:bCs/>
          <w:kern w:val="36"/>
          <w:lang w:eastAsia="en-AU"/>
        </w:rPr>
        <w:t>(</w:t>
      </w:r>
      <w:r w:rsidRPr="00F06651">
        <w:rPr>
          <w:bCs/>
          <w:kern w:val="36"/>
          <w:lang w:eastAsia="en-AU"/>
        </w:rPr>
        <w:t>2008</w:t>
      </w:r>
      <w:r>
        <w:rPr>
          <w:bCs/>
          <w:kern w:val="36"/>
          <w:lang w:eastAsia="en-AU"/>
        </w:rPr>
        <w:t>)</w:t>
      </w:r>
      <w:r w:rsidRPr="00F06651">
        <w:rPr>
          <w:bCs/>
          <w:kern w:val="36"/>
          <w:lang w:eastAsia="en-AU"/>
        </w:rPr>
        <w:t xml:space="preserve">, </w:t>
      </w:r>
      <w:r w:rsidRPr="009270A6">
        <w:rPr>
          <w:bCs/>
          <w:i/>
          <w:iCs/>
          <w:kern w:val="36"/>
          <w:lang w:eastAsia="en-AU"/>
        </w:rPr>
        <w:t>Guidance on measurement and numerical prediction of electromagnetic fields for compliance with human exposure limits for telecommunication</w:t>
      </w:r>
      <w:r w:rsidRPr="00F06651">
        <w:rPr>
          <w:bCs/>
          <w:kern w:val="36"/>
          <w:lang w:eastAsia="en-AU"/>
        </w:rPr>
        <w:t xml:space="preserve"> </w:t>
      </w:r>
      <w:r w:rsidRPr="009270A6">
        <w:rPr>
          <w:bCs/>
          <w:i/>
          <w:iCs/>
          <w:kern w:val="36"/>
          <w:lang w:eastAsia="en-AU"/>
        </w:rPr>
        <w:t>installations</w:t>
      </w:r>
      <w:r w:rsidRPr="00F06651">
        <w:rPr>
          <w:bCs/>
          <w:kern w:val="36"/>
          <w:lang w:eastAsia="en-AU"/>
        </w:rPr>
        <w:t>.</w:t>
      </w:r>
    </w:p>
    <w:p w14:paraId="3EE46641" w14:textId="77777777" w:rsidR="00665A55" w:rsidRPr="00F06651" w:rsidRDefault="00A90111" w:rsidP="00665A55">
      <w:pPr>
        <w:pStyle w:val="Reftext"/>
        <w:rPr>
          <w:bCs/>
          <w:kern w:val="36"/>
          <w:lang w:eastAsia="en-AU"/>
        </w:rPr>
      </w:pPr>
      <w:r>
        <w:rPr>
          <w:bCs/>
          <w:kern w:val="36"/>
          <w:lang w:eastAsia="en-AU"/>
        </w:rPr>
        <w:t>Recommendation ITU-T K.70</w:t>
      </w:r>
      <w:r w:rsidR="00665A55" w:rsidRPr="00F06651">
        <w:rPr>
          <w:bCs/>
          <w:kern w:val="36"/>
          <w:lang w:eastAsia="en-AU"/>
        </w:rPr>
        <w:t xml:space="preserve"> </w:t>
      </w:r>
      <w:r>
        <w:rPr>
          <w:bCs/>
          <w:kern w:val="36"/>
          <w:lang w:eastAsia="en-AU"/>
        </w:rPr>
        <w:t>(</w:t>
      </w:r>
      <w:r w:rsidR="00665A55" w:rsidRPr="00F06651">
        <w:rPr>
          <w:bCs/>
          <w:kern w:val="36"/>
          <w:lang w:eastAsia="en-AU"/>
        </w:rPr>
        <w:t>2007</w:t>
      </w:r>
      <w:r>
        <w:rPr>
          <w:bCs/>
          <w:kern w:val="36"/>
          <w:lang w:eastAsia="en-AU"/>
        </w:rPr>
        <w:t>)</w:t>
      </w:r>
      <w:r w:rsidR="00665A55" w:rsidRPr="00F06651">
        <w:rPr>
          <w:bCs/>
          <w:kern w:val="36"/>
          <w:lang w:eastAsia="en-AU"/>
        </w:rPr>
        <w:t xml:space="preserve">, </w:t>
      </w:r>
      <w:r w:rsidR="000E4A5B" w:rsidRPr="002E4045">
        <w:rPr>
          <w:bCs/>
          <w:i/>
          <w:iCs/>
          <w:kern w:val="36"/>
          <w:lang w:eastAsia="en-AU"/>
        </w:rPr>
        <w:t>Mitigation techniques to limit human exposure to EMFs in the vicinity of radiocommunication stations</w:t>
      </w:r>
      <w:r w:rsidR="00665A55" w:rsidRPr="00F06651">
        <w:rPr>
          <w:bCs/>
          <w:kern w:val="36"/>
          <w:lang w:eastAsia="en-AU"/>
        </w:rPr>
        <w:t>.</w:t>
      </w:r>
    </w:p>
    <w:p w14:paraId="5B3391D2" w14:textId="77777777" w:rsidR="00665A55" w:rsidRPr="00F06651" w:rsidRDefault="00A90111" w:rsidP="00665A55">
      <w:pPr>
        <w:pStyle w:val="Reftext"/>
        <w:rPr>
          <w:bCs/>
          <w:kern w:val="36"/>
          <w:lang w:eastAsia="en-AU"/>
        </w:rPr>
      </w:pPr>
      <w:r>
        <w:rPr>
          <w:bCs/>
          <w:kern w:val="36"/>
          <w:lang w:eastAsia="en-AU"/>
        </w:rPr>
        <w:t>Recommendation ITU-T K.83</w:t>
      </w:r>
      <w:r w:rsidR="00665A55" w:rsidRPr="00F06651">
        <w:rPr>
          <w:bCs/>
          <w:kern w:val="36"/>
          <w:lang w:eastAsia="en-AU"/>
        </w:rPr>
        <w:t xml:space="preserve"> </w:t>
      </w:r>
      <w:r>
        <w:rPr>
          <w:bCs/>
          <w:kern w:val="36"/>
          <w:lang w:eastAsia="en-AU"/>
        </w:rPr>
        <w:t>(</w:t>
      </w:r>
      <w:r w:rsidR="00665A55" w:rsidRPr="00F06651">
        <w:rPr>
          <w:bCs/>
          <w:kern w:val="36"/>
          <w:lang w:eastAsia="en-AU"/>
        </w:rPr>
        <w:t>2011</w:t>
      </w:r>
      <w:r>
        <w:rPr>
          <w:bCs/>
          <w:kern w:val="36"/>
          <w:lang w:eastAsia="en-AU"/>
        </w:rPr>
        <w:t>)</w:t>
      </w:r>
      <w:r w:rsidR="00665A55" w:rsidRPr="00F06651">
        <w:rPr>
          <w:bCs/>
          <w:kern w:val="36"/>
          <w:lang w:eastAsia="en-AU"/>
        </w:rPr>
        <w:t xml:space="preserve">, </w:t>
      </w:r>
      <w:r w:rsidR="000E4A5B" w:rsidRPr="002E4045">
        <w:rPr>
          <w:bCs/>
          <w:i/>
          <w:iCs/>
          <w:kern w:val="36"/>
          <w:lang w:eastAsia="en-AU"/>
        </w:rPr>
        <w:t>Monitoring of electromagnetic field levels</w:t>
      </w:r>
      <w:r w:rsidR="00665A55" w:rsidRPr="00F06651">
        <w:rPr>
          <w:bCs/>
          <w:kern w:val="36"/>
          <w:lang w:eastAsia="en-AU"/>
        </w:rPr>
        <w:t>.</w:t>
      </w:r>
    </w:p>
    <w:p w14:paraId="646E06B2" w14:textId="77777777" w:rsidR="00665A55" w:rsidRPr="00F06651" w:rsidRDefault="00A90111" w:rsidP="00665A55">
      <w:pPr>
        <w:pStyle w:val="Reftext"/>
        <w:rPr>
          <w:bCs/>
          <w:kern w:val="36"/>
          <w:lang w:eastAsia="en-AU"/>
        </w:rPr>
      </w:pPr>
      <w:r>
        <w:rPr>
          <w:bCs/>
          <w:kern w:val="36"/>
          <w:lang w:eastAsia="en-AU"/>
        </w:rPr>
        <w:t>Recommendation ITU-T K.91</w:t>
      </w:r>
      <w:r w:rsidR="00665A55" w:rsidRPr="00F06651">
        <w:rPr>
          <w:bCs/>
          <w:kern w:val="36"/>
          <w:lang w:eastAsia="en-AU"/>
        </w:rPr>
        <w:t xml:space="preserve"> </w:t>
      </w:r>
      <w:r>
        <w:rPr>
          <w:bCs/>
          <w:kern w:val="36"/>
          <w:lang w:eastAsia="en-AU"/>
        </w:rPr>
        <w:t>(</w:t>
      </w:r>
      <w:r w:rsidR="00665A55" w:rsidRPr="00F06651">
        <w:rPr>
          <w:bCs/>
          <w:kern w:val="36"/>
          <w:lang w:eastAsia="en-AU"/>
        </w:rPr>
        <w:t>2012</w:t>
      </w:r>
      <w:r>
        <w:rPr>
          <w:bCs/>
          <w:kern w:val="36"/>
          <w:lang w:eastAsia="en-AU"/>
        </w:rPr>
        <w:t>)</w:t>
      </w:r>
      <w:r w:rsidR="00665A55" w:rsidRPr="00F06651">
        <w:rPr>
          <w:bCs/>
          <w:kern w:val="36"/>
          <w:lang w:eastAsia="en-AU"/>
        </w:rPr>
        <w:t xml:space="preserve">, </w:t>
      </w:r>
      <w:r w:rsidR="000E4A5B" w:rsidRPr="002E4045">
        <w:rPr>
          <w:bCs/>
          <w:i/>
          <w:iCs/>
          <w:kern w:val="36"/>
          <w:lang w:eastAsia="en-AU"/>
        </w:rPr>
        <w:t>Guidance for assessment, evaluation and monitoring of human exposure to radio frequency electromagnetic fields</w:t>
      </w:r>
      <w:r>
        <w:rPr>
          <w:bCs/>
          <w:kern w:val="36"/>
          <w:lang w:eastAsia="en-AU"/>
        </w:rPr>
        <w:t>.</w:t>
      </w:r>
    </w:p>
    <w:p w14:paraId="6C03B999" w14:textId="77777777" w:rsidR="00665A55" w:rsidRPr="00F06651" w:rsidRDefault="00351DDF" w:rsidP="00665A55">
      <w:pPr>
        <w:pStyle w:val="Reftext"/>
        <w:rPr>
          <w:bCs/>
          <w:kern w:val="36"/>
          <w:lang w:eastAsia="en-AU"/>
        </w:rPr>
      </w:pPr>
      <w:r>
        <w:rPr>
          <w:bCs/>
          <w:kern w:val="36"/>
          <w:lang w:eastAsia="en-AU"/>
        </w:rPr>
        <w:t>Recommendation ITU-T K.100</w:t>
      </w:r>
      <w:r w:rsidR="00665A55" w:rsidRPr="00F06651">
        <w:rPr>
          <w:bCs/>
          <w:kern w:val="36"/>
          <w:lang w:eastAsia="en-AU"/>
        </w:rPr>
        <w:t xml:space="preserve"> </w:t>
      </w:r>
      <w:r>
        <w:rPr>
          <w:bCs/>
          <w:kern w:val="36"/>
          <w:lang w:eastAsia="en-AU"/>
        </w:rPr>
        <w:t>(</w:t>
      </w:r>
      <w:r w:rsidR="00665A55" w:rsidRPr="00F06651">
        <w:rPr>
          <w:bCs/>
          <w:kern w:val="36"/>
          <w:lang w:eastAsia="en-AU"/>
        </w:rPr>
        <w:t>2014</w:t>
      </w:r>
      <w:r>
        <w:rPr>
          <w:bCs/>
          <w:kern w:val="36"/>
          <w:lang w:eastAsia="en-AU"/>
        </w:rPr>
        <w:t>)</w:t>
      </w:r>
      <w:r w:rsidR="00665A55" w:rsidRPr="00F06651">
        <w:rPr>
          <w:bCs/>
          <w:kern w:val="36"/>
          <w:lang w:eastAsia="en-AU"/>
        </w:rPr>
        <w:t xml:space="preserve">, </w:t>
      </w:r>
      <w:r w:rsidR="000E4A5B" w:rsidRPr="002E4045">
        <w:rPr>
          <w:bCs/>
          <w:i/>
          <w:iCs/>
          <w:kern w:val="36"/>
          <w:lang w:eastAsia="en-AU"/>
        </w:rPr>
        <w:t>Measurement of radio frequency electromagnetic fields to determine compliance with human exposure limits when a base station is put into service</w:t>
      </w:r>
      <w:r w:rsidR="00665A55" w:rsidRPr="00F06651">
        <w:rPr>
          <w:bCs/>
          <w:kern w:val="36"/>
          <w:lang w:eastAsia="en-AU"/>
        </w:rPr>
        <w:t>.</w:t>
      </w:r>
    </w:p>
    <w:p w14:paraId="65F401BD" w14:textId="387C66CB" w:rsidR="001E426F" w:rsidRDefault="00AA662C" w:rsidP="002E4045">
      <w:pPr>
        <w:pStyle w:val="Reftext"/>
        <w:ind w:left="0" w:firstLine="0"/>
        <w:rPr>
          <w:bCs/>
          <w:kern w:val="36"/>
          <w:lang w:eastAsia="en-AU"/>
        </w:rPr>
      </w:pPr>
      <w:r w:rsidRPr="00F06651">
        <w:rPr>
          <w:bCs/>
          <w:kern w:val="36"/>
          <w:lang w:eastAsia="en-AU"/>
        </w:rPr>
        <w:t>R</w:t>
      </w:r>
      <w:r w:rsidR="00CB08C3" w:rsidRPr="00F06651">
        <w:rPr>
          <w:bCs/>
          <w:kern w:val="36"/>
          <w:lang w:eastAsia="en-AU"/>
        </w:rPr>
        <w:t>owley</w:t>
      </w:r>
      <w:r w:rsidRPr="00F06651">
        <w:rPr>
          <w:bCs/>
          <w:kern w:val="36"/>
          <w:lang w:eastAsia="en-AU"/>
        </w:rPr>
        <w:t xml:space="preserve">, J.T., </w:t>
      </w:r>
      <w:r w:rsidR="00CB08C3">
        <w:rPr>
          <w:bCs/>
          <w:kern w:val="36"/>
          <w:lang w:eastAsia="en-AU"/>
        </w:rPr>
        <w:t xml:space="preserve">and </w:t>
      </w:r>
      <w:r w:rsidRPr="00F06651">
        <w:rPr>
          <w:bCs/>
          <w:kern w:val="36"/>
          <w:lang w:eastAsia="en-AU"/>
        </w:rPr>
        <w:t>J</w:t>
      </w:r>
      <w:r w:rsidR="00CB08C3" w:rsidRPr="00F06651">
        <w:rPr>
          <w:bCs/>
          <w:kern w:val="36"/>
          <w:lang w:eastAsia="en-AU"/>
        </w:rPr>
        <w:t>oyner</w:t>
      </w:r>
      <w:r w:rsidRPr="00F06651">
        <w:rPr>
          <w:bCs/>
          <w:kern w:val="36"/>
          <w:lang w:eastAsia="en-AU"/>
        </w:rPr>
        <w:t xml:space="preserve">, K.H. </w:t>
      </w:r>
      <w:r w:rsidR="009B70F7">
        <w:rPr>
          <w:bCs/>
          <w:kern w:val="36"/>
          <w:lang w:eastAsia="en-AU"/>
        </w:rPr>
        <w:t xml:space="preserve">(2012), </w:t>
      </w:r>
      <w:r w:rsidR="000E4A5B" w:rsidRPr="002E4045">
        <w:rPr>
          <w:bCs/>
          <w:i/>
          <w:iCs/>
          <w:kern w:val="36"/>
          <w:lang w:eastAsia="en-AU"/>
        </w:rPr>
        <w:t>Comparative International Analysis of Radiofrequency</w:t>
      </w:r>
      <w:r w:rsidRPr="00F06651">
        <w:rPr>
          <w:bCs/>
          <w:kern w:val="36"/>
          <w:lang w:eastAsia="en-AU"/>
        </w:rPr>
        <w:t xml:space="preserve"> </w:t>
      </w:r>
      <w:r w:rsidR="000E4A5B" w:rsidRPr="002E4045">
        <w:rPr>
          <w:bCs/>
          <w:i/>
          <w:iCs/>
          <w:kern w:val="36"/>
          <w:lang w:eastAsia="en-AU"/>
        </w:rPr>
        <w:t>Exposure Surveys of Mobile Communication Radio Base Stations</w:t>
      </w:r>
      <w:r w:rsidRPr="00F06651">
        <w:rPr>
          <w:bCs/>
          <w:kern w:val="36"/>
          <w:lang w:eastAsia="en-AU"/>
        </w:rPr>
        <w:t xml:space="preserve">, Journal of Exposure Science and Environmental Epidemiology, Vol. 22, No. 3, </w:t>
      </w:r>
      <w:r w:rsidR="009B70F7">
        <w:rPr>
          <w:bCs/>
          <w:kern w:val="36"/>
          <w:lang w:eastAsia="en-AU"/>
        </w:rPr>
        <w:t xml:space="preserve">May/June, </w:t>
      </w:r>
      <w:r w:rsidRPr="00F06651">
        <w:rPr>
          <w:bCs/>
          <w:kern w:val="36"/>
          <w:lang w:eastAsia="en-AU"/>
        </w:rPr>
        <w:t>pp. 304</w:t>
      </w:r>
      <w:r w:rsidR="00281BBE">
        <w:rPr>
          <w:bCs/>
          <w:kern w:val="36"/>
          <w:lang w:eastAsia="en-AU"/>
        </w:rPr>
        <w:t>-</w:t>
      </w:r>
      <w:r w:rsidRPr="00F06651">
        <w:rPr>
          <w:bCs/>
          <w:kern w:val="36"/>
          <w:lang w:eastAsia="en-AU"/>
        </w:rPr>
        <w:t xml:space="preserve">315, accessed at </w:t>
      </w:r>
      <w:hyperlink r:id="rId84" w:history="1">
        <w:r w:rsidR="00811C3E" w:rsidRPr="00A814B3">
          <w:rPr>
            <w:rStyle w:val="Hyperlink"/>
            <w:bCs/>
            <w:kern w:val="36"/>
            <w:lang w:eastAsia="en-AU"/>
          </w:rPr>
          <w:t>http://www.ncbi.nlm.nih.gov/pmc/articles/PMC3347802</w:t>
        </w:r>
      </w:hyperlink>
      <w:r w:rsidRPr="00F06651">
        <w:rPr>
          <w:bCs/>
          <w:kern w:val="36"/>
          <w:lang w:eastAsia="en-AU"/>
        </w:rPr>
        <w:t>/.</w:t>
      </w:r>
      <w:r w:rsidRPr="00F06651" w:rsidDel="00E95BB8">
        <w:rPr>
          <w:bCs/>
          <w:kern w:val="36"/>
          <w:lang w:eastAsia="en-AU"/>
        </w:rPr>
        <w:t xml:space="preserve"> </w:t>
      </w:r>
    </w:p>
    <w:p w14:paraId="5CF3A3DF" w14:textId="77777777" w:rsidR="00AA662C" w:rsidRPr="00F06651" w:rsidRDefault="00AA662C" w:rsidP="00AB3A5D">
      <w:pPr>
        <w:pStyle w:val="Reftext"/>
        <w:rPr>
          <w:bCs/>
          <w:kern w:val="36"/>
          <w:lang w:eastAsia="en-AU"/>
        </w:rPr>
      </w:pPr>
      <w:r w:rsidRPr="00F06651">
        <w:rPr>
          <w:bCs/>
          <w:kern w:val="36"/>
          <w:lang w:eastAsia="en-AU"/>
        </w:rPr>
        <w:t>Swedish Radiation Safety Authority (Strålsäkerhetsmyndigheten, SSM). Eighth report from SSM’s Scientific Council on Electromagnetic Fields. March 2013.</w:t>
      </w:r>
    </w:p>
    <w:p w14:paraId="09E297A7" w14:textId="20D6F173" w:rsidR="00AA662C" w:rsidRPr="00F06651" w:rsidRDefault="00C42E0C" w:rsidP="00AB3A5D">
      <w:pPr>
        <w:pStyle w:val="Reftext"/>
        <w:rPr>
          <w:bCs/>
          <w:kern w:val="36"/>
          <w:lang w:eastAsia="en-AU"/>
        </w:rPr>
      </w:pPr>
      <w:r w:rsidRPr="00F06651">
        <w:rPr>
          <w:bCs/>
          <w:kern w:val="36"/>
          <w:lang w:eastAsia="en-AU"/>
        </w:rPr>
        <w:t>T</w:t>
      </w:r>
      <w:r w:rsidR="009B70F7" w:rsidRPr="00F06651">
        <w:rPr>
          <w:bCs/>
          <w:kern w:val="36"/>
          <w:lang w:eastAsia="en-AU"/>
        </w:rPr>
        <w:t xml:space="preserve">ang </w:t>
      </w:r>
      <w:r w:rsidR="000E4A5B" w:rsidRPr="002E4045">
        <w:rPr>
          <w:bCs/>
          <w:i/>
          <w:iCs/>
          <w:kern w:val="36"/>
          <w:lang w:eastAsia="en-AU"/>
        </w:rPr>
        <w:t>et al</w:t>
      </w:r>
      <w:r w:rsidRPr="00F06651">
        <w:rPr>
          <w:bCs/>
          <w:kern w:val="36"/>
          <w:lang w:eastAsia="en-AU"/>
        </w:rPr>
        <w:t>.</w:t>
      </w:r>
      <w:r w:rsidR="00AA662C" w:rsidRPr="00F06651">
        <w:rPr>
          <w:bCs/>
          <w:kern w:val="36"/>
          <w:lang w:eastAsia="en-AU"/>
        </w:rPr>
        <w:t xml:space="preserve"> </w:t>
      </w:r>
      <w:r w:rsidR="009B70F7">
        <w:rPr>
          <w:bCs/>
          <w:kern w:val="36"/>
          <w:lang w:eastAsia="en-AU"/>
        </w:rPr>
        <w:t xml:space="preserve">(2009), </w:t>
      </w:r>
      <w:r w:rsidR="000E4A5B" w:rsidRPr="002E4045">
        <w:rPr>
          <w:bCs/>
          <w:i/>
          <w:iCs/>
          <w:kern w:val="36"/>
          <w:lang w:eastAsia="en-AU"/>
        </w:rPr>
        <w:t>Electromagnetic Interference Immunity Testing of Medical Equipment to Second- and Third-Generation Mobile Phones</w:t>
      </w:r>
      <w:r w:rsidR="00AA662C" w:rsidRPr="00F06651">
        <w:rPr>
          <w:bCs/>
          <w:kern w:val="36"/>
          <w:lang w:eastAsia="en-AU"/>
        </w:rPr>
        <w:t>, IEEE Transactions on Electromagnetic Compatibility, 51(3, Part 2):</w:t>
      </w:r>
      <w:r w:rsidR="00281BBE">
        <w:rPr>
          <w:bCs/>
          <w:kern w:val="36"/>
          <w:lang w:eastAsia="en-AU"/>
        </w:rPr>
        <w:t xml:space="preserve"> August, </w:t>
      </w:r>
      <w:r w:rsidR="00AA662C" w:rsidRPr="00F06651">
        <w:rPr>
          <w:bCs/>
          <w:kern w:val="36"/>
          <w:lang w:eastAsia="en-AU"/>
        </w:rPr>
        <w:t>659-664.</w:t>
      </w:r>
    </w:p>
    <w:p w14:paraId="54E09BE3" w14:textId="3E1D2F0A" w:rsidR="00AA662C" w:rsidRPr="00F06651" w:rsidRDefault="00AA662C" w:rsidP="00AB3A5D">
      <w:pPr>
        <w:pStyle w:val="Reftext"/>
        <w:rPr>
          <w:bCs/>
          <w:kern w:val="36"/>
          <w:lang w:eastAsia="en-AU"/>
        </w:rPr>
      </w:pPr>
      <w:r w:rsidRPr="00F06651">
        <w:rPr>
          <w:bCs/>
          <w:kern w:val="36"/>
          <w:lang w:eastAsia="en-AU"/>
        </w:rPr>
        <w:t>V</w:t>
      </w:r>
      <w:r w:rsidR="009B70F7" w:rsidRPr="00F06651">
        <w:rPr>
          <w:bCs/>
          <w:kern w:val="36"/>
          <w:lang w:eastAsia="en-AU"/>
        </w:rPr>
        <w:t>alberg</w:t>
      </w:r>
      <w:r w:rsidRPr="00F06651">
        <w:rPr>
          <w:bCs/>
          <w:kern w:val="36"/>
          <w:lang w:eastAsia="en-AU"/>
        </w:rPr>
        <w:t>, P.A., V</w:t>
      </w:r>
      <w:r w:rsidR="009B70F7" w:rsidRPr="00F06651">
        <w:rPr>
          <w:bCs/>
          <w:kern w:val="36"/>
          <w:lang w:eastAsia="en-AU"/>
        </w:rPr>
        <w:t>an</w:t>
      </w:r>
      <w:r w:rsidRPr="00F06651">
        <w:rPr>
          <w:bCs/>
          <w:kern w:val="36"/>
          <w:lang w:eastAsia="en-AU"/>
        </w:rPr>
        <w:t xml:space="preserve"> D</w:t>
      </w:r>
      <w:r w:rsidR="009B70F7" w:rsidRPr="00F06651">
        <w:rPr>
          <w:bCs/>
          <w:kern w:val="36"/>
          <w:lang w:eastAsia="en-AU"/>
        </w:rPr>
        <w:t>eventer</w:t>
      </w:r>
      <w:r w:rsidRPr="00F06651">
        <w:rPr>
          <w:bCs/>
          <w:kern w:val="36"/>
          <w:lang w:eastAsia="en-AU"/>
        </w:rPr>
        <w:t xml:space="preserve">, T.E., </w:t>
      </w:r>
      <w:r w:rsidR="009B70F7">
        <w:rPr>
          <w:bCs/>
          <w:kern w:val="36"/>
          <w:lang w:eastAsia="en-AU"/>
        </w:rPr>
        <w:t xml:space="preserve">and </w:t>
      </w:r>
      <w:r w:rsidRPr="00F06651">
        <w:rPr>
          <w:bCs/>
          <w:kern w:val="36"/>
          <w:lang w:eastAsia="en-AU"/>
        </w:rPr>
        <w:t>R</w:t>
      </w:r>
      <w:r w:rsidR="009B70F7" w:rsidRPr="00F06651">
        <w:rPr>
          <w:bCs/>
          <w:kern w:val="36"/>
          <w:lang w:eastAsia="en-AU"/>
        </w:rPr>
        <w:t>epacholi</w:t>
      </w:r>
      <w:r w:rsidRPr="00F06651">
        <w:rPr>
          <w:bCs/>
          <w:kern w:val="36"/>
          <w:lang w:eastAsia="en-AU"/>
        </w:rPr>
        <w:t xml:space="preserve">, M.H. </w:t>
      </w:r>
      <w:r w:rsidR="009B70F7">
        <w:rPr>
          <w:bCs/>
          <w:kern w:val="36"/>
          <w:lang w:eastAsia="en-AU"/>
        </w:rPr>
        <w:t xml:space="preserve">(2007), </w:t>
      </w:r>
      <w:r w:rsidR="000E4A5B" w:rsidRPr="002E4045">
        <w:rPr>
          <w:bCs/>
          <w:i/>
          <w:iCs/>
          <w:kern w:val="36"/>
          <w:lang w:eastAsia="en-AU"/>
        </w:rPr>
        <w:t>Base Stations and Wireless</w:t>
      </w:r>
      <w:r w:rsidRPr="00F06651">
        <w:rPr>
          <w:bCs/>
          <w:kern w:val="36"/>
          <w:lang w:eastAsia="en-AU"/>
        </w:rPr>
        <w:t xml:space="preserve"> </w:t>
      </w:r>
      <w:r w:rsidR="000E4A5B" w:rsidRPr="002E4045">
        <w:rPr>
          <w:bCs/>
          <w:i/>
          <w:iCs/>
          <w:kern w:val="36"/>
          <w:lang w:eastAsia="en-AU"/>
        </w:rPr>
        <w:t>Networks – Radiofrequency (RF) Exposures and Health Consequences</w:t>
      </w:r>
      <w:r w:rsidR="009B70F7">
        <w:rPr>
          <w:bCs/>
          <w:kern w:val="36"/>
          <w:lang w:eastAsia="en-AU"/>
        </w:rPr>
        <w:t>,</w:t>
      </w:r>
      <w:r w:rsidRPr="00F06651">
        <w:rPr>
          <w:bCs/>
          <w:kern w:val="36"/>
          <w:lang w:eastAsia="en-AU"/>
        </w:rPr>
        <w:t xml:space="preserve"> Environmental Health Perspectives, Vol. 115, No. 3,</w:t>
      </w:r>
      <w:r w:rsidR="00281BBE">
        <w:rPr>
          <w:bCs/>
          <w:kern w:val="36"/>
          <w:lang w:eastAsia="en-AU"/>
        </w:rPr>
        <w:t xml:space="preserve"> </w:t>
      </w:r>
      <w:r w:rsidR="009B70F7">
        <w:rPr>
          <w:bCs/>
          <w:kern w:val="36"/>
          <w:lang w:eastAsia="en-AU"/>
        </w:rPr>
        <w:t>March,</w:t>
      </w:r>
      <w:r w:rsidRPr="00F06651">
        <w:rPr>
          <w:bCs/>
          <w:kern w:val="36"/>
          <w:lang w:eastAsia="en-AU"/>
        </w:rPr>
        <w:t xml:space="preserve"> pp. 416–424.</w:t>
      </w:r>
    </w:p>
    <w:p w14:paraId="47C93279" w14:textId="1884BDC2" w:rsidR="00AA662C" w:rsidRPr="00F06651" w:rsidRDefault="00C42E0C" w:rsidP="00811C3E">
      <w:pPr>
        <w:pStyle w:val="Reftext"/>
        <w:rPr>
          <w:bCs/>
          <w:kern w:val="36"/>
          <w:lang w:eastAsia="en-AU"/>
        </w:rPr>
      </w:pPr>
      <w:r w:rsidRPr="00F06651">
        <w:rPr>
          <w:bCs/>
          <w:kern w:val="36"/>
          <w:lang w:eastAsia="en-AU"/>
        </w:rPr>
        <w:lastRenderedPageBreak/>
        <w:t>V</w:t>
      </w:r>
      <w:r w:rsidR="009B70F7" w:rsidRPr="00F06651">
        <w:rPr>
          <w:bCs/>
          <w:kern w:val="36"/>
          <w:lang w:eastAsia="en-AU"/>
        </w:rPr>
        <w:t>an</w:t>
      </w:r>
      <w:r w:rsidRPr="00F06651">
        <w:rPr>
          <w:bCs/>
          <w:kern w:val="36"/>
          <w:lang w:eastAsia="en-AU"/>
        </w:rPr>
        <w:t xml:space="preserve"> D</w:t>
      </w:r>
      <w:r w:rsidR="009B70F7" w:rsidRPr="00F06651">
        <w:rPr>
          <w:bCs/>
          <w:kern w:val="36"/>
          <w:lang w:eastAsia="en-AU"/>
        </w:rPr>
        <w:t>er</w:t>
      </w:r>
      <w:r w:rsidRPr="00F06651">
        <w:rPr>
          <w:bCs/>
          <w:kern w:val="36"/>
          <w:lang w:eastAsia="en-AU"/>
        </w:rPr>
        <w:t xml:space="preserve"> T</w:t>
      </w:r>
      <w:r w:rsidR="009B70F7" w:rsidRPr="00F06651">
        <w:rPr>
          <w:bCs/>
          <w:kern w:val="36"/>
          <w:lang w:eastAsia="en-AU"/>
        </w:rPr>
        <w:t>ogt</w:t>
      </w:r>
      <w:r w:rsidRPr="00F06651">
        <w:rPr>
          <w:bCs/>
          <w:kern w:val="36"/>
          <w:lang w:eastAsia="en-AU"/>
        </w:rPr>
        <w:t xml:space="preserve"> </w:t>
      </w:r>
      <w:r w:rsidR="000E4A5B" w:rsidRPr="002E4045">
        <w:rPr>
          <w:bCs/>
          <w:i/>
          <w:iCs/>
          <w:kern w:val="36"/>
          <w:lang w:eastAsia="en-AU"/>
        </w:rPr>
        <w:t>et al</w:t>
      </w:r>
      <w:r w:rsidRPr="00F06651">
        <w:rPr>
          <w:bCs/>
          <w:kern w:val="36"/>
          <w:lang w:eastAsia="en-AU"/>
        </w:rPr>
        <w:t>.</w:t>
      </w:r>
      <w:r w:rsidR="00AA662C" w:rsidRPr="00F06651">
        <w:rPr>
          <w:bCs/>
          <w:kern w:val="36"/>
          <w:lang w:eastAsia="en-AU"/>
        </w:rPr>
        <w:t xml:space="preserve"> </w:t>
      </w:r>
      <w:r w:rsidR="009B70F7">
        <w:rPr>
          <w:bCs/>
          <w:kern w:val="36"/>
          <w:lang w:eastAsia="en-AU"/>
        </w:rPr>
        <w:t xml:space="preserve">(2008), </w:t>
      </w:r>
      <w:r w:rsidR="000E4A5B" w:rsidRPr="002E4045">
        <w:rPr>
          <w:bCs/>
          <w:i/>
          <w:iCs/>
          <w:kern w:val="36"/>
          <w:lang w:eastAsia="en-AU"/>
        </w:rPr>
        <w:t>Electromagnetic Interference From Radio Frequency Identification Inducing Potentially Hazardous Incidents in Critical Care Medical Equipment</w:t>
      </w:r>
      <w:r w:rsidR="00AA662C" w:rsidRPr="00F06651">
        <w:rPr>
          <w:bCs/>
          <w:kern w:val="36"/>
          <w:lang w:eastAsia="en-AU"/>
        </w:rPr>
        <w:t>, JAMA, 299(24):</w:t>
      </w:r>
      <w:r w:rsidR="00281BBE">
        <w:rPr>
          <w:bCs/>
          <w:kern w:val="36"/>
          <w:lang w:eastAsia="en-AU"/>
        </w:rPr>
        <w:t xml:space="preserve"> 25 June, </w:t>
      </w:r>
      <w:r w:rsidR="00AA662C" w:rsidRPr="00F06651">
        <w:rPr>
          <w:bCs/>
          <w:kern w:val="36"/>
          <w:lang w:eastAsia="en-AU"/>
        </w:rPr>
        <w:t>2884</w:t>
      </w:r>
      <w:r w:rsidR="00811C3E">
        <w:rPr>
          <w:bCs/>
          <w:kern w:val="36"/>
          <w:lang w:eastAsia="en-AU"/>
        </w:rPr>
        <w:noBreakHyphen/>
      </w:r>
      <w:r w:rsidR="00AA662C" w:rsidRPr="00F06651">
        <w:rPr>
          <w:bCs/>
          <w:kern w:val="36"/>
          <w:lang w:eastAsia="en-AU"/>
        </w:rPr>
        <w:t>2890.</w:t>
      </w:r>
    </w:p>
    <w:p w14:paraId="0CA23216" w14:textId="6EEA5D7C" w:rsidR="00AA662C" w:rsidRPr="00F06651" w:rsidRDefault="00A825B3" w:rsidP="00AB3A5D">
      <w:pPr>
        <w:pStyle w:val="Reftext"/>
        <w:rPr>
          <w:bCs/>
          <w:kern w:val="36"/>
          <w:lang w:eastAsia="en-AU"/>
        </w:rPr>
      </w:pPr>
      <w:r w:rsidRPr="00F06651">
        <w:rPr>
          <w:bCs/>
          <w:kern w:val="36"/>
          <w:lang w:eastAsia="en-AU"/>
        </w:rPr>
        <w:t>W</w:t>
      </w:r>
      <w:r w:rsidR="009B70F7" w:rsidRPr="00F06651">
        <w:rPr>
          <w:bCs/>
          <w:kern w:val="36"/>
          <w:lang w:eastAsia="en-AU"/>
        </w:rPr>
        <w:t>orld</w:t>
      </w:r>
      <w:r w:rsidRPr="00F06651">
        <w:rPr>
          <w:bCs/>
          <w:kern w:val="36"/>
          <w:lang w:eastAsia="en-AU"/>
        </w:rPr>
        <w:t xml:space="preserve"> H</w:t>
      </w:r>
      <w:r w:rsidR="009B70F7" w:rsidRPr="00F06651">
        <w:rPr>
          <w:bCs/>
          <w:kern w:val="36"/>
          <w:lang w:eastAsia="en-AU"/>
        </w:rPr>
        <w:t>ealth</w:t>
      </w:r>
      <w:r w:rsidRPr="00F06651">
        <w:rPr>
          <w:bCs/>
          <w:kern w:val="36"/>
          <w:lang w:eastAsia="en-AU"/>
        </w:rPr>
        <w:t xml:space="preserve"> O</w:t>
      </w:r>
      <w:r w:rsidR="009B70F7" w:rsidRPr="00F06651">
        <w:rPr>
          <w:bCs/>
          <w:kern w:val="36"/>
          <w:lang w:eastAsia="en-AU"/>
        </w:rPr>
        <w:t>rganization</w:t>
      </w:r>
      <w:r w:rsidR="00AA662C" w:rsidRPr="00F06651">
        <w:rPr>
          <w:bCs/>
          <w:kern w:val="36"/>
          <w:lang w:eastAsia="en-AU"/>
        </w:rPr>
        <w:t xml:space="preserve"> </w:t>
      </w:r>
      <w:r w:rsidR="009B70F7">
        <w:rPr>
          <w:bCs/>
          <w:kern w:val="36"/>
          <w:lang w:eastAsia="en-AU"/>
        </w:rPr>
        <w:t>(</w:t>
      </w:r>
      <w:r w:rsidR="00AA662C" w:rsidRPr="00F06651">
        <w:rPr>
          <w:bCs/>
          <w:kern w:val="36"/>
          <w:lang w:eastAsia="en-AU"/>
        </w:rPr>
        <w:t>2002</w:t>
      </w:r>
      <w:r w:rsidR="009B70F7">
        <w:rPr>
          <w:bCs/>
          <w:kern w:val="36"/>
          <w:lang w:eastAsia="en-AU"/>
        </w:rPr>
        <w:t>),</w:t>
      </w:r>
      <w:r w:rsidR="00AA662C" w:rsidRPr="00F06651">
        <w:rPr>
          <w:bCs/>
          <w:kern w:val="36"/>
          <w:lang w:eastAsia="en-AU"/>
        </w:rPr>
        <w:t xml:space="preserve"> </w:t>
      </w:r>
      <w:r w:rsidR="000E4A5B" w:rsidRPr="002E4045">
        <w:rPr>
          <w:bCs/>
          <w:i/>
          <w:iCs/>
          <w:kern w:val="36"/>
          <w:lang w:eastAsia="en-AU"/>
        </w:rPr>
        <w:t>Establishing a Dialogue on Risks from Electromagnetic Fields</w:t>
      </w:r>
      <w:r w:rsidR="00AA662C" w:rsidRPr="00F06651">
        <w:rPr>
          <w:bCs/>
          <w:kern w:val="36"/>
          <w:lang w:eastAsia="en-AU"/>
        </w:rPr>
        <w:t xml:space="preserve"> available at </w:t>
      </w:r>
      <w:hyperlink r:id="rId85" w:history="1">
        <w:r w:rsidR="00AA662C" w:rsidRPr="00F06651">
          <w:rPr>
            <w:bCs/>
            <w:color w:val="0000FF"/>
            <w:kern w:val="36"/>
            <w:u w:val="single"/>
            <w:lang w:eastAsia="en-AU"/>
          </w:rPr>
          <w:t>http://www.who.int/peh-emf/publications/risk_hand/en/</w:t>
        </w:r>
      </w:hyperlink>
      <w:r w:rsidR="00AA662C" w:rsidRPr="00F06651">
        <w:rPr>
          <w:bCs/>
          <w:kern w:val="36"/>
          <w:lang w:eastAsia="en-AU"/>
        </w:rPr>
        <w:t>.</w:t>
      </w:r>
    </w:p>
    <w:p w14:paraId="45683F92" w14:textId="77777777" w:rsidR="00AA662C" w:rsidRPr="00F06651" w:rsidRDefault="00A825B3" w:rsidP="00811C3E">
      <w:pPr>
        <w:pStyle w:val="Reftext"/>
        <w:rPr>
          <w:bCs/>
          <w:kern w:val="36"/>
          <w:lang w:eastAsia="en-AU"/>
        </w:rPr>
      </w:pPr>
      <w:r w:rsidRPr="00F06651">
        <w:rPr>
          <w:bCs/>
          <w:kern w:val="36"/>
          <w:lang w:eastAsia="en-AU"/>
        </w:rPr>
        <w:t>W</w:t>
      </w:r>
      <w:r w:rsidR="009B70F7" w:rsidRPr="00F06651">
        <w:rPr>
          <w:bCs/>
          <w:kern w:val="36"/>
          <w:lang w:eastAsia="en-AU"/>
        </w:rPr>
        <w:t>orld</w:t>
      </w:r>
      <w:r w:rsidRPr="00F06651">
        <w:rPr>
          <w:bCs/>
          <w:kern w:val="36"/>
          <w:lang w:eastAsia="en-AU"/>
        </w:rPr>
        <w:t xml:space="preserve"> H</w:t>
      </w:r>
      <w:r w:rsidR="009B70F7" w:rsidRPr="00F06651">
        <w:rPr>
          <w:bCs/>
          <w:kern w:val="36"/>
          <w:lang w:eastAsia="en-AU"/>
        </w:rPr>
        <w:t>ealth</w:t>
      </w:r>
      <w:r w:rsidRPr="00F06651">
        <w:rPr>
          <w:bCs/>
          <w:kern w:val="36"/>
          <w:lang w:eastAsia="en-AU"/>
        </w:rPr>
        <w:t xml:space="preserve"> O</w:t>
      </w:r>
      <w:r w:rsidR="009B70F7" w:rsidRPr="00F06651">
        <w:rPr>
          <w:bCs/>
          <w:kern w:val="36"/>
          <w:lang w:eastAsia="en-AU"/>
        </w:rPr>
        <w:t>rganization</w:t>
      </w:r>
      <w:r w:rsidR="00AA662C" w:rsidRPr="00F06651">
        <w:rPr>
          <w:bCs/>
          <w:kern w:val="36"/>
          <w:lang w:eastAsia="en-AU"/>
        </w:rPr>
        <w:t xml:space="preserve">, </w:t>
      </w:r>
      <w:r w:rsidR="000E4A5B" w:rsidRPr="002E4045">
        <w:rPr>
          <w:bCs/>
          <w:i/>
          <w:iCs/>
          <w:kern w:val="36"/>
          <w:lang w:eastAsia="en-AU"/>
        </w:rPr>
        <w:t>Electromagnetic fields and public health: Base stations and wireless</w:t>
      </w:r>
      <w:r w:rsidR="00AA662C" w:rsidRPr="00F06651">
        <w:rPr>
          <w:bCs/>
          <w:kern w:val="36"/>
          <w:lang w:eastAsia="en-AU"/>
        </w:rPr>
        <w:t xml:space="preserve"> </w:t>
      </w:r>
      <w:r w:rsidR="000E4A5B" w:rsidRPr="002E4045">
        <w:rPr>
          <w:bCs/>
          <w:i/>
          <w:iCs/>
          <w:kern w:val="36"/>
          <w:lang w:eastAsia="en-AU"/>
        </w:rPr>
        <w:t>technologies</w:t>
      </w:r>
      <w:r w:rsidR="00AA662C" w:rsidRPr="00F06651">
        <w:rPr>
          <w:bCs/>
          <w:kern w:val="36"/>
          <w:lang w:eastAsia="en-AU"/>
        </w:rPr>
        <w:t xml:space="preserve">, Backgrounder, May 2006 available at </w:t>
      </w:r>
      <w:hyperlink r:id="rId86" w:history="1">
        <w:r w:rsidR="00811C3E" w:rsidRPr="00A814B3">
          <w:rPr>
            <w:rStyle w:val="Hyperlink"/>
            <w:bCs/>
            <w:kern w:val="36"/>
            <w:lang w:eastAsia="en-AU"/>
          </w:rPr>
          <w:t>http://www.who.int/peh-emf/publications/facts/fs304/en</w:t>
        </w:r>
      </w:hyperlink>
      <w:r w:rsidR="00AA662C" w:rsidRPr="00F06651">
        <w:rPr>
          <w:bCs/>
          <w:kern w:val="36"/>
          <w:lang w:eastAsia="en-AU"/>
        </w:rPr>
        <w:t>/.</w:t>
      </w:r>
    </w:p>
    <w:p w14:paraId="4B5BAC1D" w14:textId="0EDC020B" w:rsidR="00AA662C" w:rsidRPr="00F06651" w:rsidRDefault="00AA662C" w:rsidP="00811C3E">
      <w:pPr>
        <w:pStyle w:val="Reftext"/>
        <w:rPr>
          <w:bCs/>
          <w:kern w:val="36"/>
          <w:lang w:eastAsia="en-AU"/>
        </w:rPr>
      </w:pPr>
      <w:r w:rsidRPr="00F06651">
        <w:rPr>
          <w:bCs/>
          <w:kern w:val="36"/>
          <w:lang w:eastAsia="en-AU"/>
        </w:rPr>
        <w:t>W</w:t>
      </w:r>
      <w:r w:rsidR="009B70F7" w:rsidRPr="00F06651">
        <w:rPr>
          <w:bCs/>
          <w:kern w:val="36"/>
          <w:lang w:eastAsia="en-AU"/>
        </w:rPr>
        <w:t>u</w:t>
      </w:r>
      <w:r w:rsidRPr="00F06651">
        <w:rPr>
          <w:bCs/>
          <w:kern w:val="36"/>
          <w:lang w:eastAsia="en-AU"/>
        </w:rPr>
        <w:t>, O., B</w:t>
      </w:r>
      <w:r w:rsidR="009B70F7" w:rsidRPr="00F06651">
        <w:rPr>
          <w:bCs/>
          <w:kern w:val="36"/>
          <w:lang w:eastAsia="en-AU"/>
        </w:rPr>
        <w:t>riggs</w:t>
      </w:r>
      <w:r w:rsidRPr="00F06651">
        <w:rPr>
          <w:bCs/>
          <w:kern w:val="36"/>
          <w:lang w:eastAsia="en-AU"/>
        </w:rPr>
        <w:t>, A., K</w:t>
      </w:r>
      <w:r w:rsidR="009B70F7" w:rsidRPr="00F06651">
        <w:rPr>
          <w:bCs/>
          <w:kern w:val="36"/>
          <w:lang w:eastAsia="en-AU"/>
        </w:rPr>
        <w:t>emp</w:t>
      </w:r>
      <w:r w:rsidRPr="00F06651">
        <w:rPr>
          <w:bCs/>
          <w:kern w:val="36"/>
          <w:lang w:eastAsia="en-AU"/>
        </w:rPr>
        <w:t>, T., G</w:t>
      </w:r>
      <w:r w:rsidR="009B70F7" w:rsidRPr="00F06651">
        <w:rPr>
          <w:bCs/>
          <w:kern w:val="36"/>
          <w:lang w:eastAsia="en-AU"/>
        </w:rPr>
        <w:t>ray</w:t>
      </w:r>
      <w:r w:rsidRPr="00F06651">
        <w:rPr>
          <w:bCs/>
          <w:kern w:val="36"/>
          <w:lang w:eastAsia="en-AU"/>
        </w:rPr>
        <w:t>, A., M</w:t>
      </w:r>
      <w:r w:rsidR="009B70F7" w:rsidRPr="00F06651">
        <w:rPr>
          <w:bCs/>
          <w:kern w:val="36"/>
          <w:lang w:eastAsia="en-AU"/>
        </w:rPr>
        <w:t>acintyre</w:t>
      </w:r>
      <w:r w:rsidRPr="00F06651">
        <w:rPr>
          <w:bCs/>
          <w:kern w:val="36"/>
          <w:lang w:eastAsia="en-AU"/>
        </w:rPr>
        <w:t>, K., R</w:t>
      </w:r>
      <w:r w:rsidR="009B70F7" w:rsidRPr="00F06651">
        <w:rPr>
          <w:bCs/>
          <w:kern w:val="36"/>
          <w:lang w:eastAsia="en-AU"/>
        </w:rPr>
        <w:t>owley</w:t>
      </w:r>
      <w:r w:rsidRPr="00F06651">
        <w:rPr>
          <w:bCs/>
          <w:kern w:val="36"/>
          <w:lang w:eastAsia="en-AU"/>
        </w:rPr>
        <w:t xml:space="preserve">, J., </w:t>
      </w:r>
      <w:r w:rsidR="009B70F7">
        <w:rPr>
          <w:bCs/>
          <w:kern w:val="36"/>
          <w:lang w:eastAsia="en-AU"/>
        </w:rPr>
        <w:t xml:space="preserve">and </w:t>
      </w:r>
      <w:r w:rsidRPr="00F06651">
        <w:rPr>
          <w:bCs/>
          <w:kern w:val="36"/>
          <w:lang w:eastAsia="en-AU"/>
        </w:rPr>
        <w:t>W</w:t>
      </w:r>
      <w:r w:rsidR="009B70F7" w:rsidRPr="00F06651">
        <w:rPr>
          <w:bCs/>
          <w:kern w:val="36"/>
          <w:lang w:eastAsia="en-AU"/>
        </w:rPr>
        <w:t>illett</w:t>
      </w:r>
      <w:r w:rsidRPr="00F06651">
        <w:rPr>
          <w:bCs/>
          <w:kern w:val="36"/>
          <w:lang w:eastAsia="en-AU"/>
        </w:rPr>
        <w:t xml:space="preserve">, K. </w:t>
      </w:r>
      <w:r w:rsidR="009B70F7">
        <w:rPr>
          <w:bCs/>
          <w:kern w:val="36"/>
          <w:lang w:eastAsia="en-AU"/>
        </w:rPr>
        <w:t xml:space="preserve">(2012), </w:t>
      </w:r>
      <w:r w:rsidR="000E4A5B" w:rsidRPr="002E4045">
        <w:rPr>
          <w:bCs/>
          <w:i/>
          <w:iCs/>
          <w:kern w:val="36"/>
          <w:lang w:eastAsia="en-AU"/>
        </w:rPr>
        <w:t>Mobile Phone Use for Contacting Emergency Services in Life-Threatening Circumstances</w:t>
      </w:r>
      <w:r w:rsidRPr="00F06651">
        <w:rPr>
          <w:bCs/>
          <w:kern w:val="36"/>
          <w:lang w:eastAsia="en-AU"/>
        </w:rPr>
        <w:t>, The Journal of Emergency Medicine, Vol. 52, No. 3,</w:t>
      </w:r>
      <w:r w:rsidR="009B70F7">
        <w:rPr>
          <w:bCs/>
          <w:kern w:val="36"/>
          <w:lang w:eastAsia="en-AU"/>
        </w:rPr>
        <w:t>March,</w:t>
      </w:r>
      <w:r w:rsidRPr="00F06651">
        <w:rPr>
          <w:bCs/>
          <w:kern w:val="36"/>
          <w:lang w:eastAsia="en-AU"/>
        </w:rPr>
        <w:t xml:space="preserve"> pp.</w:t>
      </w:r>
      <w:r w:rsidR="00811C3E">
        <w:rPr>
          <w:bCs/>
          <w:kern w:val="36"/>
          <w:lang w:eastAsia="en-AU"/>
        </w:rPr>
        <w:t> </w:t>
      </w:r>
      <w:r w:rsidRPr="00F06651">
        <w:rPr>
          <w:bCs/>
          <w:kern w:val="36"/>
          <w:lang w:eastAsia="en-AU"/>
        </w:rPr>
        <w:t>291</w:t>
      </w:r>
      <w:r w:rsidR="00811C3E">
        <w:rPr>
          <w:bCs/>
          <w:kern w:val="36"/>
          <w:lang w:eastAsia="en-AU"/>
        </w:rPr>
        <w:noBreakHyphen/>
      </w:r>
      <w:r w:rsidRPr="00F06651">
        <w:rPr>
          <w:bCs/>
          <w:kern w:val="36"/>
          <w:lang w:eastAsia="en-AU"/>
        </w:rPr>
        <w:t>298.e3</w:t>
      </w:r>
      <w:r w:rsidR="009B70F7">
        <w:rPr>
          <w:bCs/>
          <w:kern w:val="36"/>
          <w:lang w:eastAsia="en-AU"/>
        </w:rPr>
        <w:t>.</w:t>
      </w:r>
    </w:p>
    <w:p w14:paraId="16E6B9D7" w14:textId="600E656D" w:rsidR="00AA662C" w:rsidRPr="00F06651" w:rsidRDefault="00AA662C" w:rsidP="00AB3A5D">
      <w:pPr>
        <w:pStyle w:val="Reftext"/>
        <w:rPr>
          <w:bCs/>
          <w:kern w:val="36"/>
          <w:lang w:eastAsia="en-AU"/>
        </w:rPr>
      </w:pPr>
      <w:r w:rsidRPr="00F06651">
        <w:rPr>
          <w:bCs/>
          <w:kern w:val="36"/>
          <w:lang w:eastAsia="en-AU"/>
        </w:rPr>
        <w:t>Z</w:t>
      </w:r>
      <w:r w:rsidR="00F24FE3" w:rsidRPr="00F06651">
        <w:rPr>
          <w:bCs/>
          <w:kern w:val="36"/>
          <w:lang w:eastAsia="en-AU"/>
        </w:rPr>
        <w:t>arikoff</w:t>
      </w:r>
      <w:r w:rsidRPr="00F06651">
        <w:rPr>
          <w:bCs/>
          <w:kern w:val="36"/>
          <w:lang w:eastAsia="en-AU"/>
        </w:rPr>
        <w:t>, B., M</w:t>
      </w:r>
      <w:r w:rsidR="00F24FE3" w:rsidRPr="00F06651">
        <w:rPr>
          <w:bCs/>
          <w:kern w:val="36"/>
          <w:lang w:eastAsia="en-AU"/>
        </w:rPr>
        <w:t>alone</w:t>
      </w:r>
      <w:r w:rsidRPr="00F06651">
        <w:rPr>
          <w:bCs/>
          <w:kern w:val="36"/>
          <w:lang w:eastAsia="en-AU"/>
        </w:rPr>
        <w:t xml:space="preserve">, D. </w:t>
      </w:r>
      <w:r w:rsidR="00F24FE3">
        <w:rPr>
          <w:bCs/>
          <w:kern w:val="36"/>
          <w:lang w:eastAsia="en-AU"/>
        </w:rPr>
        <w:t xml:space="preserve">(2013), </w:t>
      </w:r>
      <w:r w:rsidR="000E4A5B" w:rsidRPr="002E4045">
        <w:rPr>
          <w:bCs/>
          <w:i/>
          <w:iCs/>
          <w:kern w:val="36"/>
          <w:lang w:eastAsia="en-AU"/>
        </w:rPr>
        <w:t>A Comparison of RF Exposure in Macro- and Femtocells</w:t>
      </w:r>
      <w:r w:rsidRPr="00F06651">
        <w:rPr>
          <w:bCs/>
          <w:kern w:val="36"/>
          <w:lang w:eastAsia="en-AU"/>
        </w:rPr>
        <w:t xml:space="preserve">, Health Physics, Vol. 105, No. 1, </w:t>
      </w:r>
      <w:r w:rsidR="00F24FE3">
        <w:rPr>
          <w:bCs/>
          <w:kern w:val="36"/>
          <w:lang w:eastAsia="en-AU"/>
        </w:rPr>
        <w:t xml:space="preserve">July, </w:t>
      </w:r>
      <w:r w:rsidRPr="00F06651">
        <w:rPr>
          <w:bCs/>
          <w:kern w:val="36"/>
          <w:lang w:eastAsia="en-AU"/>
        </w:rPr>
        <w:t>pp. 39-48.</w:t>
      </w:r>
      <w:r w:rsidRPr="00F06651" w:rsidDel="00B05AA8">
        <w:rPr>
          <w:bCs/>
          <w:kern w:val="36"/>
          <w:lang w:eastAsia="en-AU"/>
        </w:rPr>
        <w:t xml:space="preserve"> </w:t>
      </w:r>
    </w:p>
    <w:p w14:paraId="2C7436C3" w14:textId="77777777" w:rsidR="00AA662C" w:rsidRPr="00F06651" w:rsidRDefault="00AA662C" w:rsidP="00AA662C">
      <w:pPr>
        <w:tabs>
          <w:tab w:val="clear" w:pos="794"/>
          <w:tab w:val="clear" w:pos="1191"/>
          <w:tab w:val="clear" w:pos="1588"/>
          <w:tab w:val="clear" w:pos="1985"/>
        </w:tabs>
        <w:overflowPunct/>
        <w:autoSpaceDE/>
        <w:autoSpaceDN/>
        <w:adjustRightInd/>
        <w:spacing w:before="0" w:after="200" w:line="276" w:lineRule="auto"/>
        <w:textAlignment w:val="auto"/>
        <w:rPr>
          <w:rFonts w:eastAsia="SimSun"/>
          <w:bCs/>
          <w:kern w:val="36"/>
          <w:szCs w:val="24"/>
          <w:lang w:eastAsia="en-AU"/>
        </w:rPr>
      </w:pPr>
      <w:r w:rsidRPr="00F06651">
        <w:rPr>
          <w:rFonts w:ascii="Calibri" w:eastAsia="SimSun" w:hAnsi="Calibri"/>
          <w:b/>
          <w:sz w:val="36"/>
          <w:szCs w:val="22"/>
          <w:lang w:eastAsia="zh-CN"/>
        </w:rPr>
        <w:br w:type="page"/>
      </w:r>
    </w:p>
    <w:p w14:paraId="01659F86" w14:textId="4710BBB0" w:rsidR="00AA662C" w:rsidRPr="00F06651" w:rsidRDefault="00AA662C" w:rsidP="00AB3A5D">
      <w:pPr>
        <w:pStyle w:val="AnnexNoTitle"/>
      </w:pPr>
      <w:bookmarkStart w:id="199" w:name="_Toc397945088"/>
      <w:bookmarkStart w:id="200" w:name="_Toc400020906"/>
      <w:bookmarkStart w:id="201" w:name="_Toc400106174"/>
      <w:r w:rsidRPr="00F06651">
        <w:lastRenderedPageBreak/>
        <w:t>Annex 1</w:t>
      </w:r>
      <w:r w:rsidR="00AB3A5D">
        <w:br/>
      </w:r>
      <w:r w:rsidRPr="00F06651">
        <w:br/>
        <w:t xml:space="preserve">Smart </w:t>
      </w:r>
      <w:r w:rsidR="004F58C4">
        <w:t>s</w:t>
      </w:r>
      <w:r w:rsidRPr="00F06651">
        <w:t xml:space="preserve">ustainable </w:t>
      </w:r>
      <w:r w:rsidR="004F58C4">
        <w:t>c</w:t>
      </w:r>
      <w:r w:rsidRPr="00F06651">
        <w:t xml:space="preserve">ity - EMF </w:t>
      </w:r>
      <w:r w:rsidR="004F58C4">
        <w:t>c</w:t>
      </w:r>
      <w:r w:rsidRPr="00F06651">
        <w:t>heck</w:t>
      </w:r>
      <w:r w:rsidR="00D47DC8">
        <w:t>-</w:t>
      </w:r>
      <w:r w:rsidRPr="00F06651">
        <w:t>list</w:t>
      </w:r>
      <w:bookmarkEnd w:id="199"/>
      <w:bookmarkEnd w:id="200"/>
      <w:bookmarkEnd w:id="201"/>
    </w:p>
    <w:p w14:paraId="32A59280" w14:textId="77777777" w:rsidR="00AA662C" w:rsidRPr="00F06651" w:rsidRDefault="00AA662C" w:rsidP="00AB3A5D">
      <w:pPr>
        <w:rPr>
          <w:lang w:eastAsia="zh-CN"/>
        </w:rPr>
      </w:pPr>
      <w:r w:rsidRPr="00F06651">
        <w:rPr>
          <w:lang w:eastAsia="zh-CN"/>
        </w:rPr>
        <w:t>The ‘Smart Sustainable City EMF Check</w:t>
      </w:r>
      <w:r w:rsidR="00D47DC8">
        <w:rPr>
          <w:lang w:eastAsia="zh-CN"/>
        </w:rPr>
        <w:t>-</w:t>
      </w:r>
      <w:r w:rsidRPr="00F06651">
        <w:rPr>
          <w:lang w:eastAsia="zh-CN"/>
        </w:rPr>
        <w:t>list’ is designed to provide an easy to use reference for city officials and planners in order to ensure that smart city ICT designs using wireless systems operate efficiently and in compliance with EMF exposure standards.</w:t>
      </w:r>
      <w:r w:rsidR="0049069D">
        <w:rPr>
          <w:lang w:eastAsia="zh-CN"/>
        </w:rPr>
        <w:t xml:space="preserve"> </w:t>
      </w:r>
    </w:p>
    <w:p w14:paraId="14F20289" w14:textId="77777777" w:rsidR="00AA662C" w:rsidRDefault="00AA662C" w:rsidP="00AB3A5D">
      <w:pPr>
        <w:rPr>
          <w:lang w:eastAsia="zh-CN"/>
        </w:rPr>
      </w:pPr>
      <w:r w:rsidRPr="00F06651">
        <w:rPr>
          <w:lang w:eastAsia="zh-CN"/>
        </w:rPr>
        <w:t>The following check</w:t>
      </w:r>
      <w:r w:rsidR="00D47DC8">
        <w:rPr>
          <w:lang w:eastAsia="zh-CN"/>
        </w:rPr>
        <w:t>-</w:t>
      </w:r>
      <w:r w:rsidRPr="00F06651">
        <w:rPr>
          <w:lang w:eastAsia="zh-CN"/>
        </w:rPr>
        <w:t>list</w:t>
      </w:r>
      <w:r w:rsidRPr="00F06651">
        <w:rPr>
          <w:vertAlign w:val="superscript"/>
          <w:lang w:eastAsia="zh-CN"/>
        </w:rPr>
        <w:footnoteReference w:id="19"/>
      </w:r>
      <w:r w:rsidRPr="00F06651">
        <w:rPr>
          <w:lang w:eastAsia="zh-CN"/>
        </w:rPr>
        <w:t xml:space="preserve"> identifies the key elements for EMF compliance and wireless network deployment efficiency.</w:t>
      </w:r>
    </w:p>
    <w:p w14:paraId="2357EC12" w14:textId="77777777" w:rsidR="00AB3A5D" w:rsidRPr="00F06651" w:rsidRDefault="00AB3A5D" w:rsidP="00AB3A5D">
      <w:pPr>
        <w:rPr>
          <w:lang w:eastAsia="zh-CN"/>
        </w:rPr>
      </w:pPr>
    </w:p>
    <w:tbl>
      <w:tblPr>
        <w:tblStyle w:val="TableGrid1"/>
        <w:tblW w:w="9639" w:type="dxa"/>
        <w:jc w:val="center"/>
        <w:tblLook w:val="04A0" w:firstRow="1" w:lastRow="0" w:firstColumn="1" w:lastColumn="0" w:noHBand="0" w:noVBand="1"/>
      </w:tblPr>
      <w:tblGrid>
        <w:gridCol w:w="670"/>
        <w:gridCol w:w="8016"/>
        <w:gridCol w:w="953"/>
      </w:tblGrid>
      <w:tr w:rsidR="00AA662C" w:rsidRPr="00F06651" w14:paraId="5E33BEFF" w14:textId="77777777" w:rsidTr="00AB3A5D">
        <w:trPr>
          <w:jc w:val="center"/>
        </w:trPr>
        <w:tc>
          <w:tcPr>
            <w:tcW w:w="675" w:type="dxa"/>
            <w:shd w:val="pct5" w:color="auto" w:fill="auto"/>
          </w:tcPr>
          <w:p w14:paraId="7F082366" w14:textId="77777777" w:rsidR="00AA662C" w:rsidRPr="00F06651" w:rsidRDefault="00AA662C" w:rsidP="00AB3A5D">
            <w:pPr>
              <w:pStyle w:val="Tablehead"/>
              <w:rPr>
                <w:lang w:eastAsia="zh-CN"/>
              </w:rPr>
            </w:pPr>
            <w:r w:rsidRPr="00F06651">
              <w:rPr>
                <w:lang w:eastAsia="zh-CN"/>
              </w:rPr>
              <w:t>No</w:t>
            </w:r>
            <w:r w:rsidR="004F58C4">
              <w:rPr>
                <w:lang w:eastAsia="zh-CN"/>
              </w:rPr>
              <w:t>.</w:t>
            </w:r>
          </w:p>
        </w:tc>
        <w:tc>
          <w:tcPr>
            <w:tcW w:w="8222" w:type="dxa"/>
            <w:shd w:val="pct5" w:color="auto" w:fill="auto"/>
          </w:tcPr>
          <w:p w14:paraId="7642F2BB" w14:textId="04F9A15F" w:rsidR="00AA662C" w:rsidRPr="00F06651" w:rsidRDefault="00AA662C" w:rsidP="00AB3A5D">
            <w:pPr>
              <w:pStyle w:val="Tablehead"/>
              <w:rPr>
                <w:lang w:eastAsia="zh-CN"/>
              </w:rPr>
            </w:pPr>
            <w:r w:rsidRPr="00F06651">
              <w:rPr>
                <w:lang w:eastAsia="zh-CN"/>
              </w:rPr>
              <w:t xml:space="preserve">Smart </w:t>
            </w:r>
            <w:r w:rsidR="004F58C4">
              <w:rPr>
                <w:lang w:eastAsia="zh-CN"/>
              </w:rPr>
              <w:t>s</w:t>
            </w:r>
            <w:r w:rsidRPr="00F06651">
              <w:rPr>
                <w:lang w:eastAsia="zh-CN"/>
              </w:rPr>
              <w:t xml:space="preserve">ustainable </w:t>
            </w:r>
            <w:r w:rsidR="004F58C4">
              <w:rPr>
                <w:lang w:eastAsia="zh-CN"/>
              </w:rPr>
              <w:t>c</w:t>
            </w:r>
            <w:r w:rsidRPr="00F06651">
              <w:rPr>
                <w:lang w:eastAsia="zh-CN"/>
              </w:rPr>
              <w:t xml:space="preserve">ity - EMF </w:t>
            </w:r>
            <w:r w:rsidR="004F58C4">
              <w:rPr>
                <w:lang w:eastAsia="zh-CN"/>
              </w:rPr>
              <w:t>c</w:t>
            </w:r>
            <w:r w:rsidRPr="00F06651">
              <w:rPr>
                <w:lang w:eastAsia="zh-CN"/>
              </w:rPr>
              <w:t>heck</w:t>
            </w:r>
            <w:r w:rsidR="00D47DC8">
              <w:rPr>
                <w:lang w:eastAsia="zh-CN"/>
              </w:rPr>
              <w:t>-</w:t>
            </w:r>
            <w:r w:rsidRPr="00F06651">
              <w:rPr>
                <w:lang w:eastAsia="zh-CN"/>
              </w:rPr>
              <w:t xml:space="preserve">list </w:t>
            </w:r>
          </w:p>
          <w:p w14:paraId="0166DD1C" w14:textId="77777777" w:rsidR="00AA662C" w:rsidRPr="00F06651" w:rsidRDefault="00AA662C" w:rsidP="00AB3A5D">
            <w:pPr>
              <w:pStyle w:val="Tablehead"/>
              <w:rPr>
                <w:lang w:eastAsia="zh-CN"/>
              </w:rPr>
            </w:pPr>
          </w:p>
        </w:tc>
        <w:tc>
          <w:tcPr>
            <w:tcW w:w="957" w:type="dxa"/>
            <w:shd w:val="pct5" w:color="auto" w:fill="auto"/>
          </w:tcPr>
          <w:p w14:paraId="623D214F" w14:textId="77777777" w:rsidR="00AA662C" w:rsidRPr="00F06651" w:rsidRDefault="00AA662C" w:rsidP="00AB3A5D">
            <w:pPr>
              <w:pStyle w:val="Tablehead"/>
              <w:rPr>
                <w:lang w:eastAsia="zh-CN"/>
              </w:rPr>
            </w:pPr>
            <w:r w:rsidRPr="00F06651">
              <w:rPr>
                <w:lang w:eastAsia="zh-CN"/>
              </w:rPr>
              <w:t>Check</w:t>
            </w:r>
          </w:p>
        </w:tc>
      </w:tr>
      <w:tr w:rsidR="00AA662C" w:rsidRPr="00F06651" w14:paraId="6319EAA9" w14:textId="77777777" w:rsidTr="00AB3A5D">
        <w:trPr>
          <w:jc w:val="center"/>
        </w:trPr>
        <w:tc>
          <w:tcPr>
            <w:tcW w:w="675" w:type="dxa"/>
          </w:tcPr>
          <w:p w14:paraId="02332624" w14:textId="77777777" w:rsidR="00AA662C" w:rsidRPr="00F06651" w:rsidRDefault="00AA662C" w:rsidP="00AB3A5D">
            <w:pPr>
              <w:pStyle w:val="Tabletext"/>
              <w:jc w:val="center"/>
              <w:rPr>
                <w:lang w:eastAsia="zh-CN"/>
              </w:rPr>
            </w:pPr>
            <w:r w:rsidRPr="00F06651">
              <w:rPr>
                <w:lang w:eastAsia="zh-CN"/>
              </w:rPr>
              <w:t>1</w:t>
            </w:r>
          </w:p>
        </w:tc>
        <w:tc>
          <w:tcPr>
            <w:tcW w:w="8222" w:type="dxa"/>
          </w:tcPr>
          <w:p w14:paraId="7F4ADCF6" w14:textId="47A52852" w:rsidR="00AA662C" w:rsidRPr="00464CD2" w:rsidRDefault="00AA662C" w:rsidP="00AB3A5D">
            <w:pPr>
              <w:pStyle w:val="Tabletext"/>
              <w:rPr>
                <w:b/>
                <w:bCs/>
                <w:lang w:eastAsia="zh-CN"/>
              </w:rPr>
            </w:pPr>
            <w:r w:rsidRPr="00464CD2">
              <w:rPr>
                <w:b/>
                <w:bCs/>
                <w:lang w:eastAsia="zh-CN"/>
              </w:rPr>
              <w:t xml:space="preserve">EMF </w:t>
            </w:r>
            <w:r w:rsidR="004F58C4">
              <w:rPr>
                <w:b/>
                <w:bCs/>
                <w:lang w:eastAsia="zh-CN"/>
              </w:rPr>
              <w:t>c</w:t>
            </w:r>
            <w:r w:rsidRPr="00464CD2">
              <w:rPr>
                <w:b/>
                <w:bCs/>
                <w:lang w:eastAsia="zh-CN"/>
              </w:rPr>
              <w:t xml:space="preserve">ompliance </w:t>
            </w:r>
            <w:r w:rsidR="004F58C4">
              <w:rPr>
                <w:b/>
                <w:bCs/>
                <w:lang w:eastAsia="zh-CN"/>
              </w:rPr>
              <w:t>f</w:t>
            </w:r>
            <w:r w:rsidRPr="00464CD2">
              <w:rPr>
                <w:b/>
                <w:bCs/>
                <w:lang w:eastAsia="zh-CN"/>
              </w:rPr>
              <w:t>ramework</w:t>
            </w:r>
          </w:p>
          <w:p w14:paraId="760BB7D0" w14:textId="77777777" w:rsidR="00AA662C" w:rsidRPr="00F06651" w:rsidRDefault="00AA662C" w:rsidP="00AB3A5D">
            <w:pPr>
              <w:pStyle w:val="Tabletext"/>
              <w:rPr>
                <w:lang w:eastAsia="zh-CN"/>
              </w:rPr>
            </w:pPr>
            <w:r w:rsidRPr="00F06651">
              <w:rPr>
                <w:bCs/>
                <w:kern w:val="36"/>
                <w:lang w:eastAsia="en-AU"/>
              </w:rPr>
              <w:t>Ensure that an EMF compliance framework is established to protect the general public and workers from the adverse effects of EMF</w:t>
            </w:r>
            <w:r w:rsidR="004F58C4">
              <w:rPr>
                <w:bCs/>
                <w:kern w:val="36"/>
                <w:lang w:eastAsia="en-AU"/>
              </w:rPr>
              <w:t>.</w:t>
            </w:r>
          </w:p>
        </w:tc>
        <w:tc>
          <w:tcPr>
            <w:tcW w:w="957" w:type="dxa"/>
          </w:tcPr>
          <w:p w14:paraId="3A978D71" w14:textId="77777777" w:rsidR="00AA662C" w:rsidRPr="00F06651" w:rsidRDefault="00AA662C" w:rsidP="00AB3A5D">
            <w:pPr>
              <w:pStyle w:val="Tabletext"/>
              <w:rPr>
                <w:lang w:eastAsia="zh-CN"/>
              </w:rPr>
            </w:pPr>
            <w:r w:rsidRPr="00F06651">
              <w:rPr>
                <w:lang w:eastAsia="zh-CN"/>
              </w:rPr>
              <w:t>□</w:t>
            </w:r>
          </w:p>
        </w:tc>
      </w:tr>
      <w:tr w:rsidR="00AA662C" w:rsidRPr="00F06651" w14:paraId="253C89FB" w14:textId="77777777" w:rsidTr="00AB3A5D">
        <w:trPr>
          <w:jc w:val="center"/>
        </w:trPr>
        <w:tc>
          <w:tcPr>
            <w:tcW w:w="675" w:type="dxa"/>
          </w:tcPr>
          <w:p w14:paraId="744C4197" w14:textId="77777777" w:rsidR="00AA662C" w:rsidRPr="00F06651" w:rsidRDefault="00AA662C" w:rsidP="00AB3A5D">
            <w:pPr>
              <w:pStyle w:val="Tabletext"/>
              <w:jc w:val="center"/>
              <w:rPr>
                <w:lang w:eastAsia="zh-CN"/>
              </w:rPr>
            </w:pPr>
            <w:r w:rsidRPr="00F06651">
              <w:rPr>
                <w:lang w:eastAsia="zh-CN"/>
              </w:rPr>
              <w:t>2</w:t>
            </w:r>
          </w:p>
        </w:tc>
        <w:tc>
          <w:tcPr>
            <w:tcW w:w="8222" w:type="dxa"/>
          </w:tcPr>
          <w:p w14:paraId="2C7D22C9" w14:textId="2608B79E" w:rsidR="00AA662C" w:rsidRPr="00464CD2" w:rsidRDefault="00AA662C" w:rsidP="00AB3A5D">
            <w:pPr>
              <w:pStyle w:val="Tabletext"/>
              <w:rPr>
                <w:b/>
                <w:bCs/>
                <w:lang w:eastAsia="zh-CN"/>
              </w:rPr>
            </w:pPr>
            <w:r w:rsidRPr="00464CD2">
              <w:rPr>
                <w:b/>
                <w:bCs/>
                <w:lang w:eastAsia="zh-CN"/>
              </w:rPr>
              <w:t>ICT devices meet ICNIRP RF</w:t>
            </w:r>
            <w:r w:rsidR="004F58C4">
              <w:rPr>
                <w:b/>
                <w:bCs/>
                <w:lang w:eastAsia="zh-CN"/>
              </w:rPr>
              <w:t>-</w:t>
            </w:r>
            <w:r w:rsidRPr="00464CD2">
              <w:rPr>
                <w:b/>
                <w:bCs/>
                <w:lang w:eastAsia="zh-CN"/>
              </w:rPr>
              <w:t>EMF exposure guidelines</w:t>
            </w:r>
          </w:p>
          <w:p w14:paraId="57AC4645" w14:textId="77777777" w:rsidR="00AA662C" w:rsidRPr="00F06651" w:rsidRDefault="00AA662C" w:rsidP="00AB3A5D">
            <w:pPr>
              <w:pStyle w:val="Tabletext"/>
              <w:rPr>
                <w:lang w:eastAsia="zh-CN"/>
              </w:rPr>
            </w:pPr>
            <w:r w:rsidRPr="00F06651">
              <w:rPr>
                <w:lang w:eastAsia="zh-CN"/>
              </w:rPr>
              <w:t>Ensure that devices are assessed for compliance with the public exposure guidelines</w:t>
            </w:r>
            <w:r w:rsidR="004F58C4">
              <w:rPr>
                <w:lang w:eastAsia="zh-CN"/>
              </w:rPr>
              <w:t>.</w:t>
            </w:r>
          </w:p>
        </w:tc>
        <w:tc>
          <w:tcPr>
            <w:tcW w:w="957" w:type="dxa"/>
          </w:tcPr>
          <w:p w14:paraId="0710A953" w14:textId="77777777" w:rsidR="00AA662C" w:rsidRPr="00F06651" w:rsidRDefault="00AA662C" w:rsidP="00AB3A5D">
            <w:pPr>
              <w:pStyle w:val="Tabletext"/>
              <w:rPr>
                <w:lang w:eastAsia="zh-CN"/>
              </w:rPr>
            </w:pPr>
            <w:r w:rsidRPr="00F06651">
              <w:rPr>
                <w:lang w:eastAsia="zh-CN"/>
              </w:rPr>
              <w:t>□</w:t>
            </w:r>
          </w:p>
        </w:tc>
      </w:tr>
      <w:tr w:rsidR="00AA662C" w:rsidRPr="00F06651" w14:paraId="205B6260" w14:textId="77777777" w:rsidTr="00AB3A5D">
        <w:trPr>
          <w:jc w:val="center"/>
        </w:trPr>
        <w:tc>
          <w:tcPr>
            <w:tcW w:w="675" w:type="dxa"/>
          </w:tcPr>
          <w:p w14:paraId="1E8617D6" w14:textId="77777777" w:rsidR="00AA662C" w:rsidRPr="00F06651" w:rsidRDefault="00AA662C" w:rsidP="00AB3A5D">
            <w:pPr>
              <w:pStyle w:val="Tabletext"/>
              <w:jc w:val="center"/>
              <w:rPr>
                <w:lang w:eastAsia="zh-CN"/>
              </w:rPr>
            </w:pPr>
            <w:r w:rsidRPr="00F06651">
              <w:rPr>
                <w:lang w:eastAsia="zh-CN"/>
              </w:rPr>
              <w:t>3</w:t>
            </w:r>
          </w:p>
        </w:tc>
        <w:tc>
          <w:tcPr>
            <w:tcW w:w="8222" w:type="dxa"/>
          </w:tcPr>
          <w:p w14:paraId="194D2252" w14:textId="3778FC78" w:rsidR="00AA662C" w:rsidRPr="00464CD2" w:rsidRDefault="00AA662C" w:rsidP="00AB3A5D">
            <w:pPr>
              <w:pStyle w:val="Tabletext"/>
              <w:rPr>
                <w:b/>
                <w:bCs/>
                <w:lang w:eastAsia="zh-CN"/>
              </w:rPr>
            </w:pPr>
            <w:r w:rsidRPr="00464CD2">
              <w:rPr>
                <w:b/>
                <w:bCs/>
                <w:lang w:eastAsia="zh-CN"/>
              </w:rPr>
              <w:t>Wireless networks meet ICNIRP RF</w:t>
            </w:r>
            <w:r w:rsidR="004F58C4">
              <w:rPr>
                <w:b/>
                <w:bCs/>
                <w:lang w:eastAsia="zh-CN"/>
              </w:rPr>
              <w:t>-</w:t>
            </w:r>
            <w:r w:rsidRPr="00464CD2">
              <w:rPr>
                <w:b/>
                <w:bCs/>
                <w:lang w:eastAsia="zh-CN"/>
              </w:rPr>
              <w:t>EMF exposure guidelines</w:t>
            </w:r>
          </w:p>
          <w:p w14:paraId="3F2A5265" w14:textId="77777777" w:rsidR="00AA662C" w:rsidRPr="00F06651" w:rsidRDefault="00AA662C" w:rsidP="00AB3A5D">
            <w:pPr>
              <w:pStyle w:val="Tabletext"/>
              <w:rPr>
                <w:lang w:eastAsia="zh-CN"/>
              </w:rPr>
            </w:pPr>
            <w:r w:rsidRPr="00F06651">
              <w:rPr>
                <w:lang w:eastAsia="zh-CN"/>
              </w:rPr>
              <w:t>Ensure that the network sites are assessed for compliance to the ICNIRP guidelines, and that access controls and safety procedures are in place for working at antenna sites</w:t>
            </w:r>
            <w:r w:rsidR="004F58C4">
              <w:rPr>
                <w:lang w:eastAsia="zh-CN"/>
              </w:rPr>
              <w:t>.</w:t>
            </w:r>
          </w:p>
        </w:tc>
        <w:tc>
          <w:tcPr>
            <w:tcW w:w="957" w:type="dxa"/>
          </w:tcPr>
          <w:p w14:paraId="55A7C5C8" w14:textId="77777777" w:rsidR="00AA662C" w:rsidRPr="00F06651" w:rsidRDefault="00AA662C" w:rsidP="00AB3A5D">
            <w:pPr>
              <w:pStyle w:val="Tabletext"/>
              <w:rPr>
                <w:lang w:eastAsia="zh-CN"/>
              </w:rPr>
            </w:pPr>
            <w:r w:rsidRPr="00F06651">
              <w:rPr>
                <w:lang w:eastAsia="zh-CN"/>
              </w:rPr>
              <w:t>□</w:t>
            </w:r>
          </w:p>
        </w:tc>
      </w:tr>
      <w:tr w:rsidR="00AA662C" w:rsidRPr="00F06651" w14:paraId="6CEC1DA2" w14:textId="77777777" w:rsidTr="00AB3A5D">
        <w:trPr>
          <w:jc w:val="center"/>
        </w:trPr>
        <w:tc>
          <w:tcPr>
            <w:tcW w:w="675" w:type="dxa"/>
          </w:tcPr>
          <w:p w14:paraId="6CD9B2BF" w14:textId="77777777" w:rsidR="00AA662C" w:rsidRPr="00F06651" w:rsidRDefault="00AA662C" w:rsidP="00AB3A5D">
            <w:pPr>
              <w:pStyle w:val="Tabletext"/>
              <w:jc w:val="center"/>
              <w:rPr>
                <w:lang w:eastAsia="zh-CN"/>
              </w:rPr>
            </w:pPr>
            <w:r w:rsidRPr="00F06651">
              <w:rPr>
                <w:lang w:eastAsia="zh-CN"/>
              </w:rPr>
              <w:t>4</w:t>
            </w:r>
          </w:p>
        </w:tc>
        <w:tc>
          <w:tcPr>
            <w:tcW w:w="8222" w:type="dxa"/>
          </w:tcPr>
          <w:p w14:paraId="76AB3A3A" w14:textId="6BD37E2F" w:rsidR="00AA662C" w:rsidRPr="00464CD2" w:rsidRDefault="00AA662C" w:rsidP="00AB3A5D">
            <w:pPr>
              <w:pStyle w:val="Tabletext"/>
              <w:rPr>
                <w:b/>
                <w:bCs/>
                <w:lang w:eastAsia="zh-CN"/>
              </w:rPr>
            </w:pPr>
            <w:r w:rsidRPr="00464CD2">
              <w:rPr>
                <w:b/>
                <w:bCs/>
                <w:lang w:eastAsia="zh-CN"/>
              </w:rPr>
              <w:t>Document RF</w:t>
            </w:r>
            <w:r w:rsidR="004F58C4">
              <w:rPr>
                <w:b/>
                <w:bCs/>
                <w:lang w:eastAsia="zh-CN"/>
              </w:rPr>
              <w:t>-</w:t>
            </w:r>
            <w:r w:rsidRPr="00464CD2">
              <w:rPr>
                <w:b/>
                <w:bCs/>
                <w:lang w:eastAsia="zh-CN"/>
              </w:rPr>
              <w:t xml:space="preserve">EMF </w:t>
            </w:r>
            <w:r w:rsidR="004F58C4">
              <w:rPr>
                <w:b/>
                <w:bCs/>
                <w:lang w:eastAsia="zh-CN"/>
              </w:rPr>
              <w:t>c</w:t>
            </w:r>
            <w:r w:rsidRPr="00464CD2">
              <w:rPr>
                <w:b/>
                <w:bCs/>
                <w:lang w:eastAsia="zh-CN"/>
              </w:rPr>
              <w:t>ompliance</w:t>
            </w:r>
          </w:p>
          <w:p w14:paraId="21E5B231" w14:textId="77777777" w:rsidR="00AA662C" w:rsidRPr="00F06651" w:rsidRDefault="00AA662C" w:rsidP="00AB3A5D">
            <w:pPr>
              <w:pStyle w:val="Tabletext"/>
              <w:rPr>
                <w:lang w:eastAsia="zh-CN"/>
              </w:rPr>
            </w:pPr>
            <w:r w:rsidRPr="00F06651">
              <w:rPr>
                <w:lang w:eastAsia="zh-CN"/>
              </w:rPr>
              <w:t>Ensure that the EMF compliance for ICT devices and networks is documented</w:t>
            </w:r>
            <w:r w:rsidR="004F58C4">
              <w:rPr>
                <w:lang w:eastAsia="zh-CN"/>
              </w:rPr>
              <w:t>.</w:t>
            </w:r>
          </w:p>
        </w:tc>
        <w:tc>
          <w:tcPr>
            <w:tcW w:w="957" w:type="dxa"/>
          </w:tcPr>
          <w:p w14:paraId="03F1C3AB" w14:textId="77777777" w:rsidR="00AA662C" w:rsidRPr="00F06651" w:rsidRDefault="00AA662C" w:rsidP="00AB3A5D">
            <w:pPr>
              <w:pStyle w:val="Tabletext"/>
              <w:rPr>
                <w:lang w:eastAsia="zh-CN"/>
              </w:rPr>
            </w:pPr>
            <w:r w:rsidRPr="00F06651">
              <w:rPr>
                <w:lang w:eastAsia="zh-CN"/>
              </w:rPr>
              <w:t>□</w:t>
            </w:r>
          </w:p>
        </w:tc>
      </w:tr>
      <w:tr w:rsidR="00AA662C" w:rsidRPr="00F06651" w14:paraId="0676DA0B" w14:textId="77777777" w:rsidTr="00AB3A5D">
        <w:trPr>
          <w:jc w:val="center"/>
        </w:trPr>
        <w:tc>
          <w:tcPr>
            <w:tcW w:w="675" w:type="dxa"/>
          </w:tcPr>
          <w:p w14:paraId="3939B7A1" w14:textId="77777777" w:rsidR="00AA662C" w:rsidRPr="00F06651" w:rsidRDefault="00AA662C" w:rsidP="00AB3A5D">
            <w:pPr>
              <w:pStyle w:val="Tabletext"/>
              <w:jc w:val="center"/>
              <w:rPr>
                <w:lang w:eastAsia="zh-CN"/>
              </w:rPr>
            </w:pPr>
            <w:r w:rsidRPr="00F06651">
              <w:rPr>
                <w:lang w:eastAsia="zh-CN"/>
              </w:rPr>
              <w:t>5</w:t>
            </w:r>
          </w:p>
        </w:tc>
        <w:tc>
          <w:tcPr>
            <w:tcW w:w="8222" w:type="dxa"/>
          </w:tcPr>
          <w:p w14:paraId="764664FD" w14:textId="77777777" w:rsidR="00AA662C" w:rsidRPr="00464CD2" w:rsidRDefault="00AA662C" w:rsidP="00AB3A5D">
            <w:pPr>
              <w:pStyle w:val="Tabletext"/>
              <w:rPr>
                <w:b/>
                <w:bCs/>
                <w:lang w:eastAsia="zh-CN"/>
              </w:rPr>
            </w:pPr>
            <w:r w:rsidRPr="00464CD2">
              <w:rPr>
                <w:b/>
                <w:bCs/>
                <w:lang w:eastAsia="zh-CN"/>
              </w:rPr>
              <w:t>Base station antennas are selected to suit the ICT network requirements</w:t>
            </w:r>
          </w:p>
          <w:p w14:paraId="059D4562" w14:textId="77777777" w:rsidR="00AA662C" w:rsidRPr="00F06651" w:rsidRDefault="00AA662C" w:rsidP="00AB3A5D">
            <w:pPr>
              <w:pStyle w:val="Tabletext"/>
              <w:rPr>
                <w:lang w:eastAsia="zh-CN"/>
              </w:rPr>
            </w:pPr>
            <w:r w:rsidRPr="00F06651">
              <w:rPr>
                <w:lang w:eastAsia="zh-CN"/>
              </w:rPr>
              <w:t>Ensure that the appropriate base station antennas are used to improve ICT efficiency, provide services and integrate with the environment</w:t>
            </w:r>
            <w:r w:rsidR="004F58C4">
              <w:rPr>
                <w:lang w:eastAsia="zh-CN"/>
              </w:rPr>
              <w:t>.</w:t>
            </w:r>
          </w:p>
        </w:tc>
        <w:tc>
          <w:tcPr>
            <w:tcW w:w="957" w:type="dxa"/>
          </w:tcPr>
          <w:p w14:paraId="7D7B83A9" w14:textId="77777777" w:rsidR="00AA662C" w:rsidRPr="00F06651" w:rsidRDefault="00AA662C" w:rsidP="00AB3A5D">
            <w:pPr>
              <w:pStyle w:val="Tabletext"/>
              <w:rPr>
                <w:lang w:eastAsia="zh-CN"/>
              </w:rPr>
            </w:pPr>
            <w:r w:rsidRPr="00F06651">
              <w:rPr>
                <w:lang w:eastAsia="zh-CN"/>
              </w:rPr>
              <w:t>□</w:t>
            </w:r>
          </w:p>
        </w:tc>
      </w:tr>
      <w:tr w:rsidR="00AA662C" w:rsidRPr="00F06651" w14:paraId="07B36D11" w14:textId="77777777" w:rsidTr="00AB3A5D">
        <w:trPr>
          <w:jc w:val="center"/>
        </w:trPr>
        <w:tc>
          <w:tcPr>
            <w:tcW w:w="675" w:type="dxa"/>
          </w:tcPr>
          <w:p w14:paraId="18977DFD" w14:textId="77777777" w:rsidR="00AA662C" w:rsidRPr="00F06651" w:rsidRDefault="00AA662C" w:rsidP="00AB3A5D">
            <w:pPr>
              <w:pStyle w:val="Tabletext"/>
              <w:jc w:val="center"/>
              <w:rPr>
                <w:lang w:eastAsia="zh-CN"/>
              </w:rPr>
            </w:pPr>
            <w:r w:rsidRPr="00F06651">
              <w:rPr>
                <w:lang w:eastAsia="zh-CN"/>
              </w:rPr>
              <w:t>6</w:t>
            </w:r>
          </w:p>
        </w:tc>
        <w:tc>
          <w:tcPr>
            <w:tcW w:w="8222" w:type="dxa"/>
          </w:tcPr>
          <w:p w14:paraId="06C909E9" w14:textId="77777777" w:rsidR="00AA662C" w:rsidRPr="00464CD2" w:rsidRDefault="00AA662C" w:rsidP="00AB3A5D">
            <w:pPr>
              <w:pStyle w:val="Tabletext"/>
              <w:rPr>
                <w:b/>
                <w:bCs/>
                <w:lang w:eastAsia="zh-CN"/>
              </w:rPr>
            </w:pPr>
            <w:r w:rsidRPr="00464CD2">
              <w:rPr>
                <w:b/>
                <w:bCs/>
                <w:lang w:eastAsia="zh-CN"/>
              </w:rPr>
              <w:t>Wireless network antennas are located in close proximity to the ICT devices</w:t>
            </w:r>
          </w:p>
          <w:p w14:paraId="698DEF8E" w14:textId="77777777" w:rsidR="00AA662C" w:rsidRPr="00F06651" w:rsidRDefault="00AA662C" w:rsidP="00AB3A5D">
            <w:pPr>
              <w:pStyle w:val="Tabletext"/>
              <w:rPr>
                <w:lang w:eastAsia="zh-CN"/>
              </w:rPr>
            </w:pPr>
            <w:r w:rsidRPr="00F06651">
              <w:rPr>
                <w:lang w:eastAsia="zh-CN"/>
              </w:rPr>
              <w:t>Ensure that network and base station antennas are located where the ICT devices are being used</w:t>
            </w:r>
            <w:r w:rsidR="004F58C4">
              <w:rPr>
                <w:lang w:eastAsia="zh-CN"/>
              </w:rPr>
              <w:t>.</w:t>
            </w:r>
          </w:p>
        </w:tc>
        <w:tc>
          <w:tcPr>
            <w:tcW w:w="957" w:type="dxa"/>
          </w:tcPr>
          <w:p w14:paraId="052C1878" w14:textId="77777777" w:rsidR="00AA662C" w:rsidRPr="00F06651" w:rsidRDefault="00AA662C" w:rsidP="00AB3A5D">
            <w:pPr>
              <w:pStyle w:val="Tabletext"/>
              <w:rPr>
                <w:lang w:eastAsia="zh-CN"/>
              </w:rPr>
            </w:pPr>
            <w:r w:rsidRPr="00F06651">
              <w:rPr>
                <w:lang w:eastAsia="zh-CN"/>
              </w:rPr>
              <w:t>□</w:t>
            </w:r>
          </w:p>
        </w:tc>
      </w:tr>
      <w:tr w:rsidR="00AA662C" w:rsidRPr="00F06651" w14:paraId="7E548141" w14:textId="77777777" w:rsidTr="00AB3A5D">
        <w:trPr>
          <w:jc w:val="center"/>
        </w:trPr>
        <w:tc>
          <w:tcPr>
            <w:tcW w:w="675" w:type="dxa"/>
          </w:tcPr>
          <w:p w14:paraId="096BE4DE" w14:textId="77777777" w:rsidR="00AA662C" w:rsidRPr="00F06651" w:rsidRDefault="00AA662C" w:rsidP="00AB3A5D">
            <w:pPr>
              <w:pStyle w:val="Tabletext"/>
              <w:jc w:val="center"/>
              <w:rPr>
                <w:lang w:eastAsia="zh-CN"/>
              </w:rPr>
            </w:pPr>
            <w:r w:rsidRPr="00F06651">
              <w:rPr>
                <w:lang w:eastAsia="zh-CN"/>
              </w:rPr>
              <w:t>7</w:t>
            </w:r>
          </w:p>
        </w:tc>
        <w:tc>
          <w:tcPr>
            <w:tcW w:w="8222" w:type="dxa"/>
          </w:tcPr>
          <w:p w14:paraId="0B37DB43" w14:textId="2B9CCF2E" w:rsidR="00AA662C" w:rsidRPr="00F06651" w:rsidRDefault="00AA662C" w:rsidP="00AB3A5D">
            <w:pPr>
              <w:pStyle w:val="Tabletext"/>
              <w:rPr>
                <w:lang w:eastAsia="zh-CN"/>
              </w:rPr>
            </w:pPr>
            <w:r w:rsidRPr="00464CD2">
              <w:rPr>
                <w:b/>
                <w:bCs/>
                <w:lang w:eastAsia="zh-CN"/>
              </w:rPr>
              <w:t>Planning legislation incorporates ICT networks and antenna requirements</w:t>
            </w:r>
            <w:r w:rsidRPr="00F06651">
              <w:rPr>
                <w:lang w:eastAsia="zh-CN"/>
              </w:rPr>
              <w:t xml:space="preserve"> </w:t>
            </w:r>
          </w:p>
          <w:p w14:paraId="78E35F2B" w14:textId="77777777" w:rsidR="00AA662C" w:rsidRPr="00F06651" w:rsidRDefault="00AA662C" w:rsidP="00AB3A5D">
            <w:pPr>
              <w:pStyle w:val="Tabletext"/>
              <w:rPr>
                <w:lang w:eastAsia="zh-CN"/>
              </w:rPr>
            </w:pPr>
            <w:r w:rsidRPr="00F06651">
              <w:rPr>
                <w:lang w:eastAsia="zh-CN"/>
              </w:rPr>
              <w:t>Ensure more efficient deployment of ICT systems through a consistent approach to planning approval</w:t>
            </w:r>
            <w:r w:rsidR="004F58C4">
              <w:rPr>
                <w:lang w:eastAsia="zh-CN"/>
              </w:rPr>
              <w:t>.</w:t>
            </w:r>
          </w:p>
        </w:tc>
        <w:tc>
          <w:tcPr>
            <w:tcW w:w="957" w:type="dxa"/>
          </w:tcPr>
          <w:p w14:paraId="45C6FFEA" w14:textId="77777777" w:rsidR="00AA662C" w:rsidRPr="00F06651" w:rsidRDefault="00AA662C" w:rsidP="00AB3A5D">
            <w:pPr>
              <w:pStyle w:val="Tabletext"/>
              <w:rPr>
                <w:lang w:eastAsia="zh-CN"/>
              </w:rPr>
            </w:pPr>
            <w:r w:rsidRPr="00F06651">
              <w:rPr>
                <w:lang w:eastAsia="zh-CN"/>
              </w:rPr>
              <w:t>□</w:t>
            </w:r>
          </w:p>
        </w:tc>
      </w:tr>
      <w:tr w:rsidR="00AA662C" w:rsidRPr="00F06651" w14:paraId="6FC95B05" w14:textId="77777777" w:rsidTr="00AB3A5D">
        <w:trPr>
          <w:trHeight w:val="531"/>
          <w:jc w:val="center"/>
        </w:trPr>
        <w:tc>
          <w:tcPr>
            <w:tcW w:w="675" w:type="dxa"/>
          </w:tcPr>
          <w:p w14:paraId="0AEFA53C" w14:textId="77777777" w:rsidR="00AA662C" w:rsidRPr="00F06651" w:rsidRDefault="00AA662C" w:rsidP="00AB3A5D">
            <w:pPr>
              <w:pStyle w:val="Tabletext"/>
              <w:jc w:val="center"/>
              <w:rPr>
                <w:lang w:eastAsia="zh-CN"/>
              </w:rPr>
            </w:pPr>
            <w:r w:rsidRPr="00F06651">
              <w:rPr>
                <w:lang w:eastAsia="zh-CN"/>
              </w:rPr>
              <w:t>8</w:t>
            </w:r>
          </w:p>
        </w:tc>
        <w:tc>
          <w:tcPr>
            <w:tcW w:w="8222" w:type="dxa"/>
          </w:tcPr>
          <w:p w14:paraId="26A2A3C6" w14:textId="77777777" w:rsidR="00AA662C" w:rsidRPr="00464CD2" w:rsidRDefault="00AA662C" w:rsidP="00AB3A5D">
            <w:pPr>
              <w:pStyle w:val="Tabletext"/>
              <w:rPr>
                <w:b/>
                <w:bCs/>
                <w:lang w:eastAsia="zh-CN"/>
              </w:rPr>
            </w:pPr>
            <w:r w:rsidRPr="00464CD2">
              <w:rPr>
                <w:b/>
                <w:bCs/>
                <w:lang w:eastAsia="zh-CN"/>
              </w:rPr>
              <w:t xml:space="preserve">EMF ICT compliance information is available </w:t>
            </w:r>
          </w:p>
          <w:p w14:paraId="4871A684" w14:textId="77777777" w:rsidR="00AA662C" w:rsidRPr="00F06651" w:rsidRDefault="00AA662C" w:rsidP="00AB3A5D">
            <w:pPr>
              <w:pStyle w:val="Tabletext"/>
              <w:rPr>
                <w:lang w:eastAsia="zh-CN"/>
              </w:rPr>
            </w:pPr>
            <w:r w:rsidRPr="00F06651">
              <w:rPr>
                <w:lang w:eastAsia="zh-CN"/>
              </w:rPr>
              <w:t>Ensure that EMF compliance information is available to the public and other interested stakeholders</w:t>
            </w:r>
            <w:r w:rsidR="004F58C4">
              <w:rPr>
                <w:lang w:eastAsia="zh-CN"/>
              </w:rPr>
              <w:t>.</w:t>
            </w:r>
          </w:p>
        </w:tc>
        <w:tc>
          <w:tcPr>
            <w:tcW w:w="957" w:type="dxa"/>
          </w:tcPr>
          <w:p w14:paraId="4B0DE9A6" w14:textId="77777777" w:rsidR="00AA662C" w:rsidRPr="00F06651" w:rsidRDefault="00AA662C" w:rsidP="00AB3A5D">
            <w:pPr>
              <w:pStyle w:val="Tabletext"/>
              <w:rPr>
                <w:lang w:eastAsia="zh-CN"/>
              </w:rPr>
            </w:pPr>
            <w:r w:rsidRPr="00F06651">
              <w:rPr>
                <w:lang w:eastAsia="zh-CN"/>
              </w:rPr>
              <w:t>□</w:t>
            </w:r>
          </w:p>
        </w:tc>
      </w:tr>
      <w:tr w:rsidR="00AA662C" w:rsidRPr="00F06651" w14:paraId="4222269B" w14:textId="77777777" w:rsidTr="00AB3A5D">
        <w:trPr>
          <w:jc w:val="center"/>
        </w:trPr>
        <w:tc>
          <w:tcPr>
            <w:tcW w:w="675" w:type="dxa"/>
          </w:tcPr>
          <w:p w14:paraId="1AB5C73B" w14:textId="77777777" w:rsidR="00AA662C" w:rsidRPr="00F06651" w:rsidRDefault="00AA662C" w:rsidP="00AB3A5D">
            <w:pPr>
              <w:pStyle w:val="Tabletext"/>
              <w:jc w:val="center"/>
              <w:rPr>
                <w:lang w:eastAsia="zh-CN"/>
              </w:rPr>
            </w:pPr>
            <w:r w:rsidRPr="00F06651">
              <w:rPr>
                <w:lang w:eastAsia="zh-CN"/>
              </w:rPr>
              <w:t>9</w:t>
            </w:r>
          </w:p>
        </w:tc>
        <w:tc>
          <w:tcPr>
            <w:tcW w:w="8222" w:type="dxa"/>
          </w:tcPr>
          <w:p w14:paraId="4AA8D203" w14:textId="39C4E629" w:rsidR="00AA662C" w:rsidRPr="00464CD2" w:rsidRDefault="00AA662C" w:rsidP="00AB3A5D">
            <w:pPr>
              <w:pStyle w:val="Tabletext"/>
              <w:rPr>
                <w:b/>
                <w:bCs/>
                <w:lang w:eastAsia="zh-CN"/>
              </w:rPr>
            </w:pPr>
            <w:r w:rsidRPr="00464CD2">
              <w:rPr>
                <w:b/>
                <w:bCs/>
                <w:lang w:eastAsia="zh-CN"/>
              </w:rPr>
              <w:t xml:space="preserve">General EMF </w:t>
            </w:r>
            <w:r w:rsidR="004F58C4">
              <w:rPr>
                <w:b/>
                <w:bCs/>
                <w:lang w:eastAsia="zh-CN"/>
              </w:rPr>
              <w:t>i</w:t>
            </w:r>
            <w:r w:rsidRPr="00464CD2">
              <w:rPr>
                <w:b/>
                <w:bCs/>
                <w:lang w:eastAsia="zh-CN"/>
              </w:rPr>
              <w:t>nformation is available to the community</w:t>
            </w:r>
          </w:p>
          <w:p w14:paraId="498DA40B" w14:textId="77777777" w:rsidR="00AA662C" w:rsidRPr="00F06651" w:rsidRDefault="00AA662C" w:rsidP="00AB3A5D">
            <w:pPr>
              <w:pStyle w:val="Tabletext"/>
              <w:rPr>
                <w:lang w:eastAsia="zh-CN"/>
              </w:rPr>
            </w:pPr>
            <w:r w:rsidRPr="00F06651">
              <w:rPr>
                <w:lang w:eastAsia="zh-CN"/>
              </w:rPr>
              <w:t>Ensure that the references for EMF information are the WHO and ITU resources</w:t>
            </w:r>
            <w:r w:rsidR="004F58C4">
              <w:rPr>
                <w:lang w:eastAsia="zh-CN"/>
              </w:rPr>
              <w:t>.</w:t>
            </w:r>
          </w:p>
        </w:tc>
        <w:tc>
          <w:tcPr>
            <w:tcW w:w="957" w:type="dxa"/>
          </w:tcPr>
          <w:p w14:paraId="59DB0380" w14:textId="77777777" w:rsidR="00AA662C" w:rsidRPr="00F06651" w:rsidRDefault="00AA662C" w:rsidP="00AB3A5D">
            <w:pPr>
              <w:pStyle w:val="Tabletext"/>
              <w:rPr>
                <w:lang w:eastAsia="zh-CN"/>
              </w:rPr>
            </w:pPr>
            <w:r w:rsidRPr="00F06651">
              <w:rPr>
                <w:lang w:eastAsia="zh-CN"/>
              </w:rPr>
              <w:t>□</w:t>
            </w:r>
          </w:p>
        </w:tc>
      </w:tr>
      <w:tr w:rsidR="00AA662C" w:rsidRPr="00F06651" w14:paraId="78D83678" w14:textId="77777777" w:rsidTr="00AB3A5D">
        <w:trPr>
          <w:jc w:val="center"/>
        </w:trPr>
        <w:tc>
          <w:tcPr>
            <w:tcW w:w="675" w:type="dxa"/>
          </w:tcPr>
          <w:p w14:paraId="332FF1BC" w14:textId="77777777" w:rsidR="00AA662C" w:rsidRPr="00F06651" w:rsidRDefault="00AA662C" w:rsidP="00AB3A5D">
            <w:pPr>
              <w:pStyle w:val="Tabletext"/>
              <w:jc w:val="center"/>
              <w:rPr>
                <w:lang w:eastAsia="zh-CN"/>
              </w:rPr>
            </w:pPr>
            <w:r w:rsidRPr="00F06651">
              <w:rPr>
                <w:lang w:eastAsia="zh-CN"/>
              </w:rPr>
              <w:t>10</w:t>
            </w:r>
          </w:p>
        </w:tc>
        <w:tc>
          <w:tcPr>
            <w:tcW w:w="8222" w:type="dxa"/>
          </w:tcPr>
          <w:p w14:paraId="51598293" w14:textId="47ED5DB9" w:rsidR="00AA662C" w:rsidRPr="00464CD2" w:rsidRDefault="00AA662C" w:rsidP="00AB3A5D">
            <w:pPr>
              <w:pStyle w:val="Tabletext"/>
              <w:rPr>
                <w:b/>
                <w:bCs/>
                <w:lang w:eastAsia="zh-CN"/>
              </w:rPr>
            </w:pPr>
            <w:r w:rsidRPr="00464CD2">
              <w:rPr>
                <w:b/>
                <w:bCs/>
                <w:lang w:eastAsia="zh-CN"/>
              </w:rPr>
              <w:t xml:space="preserve">Existence of </w:t>
            </w:r>
            <w:r w:rsidR="009570F2">
              <w:rPr>
                <w:b/>
                <w:bCs/>
                <w:lang w:eastAsia="zh-CN"/>
              </w:rPr>
              <w:t>w</w:t>
            </w:r>
            <w:r w:rsidRPr="00464CD2">
              <w:rPr>
                <w:b/>
                <w:bCs/>
                <w:lang w:eastAsia="zh-CN"/>
              </w:rPr>
              <w:t xml:space="preserve">ireless </w:t>
            </w:r>
            <w:r w:rsidR="009570F2">
              <w:rPr>
                <w:b/>
                <w:bCs/>
                <w:lang w:eastAsia="zh-CN"/>
              </w:rPr>
              <w:t>n</w:t>
            </w:r>
            <w:r w:rsidRPr="00464CD2">
              <w:rPr>
                <w:b/>
                <w:bCs/>
                <w:lang w:eastAsia="zh-CN"/>
              </w:rPr>
              <w:t xml:space="preserve">etwork </w:t>
            </w:r>
            <w:r w:rsidR="009570F2">
              <w:rPr>
                <w:b/>
                <w:bCs/>
                <w:lang w:eastAsia="zh-CN"/>
              </w:rPr>
              <w:t>i</w:t>
            </w:r>
            <w:r w:rsidRPr="00464CD2">
              <w:rPr>
                <w:b/>
                <w:bCs/>
                <w:lang w:eastAsia="zh-CN"/>
              </w:rPr>
              <w:t xml:space="preserve">nformation </w:t>
            </w:r>
            <w:r w:rsidR="009570F2">
              <w:rPr>
                <w:b/>
                <w:bCs/>
                <w:lang w:eastAsia="zh-CN"/>
              </w:rPr>
              <w:t>p</w:t>
            </w:r>
            <w:r w:rsidRPr="00464CD2">
              <w:rPr>
                <w:b/>
                <w:bCs/>
                <w:lang w:eastAsia="zh-CN"/>
              </w:rPr>
              <w:t>rogram</w:t>
            </w:r>
            <w:r w:rsidR="009570F2">
              <w:rPr>
                <w:b/>
                <w:bCs/>
                <w:lang w:eastAsia="zh-CN"/>
              </w:rPr>
              <w:t>me</w:t>
            </w:r>
          </w:p>
          <w:p w14:paraId="71F333F7" w14:textId="77777777" w:rsidR="00AA662C" w:rsidRPr="00F06651" w:rsidRDefault="00AA662C" w:rsidP="00AB3A5D">
            <w:pPr>
              <w:pStyle w:val="Tabletext"/>
              <w:rPr>
                <w:lang w:eastAsia="zh-CN"/>
              </w:rPr>
            </w:pPr>
            <w:r w:rsidRPr="00F06651">
              <w:rPr>
                <w:lang w:eastAsia="zh-CN"/>
              </w:rPr>
              <w:t>Ensure availability of information about the operation of wireless networks based on credible sources and using appropriate communication channels addressing compliance, health concerns and siting</w:t>
            </w:r>
            <w:r w:rsidR="009570F2">
              <w:rPr>
                <w:lang w:eastAsia="zh-CN"/>
              </w:rPr>
              <w:t>.</w:t>
            </w:r>
          </w:p>
        </w:tc>
        <w:tc>
          <w:tcPr>
            <w:tcW w:w="957" w:type="dxa"/>
          </w:tcPr>
          <w:p w14:paraId="1A1D8085" w14:textId="77777777" w:rsidR="00AA662C" w:rsidRPr="00F06651" w:rsidRDefault="00AA662C" w:rsidP="00AB3A5D">
            <w:pPr>
              <w:pStyle w:val="Tabletext"/>
              <w:rPr>
                <w:lang w:eastAsia="zh-CN"/>
              </w:rPr>
            </w:pPr>
            <w:r w:rsidRPr="00F06651">
              <w:rPr>
                <w:lang w:eastAsia="zh-CN"/>
              </w:rPr>
              <w:t>□</w:t>
            </w:r>
          </w:p>
        </w:tc>
      </w:tr>
    </w:tbl>
    <w:p w14:paraId="19AE96BA" w14:textId="77777777" w:rsidR="00AA662C" w:rsidRPr="00F06651" w:rsidRDefault="00AA662C" w:rsidP="00AB3A5D">
      <w:pPr>
        <w:pStyle w:val="AnnexNoTitle"/>
      </w:pPr>
      <w:r w:rsidRPr="00F06651">
        <w:rPr>
          <w:sz w:val="36"/>
          <w:szCs w:val="22"/>
        </w:rPr>
        <w:br w:type="page"/>
      </w:r>
      <w:bookmarkStart w:id="202" w:name="_Toc397945089"/>
      <w:bookmarkStart w:id="203" w:name="_Toc400020907"/>
      <w:bookmarkStart w:id="204" w:name="_Toc400106175"/>
      <w:r w:rsidRPr="00F06651">
        <w:lastRenderedPageBreak/>
        <w:t>Annex 2</w:t>
      </w:r>
      <w:r w:rsidR="00AB3A5D">
        <w:br/>
      </w:r>
      <w:r w:rsidRPr="00F06651">
        <w:br/>
        <w:t>Summary of ICNIRP guidelines</w:t>
      </w:r>
      <w:bookmarkEnd w:id="202"/>
      <w:bookmarkEnd w:id="203"/>
      <w:bookmarkEnd w:id="204"/>
    </w:p>
    <w:p w14:paraId="59D91E3B" w14:textId="77777777" w:rsidR="00AA662C" w:rsidRPr="00F06651" w:rsidRDefault="00AA662C" w:rsidP="00AB3A5D">
      <w:pPr>
        <w:rPr>
          <w:lang w:eastAsia="zh-CN"/>
        </w:rPr>
      </w:pPr>
      <w:r w:rsidRPr="00F06651">
        <w:rPr>
          <w:lang w:eastAsia="zh-CN"/>
        </w:rPr>
        <w:t>In 1998</w:t>
      </w:r>
      <w:r w:rsidR="00150A49">
        <w:rPr>
          <w:lang w:eastAsia="zh-CN"/>
        </w:rPr>
        <w:t>,</w:t>
      </w:r>
      <w:r w:rsidRPr="00F06651">
        <w:rPr>
          <w:lang w:eastAsia="zh-CN"/>
        </w:rPr>
        <w:t xml:space="preserve"> the International Commission on Non-Ionizing Radiation Protection (ICNIRP)</w:t>
      </w:r>
      <w:r w:rsidR="002B08E1">
        <w:rPr>
          <w:rStyle w:val="FootnoteReference"/>
          <w:lang w:eastAsia="zh-CN"/>
        </w:rPr>
        <w:footnoteReference w:id="20"/>
      </w:r>
      <w:r w:rsidRPr="00F06651">
        <w:rPr>
          <w:lang w:eastAsia="zh-CN"/>
        </w:rPr>
        <w:t xml:space="preserve"> published their guidelines on limiting exposure to EMF, to protect against all known adverse health effects. This publication resulted from a thorough review of the scientific literature and assessed all health risks to both the general public and workers. The exposure limits have incorporated large safety factors to allow for uncertainties in the sensitivities of people to EMF and in the scientific studies.</w:t>
      </w:r>
    </w:p>
    <w:p w14:paraId="7969B444" w14:textId="783166C2" w:rsidR="00AA662C" w:rsidRPr="00F06651" w:rsidRDefault="00AA662C" w:rsidP="00AB3A5D">
      <w:pPr>
        <w:pStyle w:val="Headingb"/>
        <w:rPr>
          <w:lang w:eastAsia="zh-CN"/>
        </w:rPr>
      </w:pPr>
      <w:r w:rsidRPr="00F06651">
        <w:rPr>
          <w:lang w:eastAsia="zh-CN"/>
        </w:rPr>
        <w:t xml:space="preserve">Basic </w:t>
      </w:r>
      <w:r w:rsidR="00150A49">
        <w:rPr>
          <w:lang w:eastAsia="zh-CN"/>
        </w:rPr>
        <w:t>r</w:t>
      </w:r>
      <w:r w:rsidRPr="00F06651">
        <w:rPr>
          <w:lang w:eastAsia="zh-CN"/>
        </w:rPr>
        <w:t>estrictions</w:t>
      </w:r>
    </w:p>
    <w:p w14:paraId="6735980D" w14:textId="77777777" w:rsidR="00AA662C" w:rsidRDefault="00AA662C" w:rsidP="00AB3A5D">
      <w:pPr>
        <w:rPr>
          <w:lang w:eastAsia="zh-CN"/>
        </w:rPr>
      </w:pPr>
      <w:r w:rsidRPr="00F06651">
        <w:rPr>
          <w:lang w:eastAsia="zh-CN"/>
        </w:rPr>
        <w:t>In the frequency range from 10 MHz to 10 GHz, that includes the frequencies used for mobile and wireless communications, the RF exposure limits (basic restrictions) are expressed as SAR values</w:t>
      </w:r>
      <w:r w:rsidR="009832BB">
        <w:rPr>
          <w:lang w:eastAsia="zh-CN"/>
        </w:rPr>
        <w:t xml:space="preserve">, </w:t>
      </w:r>
      <w:r w:rsidR="00150A49">
        <w:rPr>
          <w:lang w:eastAsia="zh-CN"/>
        </w:rPr>
        <w:t xml:space="preserve">see </w:t>
      </w:r>
      <w:r w:rsidR="009832BB">
        <w:rPr>
          <w:lang w:eastAsia="zh-CN"/>
        </w:rPr>
        <w:t>Table 4</w:t>
      </w:r>
      <w:r w:rsidRPr="00F06651">
        <w:rPr>
          <w:lang w:eastAsia="zh-CN"/>
        </w:rPr>
        <w:t>. The specific absorption rate (SAR) is the rate at which RF energy is absorbed in body tissues and is expressed in units of W/kg.</w:t>
      </w:r>
    </w:p>
    <w:p w14:paraId="0E17149A" w14:textId="1A40178A" w:rsidR="00AB3A5D" w:rsidRPr="00F06651" w:rsidRDefault="00AB3A5D" w:rsidP="00464CD2">
      <w:pPr>
        <w:pStyle w:val="TableNoTitle"/>
        <w:rPr>
          <w:rFonts w:eastAsia="SimSun"/>
          <w:sz w:val="22"/>
          <w:szCs w:val="24"/>
          <w:lang w:eastAsia="zh-CN"/>
        </w:rPr>
      </w:pPr>
      <w:r w:rsidRPr="00F06651">
        <w:rPr>
          <w:lang w:eastAsia="en-AU"/>
        </w:rPr>
        <w:t xml:space="preserve">Table </w:t>
      </w:r>
      <w:r w:rsidR="00464CD2">
        <w:rPr>
          <w:lang w:eastAsia="en-AU"/>
        </w:rPr>
        <w:t>4</w:t>
      </w:r>
      <w:r w:rsidRPr="00F06651">
        <w:rPr>
          <w:lang w:eastAsia="en-AU"/>
        </w:rPr>
        <w:t xml:space="preserve"> </w:t>
      </w:r>
      <w:r w:rsidR="00150A49">
        <w:rPr>
          <w:lang w:eastAsia="en-AU"/>
        </w:rPr>
        <w:t>–</w:t>
      </w:r>
      <w:r w:rsidRPr="00F06651">
        <w:rPr>
          <w:lang w:eastAsia="en-AU"/>
        </w:rPr>
        <w:t xml:space="preserve"> ICNIRP basic restrictions applicable to wireless services 10 MHz to 10 GHz</w:t>
      </w:r>
    </w:p>
    <w:p w14:paraId="267DFE4F" w14:textId="77777777" w:rsidR="00AB3A5D" w:rsidRPr="00F06651" w:rsidRDefault="00AB3A5D" w:rsidP="00AB3A5D">
      <w:pPr>
        <w:rPr>
          <w:lang w:eastAsia="zh-CN"/>
        </w:rPr>
      </w:pPr>
    </w:p>
    <w:tbl>
      <w:tblPr>
        <w:tblStyle w:val="LightShading-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829"/>
        <w:gridCol w:w="1492"/>
        <w:gridCol w:w="1560"/>
        <w:gridCol w:w="1543"/>
      </w:tblGrid>
      <w:tr w:rsidR="00AB3A5D" w:rsidRPr="00AB3A5D" w14:paraId="5044669E" w14:textId="77777777" w:rsidTr="007D2B8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tcBorders>
              <w:top w:val="none" w:sz="0" w:space="0" w:color="auto"/>
              <w:left w:val="none" w:sz="0" w:space="0" w:color="auto"/>
              <w:bottom w:val="none" w:sz="0" w:space="0" w:color="auto"/>
              <w:right w:val="none" w:sz="0" w:space="0" w:color="auto"/>
            </w:tcBorders>
          </w:tcPr>
          <w:p w14:paraId="4A91F68A" w14:textId="27D3D4BD" w:rsidR="00AA662C" w:rsidRPr="003F5452" w:rsidRDefault="00AA662C" w:rsidP="00AB3A5D">
            <w:pPr>
              <w:pStyle w:val="Tablehead"/>
              <w:rPr>
                <w:color w:val="auto"/>
              </w:rPr>
            </w:pPr>
            <w:r w:rsidRPr="003F5452">
              <w:rPr>
                <w:color w:val="auto"/>
              </w:rPr>
              <w:t xml:space="preserve">Type of </w:t>
            </w:r>
            <w:r w:rsidR="00150A49" w:rsidRPr="003F5452">
              <w:rPr>
                <w:color w:val="auto"/>
              </w:rPr>
              <w:t>e</w:t>
            </w:r>
            <w:r w:rsidRPr="003F5452">
              <w:rPr>
                <w:color w:val="auto"/>
              </w:rPr>
              <w:t>xposure</w:t>
            </w:r>
          </w:p>
        </w:tc>
        <w:tc>
          <w:tcPr>
            <w:tcW w:w="1829" w:type="dxa"/>
            <w:tcBorders>
              <w:top w:val="none" w:sz="0" w:space="0" w:color="auto"/>
              <w:left w:val="none" w:sz="0" w:space="0" w:color="auto"/>
              <w:bottom w:val="none" w:sz="0" w:space="0" w:color="auto"/>
              <w:right w:val="none" w:sz="0" w:space="0" w:color="auto"/>
            </w:tcBorders>
          </w:tcPr>
          <w:p w14:paraId="5CABDDCE" w14:textId="77777777" w:rsidR="00AA662C" w:rsidRPr="003F5452" w:rsidRDefault="00AA662C" w:rsidP="00AB3A5D">
            <w:pPr>
              <w:pStyle w:val="Tablehead"/>
              <w:cnfStyle w:val="100000000000" w:firstRow="1" w:lastRow="0" w:firstColumn="0" w:lastColumn="0" w:oddVBand="0" w:evenVBand="0" w:oddHBand="0" w:evenHBand="0" w:firstRowFirstColumn="0" w:firstRowLastColumn="0" w:lastRowFirstColumn="0" w:lastRowLastColumn="0"/>
              <w:rPr>
                <w:color w:val="auto"/>
              </w:rPr>
            </w:pPr>
            <w:r w:rsidRPr="003F5452">
              <w:rPr>
                <w:color w:val="auto"/>
              </w:rPr>
              <w:t>Frequency</w:t>
            </w:r>
          </w:p>
        </w:tc>
        <w:tc>
          <w:tcPr>
            <w:tcW w:w="1492" w:type="dxa"/>
            <w:tcBorders>
              <w:top w:val="none" w:sz="0" w:space="0" w:color="auto"/>
              <w:left w:val="none" w:sz="0" w:space="0" w:color="auto"/>
              <w:bottom w:val="none" w:sz="0" w:space="0" w:color="auto"/>
              <w:right w:val="none" w:sz="0" w:space="0" w:color="auto"/>
            </w:tcBorders>
          </w:tcPr>
          <w:p w14:paraId="4869013A" w14:textId="77777777" w:rsidR="00AA662C" w:rsidRPr="003F5452" w:rsidRDefault="00AA662C" w:rsidP="00AB3A5D">
            <w:pPr>
              <w:pStyle w:val="Tablehead"/>
              <w:cnfStyle w:val="100000000000" w:firstRow="1" w:lastRow="0" w:firstColumn="0" w:lastColumn="0" w:oddVBand="0" w:evenVBand="0" w:oddHBand="0" w:evenHBand="0" w:firstRowFirstColumn="0" w:firstRowLastColumn="0" w:lastRowFirstColumn="0" w:lastRowLastColumn="0"/>
              <w:rPr>
                <w:color w:val="auto"/>
              </w:rPr>
            </w:pPr>
            <w:r w:rsidRPr="003F5452">
              <w:rPr>
                <w:color w:val="auto"/>
              </w:rPr>
              <w:t>Whole body average SAR (W/kg)</w:t>
            </w:r>
          </w:p>
          <w:p w14:paraId="7F60DC4B" w14:textId="77777777" w:rsidR="00AA662C" w:rsidRPr="003F5452" w:rsidRDefault="00AA662C" w:rsidP="00AB3A5D">
            <w:pPr>
              <w:pStyle w:val="Tablehead"/>
              <w:cnfStyle w:val="100000000000" w:firstRow="1" w:lastRow="0" w:firstColumn="0" w:lastColumn="0" w:oddVBand="0" w:evenVBand="0" w:oddHBand="0" w:evenHBand="0" w:firstRowFirstColumn="0" w:firstRowLastColumn="0" w:lastRowFirstColumn="0" w:lastRowLastColumn="0"/>
              <w:rPr>
                <w:color w:val="auto"/>
              </w:rPr>
            </w:pPr>
          </w:p>
        </w:tc>
        <w:tc>
          <w:tcPr>
            <w:tcW w:w="1560" w:type="dxa"/>
            <w:tcBorders>
              <w:top w:val="none" w:sz="0" w:space="0" w:color="auto"/>
              <w:left w:val="none" w:sz="0" w:space="0" w:color="auto"/>
              <w:bottom w:val="none" w:sz="0" w:space="0" w:color="auto"/>
              <w:right w:val="none" w:sz="0" w:space="0" w:color="auto"/>
            </w:tcBorders>
          </w:tcPr>
          <w:p w14:paraId="41F01B5D" w14:textId="77777777" w:rsidR="00AA662C" w:rsidRPr="003F5452" w:rsidRDefault="00AA662C" w:rsidP="00AB3A5D">
            <w:pPr>
              <w:pStyle w:val="Tablehead"/>
              <w:cnfStyle w:val="100000000000" w:firstRow="1" w:lastRow="0" w:firstColumn="0" w:lastColumn="0" w:oddVBand="0" w:evenVBand="0" w:oddHBand="0" w:evenHBand="0" w:firstRowFirstColumn="0" w:firstRowLastColumn="0" w:lastRowFirstColumn="0" w:lastRowLastColumn="0"/>
              <w:rPr>
                <w:color w:val="auto"/>
              </w:rPr>
            </w:pPr>
            <w:r w:rsidRPr="003F5452">
              <w:rPr>
                <w:color w:val="auto"/>
              </w:rPr>
              <w:t>Localised SAR (head and trunk) (W/kg)</w:t>
            </w:r>
          </w:p>
        </w:tc>
        <w:tc>
          <w:tcPr>
            <w:tcW w:w="1543" w:type="dxa"/>
            <w:tcBorders>
              <w:top w:val="none" w:sz="0" w:space="0" w:color="auto"/>
              <w:left w:val="none" w:sz="0" w:space="0" w:color="auto"/>
              <w:bottom w:val="none" w:sz="0" w:space="0" w:color="auto"/>
              <w:right w:val="none" w:sz="0" w:space="0" w:color="auto"/>
            </w:tcBorders>
          </w:tcPr>
          <w:p w14:paraId="33568AD7" w14:textId="77777777" w:rsidR="00AA662C" w:rsidRPr="003F5452" w:rsidRDefault="00AA662C" w:rsidP="00AB3A5D">
            <w:pPr>
              <w:pStyle w:val="Tablehead"/>
              <w:cnfStyle w:val="100000000000" w:firstRow="1" w:lastRow="0" w:firstColumn="0" w:lastColumn="0" w:oddVBand="0" w:evenVBand="0" w:oddHBand="0" w:evenHBand="0" w:firstRowFirstColumn="0" w:firstRowLastColumn="0" w:lastRowFirstColumn="0" w:lastRowLastColumn="0"/>
              <w:rPr>
                <w:color w:val="auto"/>
              </w:rPr>
            </w:pPr>
            <w:r w:rsidRPr="003F5452">
              <w:rPr>
                <w:color w:val="auto"/>
              </w:rPr>
              <w:t>Localised SAR</w:t>
            </w:r>
          </w:p>
          <w:p w14:paraId="1A191B98" w14:textId="77777777" w:rsidR="00AA662C" w:rsidRPr="003F5452" w:rsidRDefault="00AA662C" w:rsidP="00AB3A5D">
            <w:pPr>
              <w:pStyle w:val="Tablehead"/>
              <w:cnfStyle w:val="100000000000" w:firstRow="1" w:lastRow="0" w:firstColumn="0" w:lastColumn="0" w:oddVBand="0" w:evenVBand="0" w:oddHBand="0" w:evenHBand="0" w:firstRowFirstColumn="0" w:firstRowLastColumn="0" w:lastRowFirstColumn="0" w:lastRowLastColumn="0"/>
              <w:rPr>
                <w:color w:val="auto"/>
              </w:rPr>
            </w:pPr>
            <w:r w:rsidRPr="003F5452">
              <w:rPr>
                <w:color w:val="auto"/>
              </w:rPr>
              <w:t>(limbs) (W/kg)</w:t>
            </w:r>
          </w:p>
        </w:tc>
      </w:tr>
      <w:tr w:rsidR="00AB3A5D" w:rsidRPr="00AB3A5D" w14:paraId="3BE15EC0" w14:textId="77777777" w:rsidTr="007D2B85">
        <w:trPr>
          <w:cnfStyle w:val="000000100000" w:firstRow="0" w:lastRow="0" w:firstColumn="0" w:lastColumn="0" w:oddVBand="0" w:evenVBand="0" w:oddHBand="1" w:evenHBand="0" w:firstRowFirstColumn="0" w:firstRowLastColumn="0" w:lastRowFirstColumn="0" w:lastRowLastColumn="0"/>
          <w:trHeight w:val="606"/>
          <w:jc w:val="center"/>
        </w:trPr>
        <w:tc>
          <w:tcPr>
            <w:cnfStyle w:val="001000000000" w:firstRow="0" w:lastRow="0" w:firstColumn="1" w:lastColumn="0" w:oddVBand="0" w:evenVBand="0" w:oddHBand="0" w:evenHBand="0" w:firstRowFirstColumn="0" w:firstRowLastColumn="0" w:lastRowFirstColumn="0" w:lastRowLastColumn="0"/>
            <w:tcW w:w="1483" w:type="dxa"/>
            <w:tcBorders>
              <w:left w:val="none" w:sz="0" w:space="0" w:color="auto"/>
              <w:right w:val="none" w:sz="0" w:space="0" w:color="auto"/>
            </w:tcBorders>
            <w:shd w:val="clear" w:color="auto" w:fill="auto"/>
          </w:tcPr>
          <w:p w14:paraId="6B21916A" w14:textId="77777777" w:rsidR="00AA662C" w:rsidRPr="003F5452" w:rsidRDefault="00AA662C" w:rsidP="00AB3A5D">
            <w:pPr>
              <w:pStyle w:val="Tabletext"/>
              <w:rPr>
                <w:b w:val="0"/>
                <w:bCs w:val="0"/>
                <w:color w:val="auto"/>
              </w:rPr>
            </w:pPr>
            <w:r w:rsidRPr="003F5452">
              <w:rPr>
                <w:color w:val="auto"/>
              </w:rPr>
              <w:t>Occupational worker</w:t>
            </w:r>
          </w:p>
        </w:tc>
        <w:tc>
          <w:tcPr>
            <w:tcW w:w="1829" w:type="dxa"/>
            <w:tcBorders>
              <w:left w:val="none" w:sz="0" w:space="0" w:color="auto"/>
              <w:right w:val="none" w:sz="0" w:space="0" w:color="auto"/>
            </w:tcBorders>
            <w:shd w:val="clear" w:color="auto" w:fill="auto"/>
          </w:tcPr>
          <w:p w14:paraId="01D47D6F" w14:textId="77777777" w:rsidR="00AA662C" w:rsidRPr="003F5452" w:rsidRDefault="00AA662C" w:rsidP="00AB3A5D">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10 MHz</w:t>
            </w:r>
            <w:r w:rsidR="00150A49" w:rsidRPr="003F5452">
              <w:rPr>
                <w:color w:val="auto"/>
              </w:rPr>
              <w:t xml:space="preserve"> </w:t>
            </w:r>
            <w:r w:rsidRPr="003F5452">
              <w:rPr>
                <w:color w:val="auto"/>
              </w:rPr>
              <w:t>-10 GHz</w:t>
            </w:r>
          </w:p>
        </w:tc>
        <w:tc>
          <w:tcPr>
            <w:tcW w:w="1492" w:type="dxa"/>
            <w:tcBorders>
              <w:left w:val="none" w:sz="0" w:space="0" w:color="auto"/>
              <w:right w:val="none" w:sz="0" w:space="0" w:color="auto"/>
            </w:tcBorders>
            <w:shd w:val="clear" w:color="auto" w:fill="auto"/>
          </w:tcPr>
          <w:p w14:paraId="4FDCAA6B" w14:textId="77777777" w:rsidR="00AA662C" w:rsidRPr="003F5452" w:rsidRDefault="00AA662C" w:rsidP="00AB3A5D">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0.4</w:t>
            </w:r>
          </w:p>
        </w:tc>
        <w:tc>
          <w:tcPr>
            <w:tcW w:w="1560" w:type="dxa"/>
            <w:tcBorders>
              <w:left w:val="none" w:sz="0" w:space="0" w:color="auto"/>
              <w:right w:val="none" w:sz="0" w:space="0" w:color="auto"/>
            </w:tcBorders>
            <w:shd w:val="clear" w:color="auto" w:fill="auto"/>
          </w:tcPr>
          <w:p w14:paraId="5F82B352" w14:textId="77777777" w:rsidR="00AA662C" w:rsidRPr="003F5452" w:rsidRDefault="00AA662C" w:rsidP="00AB3A5D">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10</w:t>
            </w:r>
          </w:p>
        </w:tc>
        <w:tc>
          <w:tcPr>
            <w:tcW w:w="1543" w:type="dxa"/>
            <w:tcBorders>
              <w:left w:val="none" w:sz="0" w:space="0" w:color="auto"/>
              <w:right w:val="none" w:sz="0" w:space="0" w:color="auto"/>
            </w:tcBorders>
            <w:shd w:val="clear" w:color="auto" w:fill="auto"/>
          </w:tcPr>
          <w:p w14:paraId="34264993" w14:textId="77777777" w:rsidR="00AA662C" w:rsidRPr="003F5452" w:rsidRDefault="00AA662C" w:rsidP="00AB3A5D">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20</w:t>
            </w:r>
          </w:p>
        </w:tc>
      </w:tr>
      <w:tr w:rsidR="00AB3A5D" w:rsidRPr="00AB3A5D" w14:paraId="1A0634BA" w14:textId="77777777" w:rsidTr="007D2B85">
        <w:trPr>
          <w:trHeight w:val="253"/>
          <w:jc w:val="center"/>
        </w:trPr>
        <w:tc>
          <w:tcPr>
            <w:cnfStyle w:val="001000000000" w:firstRow="0" w:lastRow="0" w:firstColumn="1" w:lastColumn="0" w:oddVBand="0" w:evenVBand="0" w:oddHBand="0" w:evenHBand="0" w:firstRowFirstColumn="0" w:firstRowLastColumn="0" w:lastRowFirstColumn="0" w:lastRowLastColumn="0"/>
            <w:tcW w:w="1483" w:type="dxa"/>
            <w:vMerge w:val="restart"/>
          </w:tcPr>
          <w:p w14:paraId="4FFCB721" w14:textId="77777777" w:rsidR="00AA662C" w:rsidRPr="003F5452" w:rsidRDefault="00AA662C" w:rsidP="00AB3A5D">
            <w:pPr>
              <w:pStyle w:val="Tabletext"/>
              <w:rPr>
                <w:b w:val="0"/>
                <w:bCs w:val="0"/>
                <w:color w:val="auto"/>
              </w:rPr>
            </w:pPr>
            <w:r w:rsidRPr="003F5452">
              <w:rPr>
                <w:color w:val="auto"/>
              </w:rPr>
              <w:t>General public</w:t>
            </w:r>
          </w:p>
        </w:tc>
        <w:tc>
          <w:tcPr>
            <w:tcW w:w="1829" w:type="dxa"/>
          </w:tcPr>
          <w:p w14:paraId="2D0A3C7D" w14:textId="77777777" w:rsidR="00AA662C" w:rsidRPr="003F5452" w:rsidRDefault="00AA662C" w:rsidP="00AB3A5D">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10 MHz</w:t>
            </w:r>
            <w:r w:rsidR="00150A49" w:rsidRPr="003F5452">
              <w:rPr>
                <w:color w:val="auto"/>
              </w:rPr>
              <w:t xml:space="preserve"> </w:t>
            </w:r>
            <w:r w:rsidRPr="003F5452">
              <w:rPr>
                <w:color w:val="auto"/>
              </w:rPr>
              <w:t>-10 GHz</w:t>
            </w:r>
          </w:p>
        </w:tc>
        <w:tc>
          <w:tcPr>
            <w:tcW w:w="1492" w:type="dxa"/>
          </w:tcPr>
          <w:p w14:paraId="7CBF5688" w14:textId="77777777" w:rsidR="00AA662C" w:rsidRPr="003F5452" w:rsidRDefault="00AA662C" w:rsidP="00AB3A5D">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0.08</w:t>
            </w:r>
          </w:p>
        </w:tc>
        <w:tc>
          <w:tcPr>
            <w:tcW w:w="1560" w:type="dxa"/>
          </w:tcPr>
          <w:p w14:paraId="5367986A" w14:textId="77777777" w:rsidR="00AA662C" w:rsidRPr="003F5452" w:rsidRDefault="00AA662C" w:rsidP="00AB3A5D">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2</w:t>
            </w:r>
          </w:p>
        </w:tc>
        <w:tc>
          <w:tcPr>
            <w:tcW w:w="1543" w:type="dxa"/>
          </w:tcPr>
          <w:p w14:paraId="484F01D5" w14:textId="77777777" w:rsidR="00AA662C" w:rsidRPr="003F5452" w:rsidRDefault="00AA662C" w:rsidP="00AB3A5D">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4</w:t>
            </w:r>
          </w:p>
        </w:tc>
      </w:tr>
      <w:tr w:rsidR="00AB3A5D" w:rsidRPr="00AB3A5D" w14:paraId="5A5745DD" w14:textId="77777777" w:rsidTr="007D2B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vMerge/>
            <w:tcBorders>
              <w:left w:val="none" w:sz="0" w:space="0" w:color="auto"/>
              <w:right w:val="none" w:sz="0" w:space="0" w:color="auto"/>
            </w:tcBorders>
          </w:tcPr>
          <w:p w14:paraId="7B219012" w14:textId="77777777" w:rsidR="00AA662C" w:rsidRPr="003F5452" w:rsidRDefault="00AA662C" w:rsidP="00AB3A5D">
            <w:pPr>
              <w:pStyle w:val="Tabletext"/>
              <w:rPr>
                <w:color w:val="auto"/>
              </w:rPr>
            </w:pPr>
          </w:p>
        </w:tc>
        <w:tc>
          <w:tcPr>
            <w:tcW w:w="1829" w:type="dxa"/>
            <w:tcBorders>
              <w:left w:val="none" w:sz="0" w:space="0" w:color="auto"/>
              <w:right w:val="none" w:sz="0" w:space="0" w:color="auto"/>
            </w:tcBorders>
            <w:shd w:val="clear" w:color="auto" w:fill="auto"/>
          </w:tcPr>
          <w:p w14:paraId="51A0EDD6" w14:textId="77777777" w:rsidR="00AA662C" w:rsidRPr="003F5452" w:rsidRDefault="00AA662C" w:rsidP="00AB3A5D">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p>
        </w:tc>
        <w:tc>
          <w:tcPr>
            <w:tcW w:w="1492" w:type="dxa"/>
            <w:tcBorders>
              <w:left w:val="none" w:sz="0" w:space="0" w:color="auto"/>
              <w:right w:val="none" w:sz="0" w:space="0" w:color="auto"/>
            </w:tcBorders>
            <w:shd w:val="clear" w:color="auto" w:fill="auto"/>
          </w:tcPr>
          <w:p w14:paraId="25D108C7" w14:textId="77777777" w:rsidR="00AA662C" w:rsidRPr="003F5452" w:rsidRDefault="00AA662C" w:rsidP="00AB3A5D">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p>
        </w:tc>
        <w:tc>
          <w:tcPr>
            <w:tcW w:w="1560" w:type="dxa"/>
            <w:tcBorders>
              <w:left w:val="none" w:sz="0" w:space="0" w:color="auto"/>
              <w:right w:val="none" w:sz="0" w:space="0" w:color="auto"/>
            </w:tcBorders>
            <w:shd w:val="clear" w:color="auto" w:fill="auto"/>
          </w:tcPr>
          <w:p w14:paraId="5F4A928F" w14:textId="77777777" w:rsidR="00AA662C" w:rsidRPr="003F5452" w:rsidRDefault="00AA662C" w:rsidP="00AB3A5D">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p>
        </w:tc>
        <w:tc>
          <w:tcPr>
            <w:tcW w:w="1543" w:type="dxa"/>
            <w:tcBorders>
              <w:left w:val="none" w:sz="0" w:space="0" w:color="auto"/>
              <w:right w:val="none" w:sz="0" w:space="0" w:color="auto"/>
            </w:tcBorders>
            <w:shd w:val="clear" w:color="auto" w:fill="auto"/>
          </w:tcPr>
          <w:p w14:paraId="4AE550BD" w14:textId="77777777" w:rsidR="00AA662C" w:rsidRPr="003F5452" w:rsidRDefault="00AA662C" w:rsidP="00AB3A5D">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p>
        </w:tc>
      </w:tr>
    </w:tbl>
    <w:p w14:paraId="61201C01" w14:textId="77777777" w:rsidR="009832BB" w:rsidRDefault="009832BB" w:rsidP="009832BB">
      <w:pPr>
        <w:rPr>
          <w:lang w:eastAsia="zh-CN"/>
        </w:rPr>
      </w:pPr>
      <w:r>
        <w:rPr>
          <w:lang w:eastAsia="zh-CN"/>
        </w:rPr>
        <w:t>For frequencies from 10 GHz to 300 GHz</w:t>
      </w:r>
      <w:r w:rsidR="00150A49">
        <w:rPr>
          <w:lang w:eastAsia="zh-CN"/>
        </w:rPr>
        <w:t>,</w:t>
      </w:r>
      <w:r>
        <w:rPr>
          <w:lang w:eastAsia="zh-CN"/>
        </w:rPr>
        <w:t xml:space="preserve"> the ICNIRP basic restrictions are given in terms of power density, </w:t>
      </w:r>
      <w:r w:rsidR="00150A49">
        <w:rPr>
          <w:lang w:eastAsia="zh-CN"/>
        </w:rPr>
        <w:t xml:space="preserve">see </w:t>
      </w:r>
      <w:r>
        <w:rPr>
          <w:lang w:eastAsia="zh-CN"/>
        </w:rPr>
        <w:t>Table 5.</w:t>
      </w:r>
    </w:p>
    <w:p w14:paraId="27DF41B5" w14:textId="049514B4" w:rsidR="009832BB" w:rsidRDefault="009832BB" w:rsidP="009832BB">
      <w:pPr>
        <w:pStyle w:val="TableNoTitle"/>
        <w:rPr>
          <w:lang w:eastAsia="en-AU"/>
        </w:rPr>
      </w:pPr>
      <w:r w:rsidRPr="008450EE">
        <w:rPr>
          <w:lang w:eastAsia="en-AU"/>
        </w:rPr>
        <w:t xml:space="preserve">Table </w:t>
      </w:r>
      <w:r>
        <w:rPr>
          <w:lang w:eastAsia="en-AU"/>
        </w:rPr>
        <w:t xml:space="preserve">5 </w:t>
      </w:r>
      <w:r w:rsidR="00150A49">
        <w:rPr>
          <w:lang w:eastAsia="en-AU"/>
        </w:rPr>
        <w:t>–</w:t>
      </w:r>
      <w:r>
        <w:rPr>
          <w:lang w:eastAsia="en-AU"/>
        </w:rPr>
        <w:t xml:space="preserve"> </w:t>
      </w:r>
      <w:r w:rsidRPr="008450EE">
        <w:rPr>
          <w:lang w:eastAsia="en-AU"/>
        </w:rPr>
        <w:t xml:space="preserve">ICNIRP basic restrictions applicable to wireless services </w:t>
      </w:r>
      <w:r>
        <w:rPr>
          <w:lang w:eastAsia="en-AU"/>
        </w:rPr>
        <w:t>between 1</w:t>
      </w:r>
      <w:r w:rsidRPr="008450EE">
        <w:rPr>
          <w:lang w:eastAsia="en-AU"/>
        </w:rPr>
        <w:t>0 </w:t>
      </w:r>
      <w:r w:rsidR="00150A49">
        <w:rPr>
          <w:lang w:eastAsia="en-AU"/>
        </w:rPr>
        <w:t xml:space="preserve">GHz </w:t>
      </w:r>
      <w:r>
        <w:rPr>
          <w:lang w:eastAsia="en-AU"/>
        </w:rPr>
        <w:t>and 300 G</w:t>
      </w:r>
      <w:r w:rsidRPr="008450EE">
        <w:rPr>
          <w:lang w:eastAsia="en-AU"/>
        </w:rPr>
        <w:t>Hz</w:t>
      </w:r>
    </w:p>
    <w:tbl>
      <w:tblPr>
        <w:tblStyle w:val="TableGrid"/>
        <w:tblW w:w="0" w:type="auto"/>
        <w:tblInd w:w="959" w:type="dxa"/>
        <w:tblLook w:val="04A0" w:firstRow="1" w:lastRow="0" w:firstColumn="1" w:lastColumn="0" w:noHBand="0" w:noVBand="1"/>
      </w:tblPr>
      <w:tblGrid>
        <w:gridCol w:w="3260"/>
        <w:gridCol w:w="4678"/>
      </w:tblGrid>
      <w:tr w:rsidR="009832BB" w14:paraId="6721C40D" w14:textId="77777777" w:rsidTr="009832BB">
        <w:tc>
          <w:tcPr>
            <w:tcW w:w="3260" w:type="dxa"/>
          </w:tcPr>
          <w:p w14:paraId="3AE89372" w14:textId="66480026" w:rsidR="009832BB" w:rsidRDefault="009832BB" w:rsidP="007D2B85">
            <w:pPr>
              <w:pStyle w:val="Tablehead"/>
              <w:jc w:val="left"/>
              <w:rPr>
                <w:lang w:eastAsia="en-AU"/>
              </w:rPr>
            </w:pPr>
            <w:r>
              <w:rPr>
                <w:lang w:eastAsia="en-AU"/>
              </w:rPr>
              <w:t xml:space="preserve">Type of </w:t>
            </w:r>
            <w:r w:rsidR="00150A49">
              <w:rPr>
                <w:lang w:eastAsia="en-AU"/>
              </w:rPr>
              <w:t>e</w:t>
            </w:r>
            <w:r>
              <w:rPr>
                <w:lang w:eastAsia="en-AU"/>
              </w:rPr>
              <w:t>xposure</w:t>
            </w:r>
          </w:p>
        </w:tc>
        <w:tc>
          <w:tcPr>
            <w:tcW w:w="4678" w:type="dxa"/>
          </w:tcPr>
          <w:p w14:paraId="076D5C53" w14:textId="77777777" w:rsidR="009832BB" w:rsidRDefault="009832BB" w:rsidP="007D2B85">
            <w:pPr>
              <w:pStyle w:val="Tablehead"/>
              <w:rPr>
                <w:bCs/>
              </w:rPr>
            </w:pPr>
            <w:r w:rsidRPr="00AB3A5D">
              <w:rPr>
                <w:bCs/>
              </w:rPr>
              <w:t>Equivalent plane wave</w:t>
            </w:r>
          </w:p>
          <w:p w14:paraId="097BA2D0" w14:textId="77777777" w:rsidR="009832BB" w:rsidRDefault="009832BB" w:rsidP="007D2B85">
            <w:pPr>
              <w:pStyle w:val="Tablehead"/>
              <w:rPr>
                <w:lang w:eastAsia="en-AU"/>
              </w:rPr>
            </w:pPr>
            <w:r w:rsidRPr="00AB3A5D">
              <w:rPr>
                <w:bCs/>
              </w:rPr>
              <w:t>power density</w:t>
            </w:r>
            <w:r>
              <w:rPr>
                <w:lang w:eastAsia="en-AU"/>
              </w:rPr>
              <w:t xml:space="preserve"> (W/m</w:t>
            </w:r>
            <w:r w:rsidRPr="009832BB">
              <w:rPr>
                <w:vertAlign w:val="superscript"/>
                <w:lang w:eastAsia="en-AU"/>
              </w:rPr>
              <w:t>2</w:t>
            </w:r>
            <w:r>
              <w:rPr>
                <w:lang w:eastAsia="en-AU"/>
              </w:rPr>
              <w:t>)</w:t>
            </w:r>
          </w:p>
        </w:tc>
      </w:tr>
      <w:tr w:rsidR="009832BB" w14:paraId="1275B69B" w14:textId="77777777" w:rsidTr="009832BB">
        <w:tc>
          <w:tcPr>
            <w:tcW w:w="3260" w:type="dxa"/>
          </w:tcPr>
          <w:p w14:paraId="156B134C" w14:textId="733AABEF" w:rsidR="009832BB" w:rsidRPr="00F9089A" w:rsidRDefault="009832BB" w:rsidP="007D2B85">
            <w:pPr>
              <w:pStyle w:val="Tabletext"/>
              <w:rPr>
                <w:lang w:eastAsia="en-AU"/>
              </w:rPr>
            </w:pPr>
            <w:r w:rsidRPr="009832BB">
              <w:rPr>
                <w:lang w:eastAsia="en-AU"/>
              </w:rPr>
              <w:t xml:space="preserve">Occupational </w:t>
            </w:r>
            <w:r w:rsidR="00150A49">
              <w:rPr>
                <w:lang w:eastAsia="en-AU"/>
              </w:rPr>
              <w:t>e</w:t>
            </w:r>
            <w:r w:rsidRPr="009832BB">
              <w:rPr>
                <w:lang w:eastAsia="en-AU"/>
              </w:rPr>
              <w:t>xposure</w:t>
            </w:r>
          </w:p>
        </w:tc>
        <w:tc>
          <w:tcPr>
            <w:tcW w:w="4678" w:type="dxa"/>
          </w:tcPr>
          <w:p w14:paraId="47D005A7" w14:textId="77777777" w:rsidR="009832BB" w:rsidRPr="000C35A7" w:rsidRDefault="009832BB" w:rsidP="007D2B85">
            <w:pPr>
              <w:pStyle w:val="Tabletext"/>
              <w:jc w:val="center"/>
              <w:rPr>
                <w:lang w:eastAsia="en-AU"/>
              </w:rPr>
            </w:pPr>
            <w:r w:rsidRPr="009832BB">
              <w:rPr>
                <w:lang w:eastAsia="en-AU"/>
              </w:rPr>
              <w:t>50</w:t>
            </w:r>
          </w:p>
        </w:tc>
      </w:tr>
      <w:tr w:rsidR="009832BB" w14:paraId="6B9290ED" w14:textId="77777777" w:rsidTr="009832BB">
        <w:tc>
          <w:tcPr>
            <w:tcW w:w="3260" w:type="dxa"/>
          </w:tcPr>
          <w:p w14:paraId="48EB111B" w14:textId="2CE2F2E0" w:rsidR="009832BB" w:rsidRPr="00150A49" w:rsidRDefault="000E4A5B" w:rsidP="007D2B85">
            <w:pPr>
              <w:pStyle w:val="Tablehead"/>
              <w:jc w:val="left"/>
              <w:rPr>
                <w:b w:val="0"/>
                <w:bCs/>
                <w:lang w:eastAsia="en-AU"/>
              </w:rPr>
            </w:pPr>
            <w:r w:rsidRPr="002E4045">
              <w:rPr>
                <w:b w:val="0"/>
                <w:bCs/>
                <w:lang w:eastAsia="en-AU"/>
              </w:rPr>
              <w:t xml:space="preserve">General </w:t>
            </w:r>
            <w:r w:rsidR="00150A49">
              <w:rPr>
                <w:b w:val="0"/>
                <w:bCs/>
                <w:lang w:eastAsia="en-AU"/>
              </w:rPr>
              <w:t>p</w:t>
            </w:r>
            <w:r w:rsidRPr="002E4045">
              <w:rPr>
                <w:b w:val="0"/>
                <w:bCs/>
                <w:lang w:eastAsia="en-AU"/>
              </w:rPr>
              <w:t>ublic</w:t>
            </w:r>
          </w:p>
        </w:tc>
        <w:tc>
          <w:tcPr>
            <w:tcW w:w="4678" w:type="dxa"/>
          </w:tcPr>
          <w:p w14:paraId="7CFC0681" w14:textId="77777777" w:rsidR="009832BB" w:rsidRPr="00150A49" w:rsidRDefault="000E4A5B" w:rsidP="007D2B85">
            <w:pPr>
              <w:pStyle w:val="Tablehead"/>
              <w:rPr>
                <w:b w:val="0"/>
                <w:bCs/>
                <w:lang w:eastAsia="en-AU"/>
              </w:rPr>
            </w:pPr>
            <w:r w:rsidRPr="002E4045">
              <w:rPr>
                <w:b w:val="0"/>
                <w:bCs/>
                <w:lang w:eastAsia="en-AU"/>
              </w:rPr>
              <w:t>10</w:t>
            </w:r>
          </w:p>
        </w:tc>
      </w:tr>
    </w:tbl>
    <w:p w14:paraId="70CEBCEB" w14:textId="77777777" w:rsidR="009832BB" w:rsidRDefault="009832BB" w:rsidP="007D2B85">
      <w:pPr>
        <w:rPr>
          <w:lang w:eastAsia="zh-CN"/>
        </w:rPr>
      </w:pPr>
    </w:p>
    <w:p w14:paraId="46328812" w14:textId="198C4961" w:rsidR="00AA662C" w:rsidRPr="00F06651" w:rsidRDefault="00AA662C" w:rsidP="00AB3A5D">
      <w:pPr>
        <w:pStyle w:val="Headingb"/>
        <w:rPr>
          <w:lang w:eastAsia="zh-CN"/>
        </w:rPr>
      </w:pPr>
      <w:r w:rsidRPr="00F06651">
        <w:rPr>
          <w:lang w:eastAsia="zh-CN"/>
        </w:rPr>
        <w:t xml:space="preserve">Reference </w:t>
      </w:r>
      <w:r w:rsidR="00150A49">
        <w:rPr>
          <w:lang w:eastAsia="zh-CN"/>
        </w:rPr>
        <w:t>l</w:t>
      </w:r>
      <w:r w:rsidRPr="00F06651">
        <w:rPr>
          <w:lang w:eastAsia="zh-CN"/>
        </w:rPr>
        <w:t>evels</w:t>
      </w:r>
    </w:p>
    <w:p w14:paraId="1B9AE864" w14:textId="77777777" w:rsidR="00AA662C" w:rsidRDefault="00AA662C" w:rsidP="00AB3A5D">
      <w:pPr>
        <w:rPr>
          <w:lang w:eastAsia="zh-CN"/>
        </w:rPr>
      </w:pPr>
      <w:r w:rsidRPr="00F06651">
        <w:rPr>
          <w:lang w:eastAsia="zh-CN"/>
        </w:rPr>
        <w:t>The ‘basic restrictions’ are the actual limits based on the mechanism by which the RF fields affect tissues. For practical assessments</w:t>
      </w:r>
      <w:r w:rsidR="00150A49">
        <w:rPr>
          <w:lang w:eastAsia="zh-CN"/>
        </w:rPr>
        <w:t>,</w:t>
      </w:r>
      <w:r w:rsidRPr="00F06651">
        <w:rPr>
          <w:lang w:eastAsia="zh-CN"/>
        </w:rPr>
        <w:t xml:space="preserve"> ICNIRP also provides the equivalent frequency dependent "reference levels", expressed as electric field (V/m), magnetic field (A/m) and power density (W/m</w:t>
      </w:r>
      <w:r w:rsidRPr="00F06651">
        <w:rPr>
          <w:vertAlign w:val="superscript"/>
          <w:lang w:eastAsia="zh-CN"/>
        </w:rPr>
        <w:t>2</w:t>
      </w:r>
      <w:r w:rsidRPr="00F06651">
        <w:rPr>
          <w:lang w:eastAsia="zh-CN"/>
        </w:rPr>
        <w:t>), so that RF measurement equipment can be used to determine compliance</w:t>
      </w:r>
      <w:r w:rsidR="009832BB">
        <w:rPr>
          <w:lang w:eastAsia="zh-CN"/>
        </w:rPr>
        <w:t xml:space="preserve">, </w:t>
      </w:r>
      <w:r w:rsidR="00150A49">
        <w:rPr>
          <w:lang w:eastAsia="zh-CN"/>
        </w:rPr>
        <w:t xml:space="preserve">see </w:t>
      </w:r>
      <w:r w:rsidR="009832BB">
        <w:rPr>
          <w:lang w:eastAsia="zh-CN"/>
        </w:rPr>
        <w:t>Table 6</w:t>
      </w:r>
      <w:r w:rsidRPr="00F06651">
        <w:rPr>
          <w:lang w:eastAsia="zh-CN"/>
        </w:rPr>
        <w:t xml:space="preserve">. While the reference levels can be used to show compliance with SAR limits, exceeding the reference levels does </w:t>
      </w:r>
      <w:r w:rsidRPr="00F06651">
        <w:rPr>
          <w:lang w:eastAsia="zh-CN"/>
        </w:rPr>
        <w:lastRenderedPageBreak/>
        <w:t>not necessarily mean the SAR limit has been exceeded. In this case</w:t>
      </w:r>
      <w:r w:rsidR="00150A49">
        <w:rPr>
          <w:lang w:eastAsia="zh-CN"/>
        </w:rPr>
        <w:t>,</w:t>
      </w:r>
      <w:r w:rsidRPr="00F06651">
        <w:rPr>
          <w:lang w:eastAsia="zh-CN"/>
        </w:rPr>
        <w:t xml:space="preserve"> further tests would need to be conducted to determine whether the basic restriction (SAR) has been exceeded.</w:t>
      </w:r>
    </w:p>
    <w:p w14:paraId="20D2139B" w14:textId="35E7C516" w:rsidR="008450EE" w:rsidRPr="008450EE" w:rsidRDefault="008450EE" w:rsidP="00464CD2">
      <w:pPr>
        <w:pStyle w:val="TableNoTitle"/>
        <w:rPr>
          <w:lang w:eastAsia="en-AU"/>
        </w:rPr>
      </w:pPr>
      <w:r w:rsidRPr="008450EE">
        <w:rPr>
          <w:lang w:eastAsia="en-AU"/>
        </w:rPr>
        <w:t xml:space="preserve">Table </w:t>
      </w:r>
      <w:r w:rsidR="009832BB">
        <w:rPr>
          <w:lang w:eastAsia="en-AU"/>
        </w:rPr>
        <w:t xml:space="preserve">6 </w:t>
      </w:r>
      <w:r w:rsidR="00150A49">
        <w:rPr>
          <w:lang w:eastAsia="en-AU"/>
        </w:rPr>
        <w:t>–</w:t>
      </w:r>
      <w:r w:rsidR="00464CD2">
        <w:rPr>
          <w:lang w:eastAsia="en-AU"/>
        </w:rPr>
        <w:t xml:space="preserve"> </w:t>
      </w:r>
      <w:r w:rsidRPr="008450EE">
        <w:rPr>
          <w:lang w:eastAsia="en-AU"/>
        </w:rPr>
        <w:t>ICNIRP basic restrictions applicable to wireless services above 10 MHz</w:t>
      </w:r>
    </w:p>
    <w:tbl>
      <w:tblPr>
        <w:tblStyle w:val="LightShading-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73"/>
        <w:gridCol w:w="1555"/>
        <w:gridCol w:w="1379"/>
        <w:gridCol w:w="2736"/>
      </w:tblGrid>
      <w:tr w:rsidR="00AA662C" w:rsidRPr="00F06651" w14:paraId="226C73FA" w14:textId="77777777" w:rsidTr="00464C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tcBorders>
              <w:top w:val="none" w:sz="0" w:space="0" w:color="auto"/>
              <w:left w:val="none" w:sz="0" w:space="0" w:color="auto"/>
              <w:bottom w:val="none" w:sz="0" w:space="0" w:color="auto"/>
              <w:right w:val="none" w:sz="0" w:space="0" w:color="auto"/>
            </w:tcBorders>
          </w:tcPr>
          <w:p w14:paraId="3646DB87" w14:textId="1780B556" w:rsidR="00AA662C" w:rsidRPr="003F5452" w:rsidRDefault="00AA662C" w:rsidP="008450EE">
            <w:pPr>
              <w:pStyle w:val="Tablehead"/>
              <w:keepLines/>
              <w:rPr>
                <w:color w:val="auto"/>
              </w:rPr>
            </w:pPr>
            <w:r w:rsidRPr="003F5452">
              <w:rPr>
                <w:color w:val="auto"/>
              </w:rPr>
              <w:t xml:space="preserve">Type of </w:t>
            </w:r>
            <w:r w:rsidR="00150A49" w:rsidRPr="003F5452">
              <w:rPr>
                <w:color w:val="auto"/>
              </w:rPr>
              <w:t>e</w:t>
            </w:r>
            <w:r w:rsidRPr="003F5452">
              <w:rPr>
                <w:color w:val="auto"/>
              </w:rPr>
              <w:t>xposure</w:t>
            </w:r>
          </w:p>
        </w:tc>
        <w:tc>
          <w:tcPr>
            <w:tcW w:w="1573" w:type="dxa"/>
            <w:tcBorders>
              <w:top w:val="none" w:sz="0" w:space="0" w:color="auto"/>
              <w:left w:val="none" w:sz="0" w:space="0" w:color="auto"/>
              <w:bottom w:val="none" w:sz="0" w:space="0" w:color="auto"/>
              <w:right w:val="none" w:sz="0" w:space="0" w:color="auto"/>
            </w:tcBorders>
          </w:tcPr>
          <w:p w14:paraId="5760A90D" w14:textId="77777777" w:rsidR="00AA662C" w:rsidRPr="003F5452" w:rsidRDefault="00AA662C" w:rsidP="008450EE">
            <w:pPr>
              <w:pStyle w:val="Tablehead"/>
              <w:keepLines/>
              <w:cnfStyle w:val="100000000000" w:firstRow="1" w:lastRow="0" w:firstColumn="0" w:lastColumn="0" w:oddVBand="0" w:evenVBand="0" w:oddHBand="0" w:evenHBand="0" w:firstRowFirstColumn="0" w:firstRowLastColumn="0" w:lastRowFirstColumn="0" w:lastRowLastColumn="0"/>
              <w:rPr>
                <w:color w:val="auto"/>
              </w:rPr>
            </w:pPr>
            <w:r w:rsidRPr="003F5452">
              <w:rPr>
                <w:color w:val="auto"/>
              </w:rPr>
              <w:t>Frequency</w:t>
            </w:r>
          </w:p>
        </w:tc>
        <w:tc>
          <w:tcPr>
            <w:tcW w:w="1555" w:type="dxa"/>
            <w:tcBorders>
              <w:top w:val="none" w:sz="0" w:space="0" w:color="auto"/>
              <w:left w:val="none" w:sz="0" w:space="0" w:color="auto"/>
              <w:bottom w:val="none" w:sz="0" w:space="0" w:color="auto"/>
              <w:right w:val="none" w:sz="0" w:space="0" w:color="auto"/>
            </w:tcBorders>
          </w:tcPr>
          <w:p w14:paraId="32423DDA" w14:textId="77777777" w:rsidR="00AA662C" w:rsidRPr="003F5452" w:rsidRDefault="00AA662C" w:rsidP="008450EE">
            <w:pPr>
              <w:pStyle w:val="Tablehead"/>
              <w:keepLines/>
              <w:cnfStyle w:val="100000000000" w:firstRow="1" w:lastRow="0" w:firstColumn="0" w:lastColumn="0" w:oddVBand="0" w:evenVBand="0" w:oddHBand="0" w:evenHBand="0" w:firstRowFirstColumn="0" w:firstRowLastColumn="0" w:lastRowFirstColumn="0" w:lastRowLastColumn="0"/>
              <w:rPr>
                <w:color w:val="auto"/>
              </w:rPr>
            </w:pPr>
            <w:r w:rsidRPr="003F5452">
              <w:rPr>
                <w:color w:val="auto"/>
              </w:rPr>
              <w:t>E-field strength</w:t>
            </w:r>
            <w:r w:rsidRPr="003F5452">
              <w:rPr>
                <w:color w:val="auto"/>
              </w:rPr>
              <w:br/>
              <w:t>(V/m)</w:t>
            </w:r>
          </w:p>
        </w:tc>
        <w:tc>
          <w:tcPr>
            <w:tcW w:w="1379" w:type="dxa"/>
            <w:tcBorders>
              <w:top w:val="none" w:sz="0" w:space="0" w:color="auto"/>
              <w:left w:val="none" w:sz="0" w:space="0" w:color="auto"/>
              <w:bottom w:val="none" w:sz="0" w:space="0" w:color="auto"/>
              <w:right w:val="none" w:sz="0" w:space="0" w:color="auto"/>
            </w:tcBorders>
          </w:tcPr>
          <w:p w14:paraId="324B9DC7" w14:textId="77777777" w:rsidR="00AA662C" w:rsidRPr="003F5452" w:rsidRDefault="00AA662C" w:rsidP="008450EE">
            <w:pPr>
              <w:pStyle w:val="Tablehead"/>
              <w:keepLines/>
              <w:cnfStyle w:val="100000000000" w:firstRow="1" w:lastRow="0" w:firstColumn="0" w:lastColumn="0" w:oddVBand="0" w:evenVBand="0" w:oddHBand="0" w:evenHBand="0" w:firstRowFirstColumn="0" w:firstRowLastColumn="0" w:lastRowFirstColumn="0" w:lastRowLastColumn="0"/>
              <w:rPr>
                <w:color w:val="auto"/>
              </w:rPr>
            </w:pPr>
            <w:r w:rsidRPr="003F5452">
              <w:rPr>
                <w:color w:val="auto"/>
              </w:rPr>
              <w:t>H-field strength</w:t>
            </w:r>
          </w:p>
          <w:p w14:paraId="19F09D02" w14:textId="77777777" w:rsidR="00AA662C" w:rsidRPr="003F5452" w:rsidRDefault="00AA662C" w:rsidP="008450EE">
            <w:pPr>
              <w:pStyle w:val="Tablehead"/>
              <w:keepLines/>
              <w:cnfStyle w:val="100000000000" w:firstRow="1" w:lastRow="0" w:firstColumn="0" w:lastColumn="0" w:oddVBand="0" w:evenVBand="0" w:oddHBand="0" w:evenHBand="0" w:firstRowFirstColumn="0" w:firstRowLastColumn="0" w:lastRowFirstColumn="0" w:lastRowLastColumn="0"/>
              <w:rPr>
                <w:color w:val="auto"/>
              </w:rPr>
            </w:pPr>
            <w:r w:rsidRPr="003F5452">
              <w:rPr>
                <w:color w:val="auto"/>
              </w:rPr>
              <w:t>(A/m)</w:t>
            </w:r>
          </w:p>
        </w:tc>
        <w:tc>
          <w:tcPr>
            <w:tcW w:w="2736" w:type="dxa"/>
            <w:tcBorders>
              <w:top w:val="none" w:sz="0" w:space="0" w:color="auto"/>
              <w:left w:val="none" w:sz="0" w:space="0" w:color="auto"/>
              <w:bottom w:val="none" w:sz="0" w:space="0" w:color="auto"/>
              <w:right w:val="none" w:sz="0" w:space="0" w:color="auto"/>
            </w:tcBorders>
          </w:tcPr>
          <w:p w14:paraId="3EC414AB" w14:textId="454A154D" w:rsidR="00AA662C" w:rsidRPr="003F5452" w:rsidRDefault="00AA662C" w:rsidP="00AC5979">
            <w:pPr>
              <w:pStyle w:val="Tablehead"/>
              <w:keepLines/>
              <w:cnfStyle w:val="100000000000" w:firstRow="1" w:lastRow="0" w:firstColumn="0" w:lastColumn="0" w:oddVBand="0" w:evenVBand="0" w:oddHBand="0" w:evenHBand="0" w:firstRowFirstColumn="0" w:firstRowLastColumn="0" w:lastRowFirstColumn="0" w:lastRowLastColumn="0"/>
              <w:rPr>
                <w:color w:val="auto"/>
              </w:rPr>
            </w:pPr>
            <w:r w:rsidRPr="003F5452">
              <w:rPr>
                <w:color w:val="auto"/>
              </w:rPr>
              <w:t>Equivalent plane wave power density Seq</w:t>
            </w:r>
          </w:p>
          <w:p w14:paraId="0359ADC8" w14:textId="77777777" w:rsidR="00AA662C" w:rsidRPr="003F5452" w:rsidRDefault="00AA662C" w:rsidP="008450EE">
            <w:pPr>
              <w:pStyle w:val="Tablehead"/>
              <w:keepLines/>
              <w:cnfStyle w:val="100000000000" w:firstRow="1" w:lastRow="0" w:firstColumn="0" w:lastColumn="0" w:oddVBand="0" w:evenVBand="0" w:oddHBand="0" w:evenHBand="0" w:firstRowFirstColumn="0" w:firstRowLastColumn="0" w:lastRowFirstColumn="0" w:lastRowLastColumn="0"/>
              <w:rPr>
                <w:color w:val="auto"/>
              </w:rPr>
            </w:pPr>
            <w:r w:rsidRPr="003F5452">
              <w:rPr>
                <w:color w:val="auto"/>
              </w:rPr>
              <w:t>(W/m</w:t>
            </w:r>
            <w:r w:rsidRPr="003F5452">
              <w:rPr>
                <w:color w:val="auto"/>
                <w:vertAlign w:val="superscript"/>
              </w:rPr>
              <w:t>2</w:t>
            </w:r>
            <w:r w:rsidRPr="003F5452">
              <w:rPr>
                <w:color w:val="auto"/>
              </w:rPr>
              <w:t>)</w:t>
            </w:r>
          </w:p>
        </w:tc>
      </w:tr>
      <w:tr w:rsidR="00AA662C" w:rsidRPr="00F06651" w14:paraId="5DB1C532" w14:textId="77777777" w:rsidTr="00464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Merge w:val="restart"/>
            <w:tcBorders>
              <w:left w:val="none" w:sz="0" w:space="0" w:color="auto"/>
              <w:right w:val="none" w:sz="0" w:space="0" w:color="auto"/>
            </w:tcBorders>
            <w:shd w:val="clear" w:color="auto" w:fill="auto"/>
          </w:tcPr>
          <w:p w14:paraId="35A9F8A4" w14:textId="77777777" w:rsidR="00AA662C" w:rsidRPr="003F5452" w:rsidRDefault="00AA662C" w:rsidP="008450EE">
            <w:pPr>
              <w:pStyle w:val="Tabletext"/>
              <w:keepNext/>
              <w:keepLines/>
              <w:rPr>
                <w:b w:val="0"/>
                <w:bCs w:val="0"/>
                <w:color w:val="auto"/>
              </w:rPr>
            </w:pPr>
            <w:r w:rsidRPr="003F5452">
              <w:rPr>
                <w:color w:val="auto"/>
              </w:rPr>
              <w:t>Occupational/worker</w:t>
            </w:r>
          </w:p>
        </w:tc>
        <w:tc>
          <w:tcPr>
            <w:tcW w:w="1573" w:type="dxa"/>
            <w:tcBorders>
              <w:left w:val="none" w:sz="0" w:space="0" w:color="auto"/>
              <w:right w:val="none" w:sz="0" w:space="0" w:color="auto"/>
            </w:tcBorders>
            <w:shd w:val="clear" w:color="auto" w:fill="auto"/>
          </w:tcPr>
          <w:p w14:paraId="54B4759B"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10-400 MHz</w:t>
            </w:r>
          </w:p>
        </w:tc>
        <w:tc>
          <w:tcPr>
            <w:tcW w:w="1555" w:type="dxa"/>
            <w:tcBorders>
              <w:left w:val="none" w:sz="0" w:space="0" w:color="auto"/>
              <w:right w:val="none" w:sz="0" w:space="0" w:color="auto"/>
            </w:tcBorders>
            <w:shd w:val="clear" w:color="auto" w:fill="auto"/>
          </w:tcPr>
          <w:p w14:paraId="2A10A6D5"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61</w:t>
            </w:r>
          </w:p>
        </w:tc>
        <w:tc>
          <w:tcPr>
            <w:tcW w:w="1379" w:type="dxa"/>
            <w:tcBorders>
              <w:left w:val="none" w:sz="0" w:space="0" w:color="auto"/>
              <w:right w:val="none" w:sz="0" w:space="0" w:color="auto"/>
            </w:tcBorders>
            <w:shd w:val="clear" w:color="auto" w:fill="auto"/>
          </w:tcPr>
          <w:p w14:paraId="5BDD05F4"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0.16</w:t>
            </w:r>
          </w:p>
        </w:tc>
        <w:tc>
          <w:tcPr>
            <w:tcW w:w="2736" w:type="dxa"/>
            <w:tcBorders>
              <w:left w:val="none" w:sz="0" w:space="0" w:color="auto"/>
              <w:right w:val="none" w:sz="0" w:space="0" w:color="auto"/>
            </w:tcBorders>
            <w:shd w:val="clear" w:color="auto" w:fill="auto"/>
          </w:tcPr>
          <w:p w14:paraId="493A53E8"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w:t>
            </w:r>
          </w:p>
        </w:tc>
      </w:tr>
      <w:tr w:rsidR="00AA662C" w:rsidRPr="00F06651" w14:paraId="5A88386D" w14:textId="77777777" w:rsidTr="00464CD2">
        <w:tc>
          <w:tcPr>
            <w:cnfStyle w:val="001000000000" w:firstRow="0" w:lastRow="0" w:firstColumn="1" w:lastColumn="0" w:oddVBand="0" w:evenVBand="0" w:oddHBand="0" w:evenHBand="0" w:firstRowFirstColumn="0" w:firstRowLastColumn="0" w:lastRowFirstColumn="0" w:lastRowLastColumn="0"/>
            <w:tcW w:w="2221" w:type="dxa"/>
            <w:vMerge/>
            <w:shd w:val="clear" w:color="auto" w:fill="auto"/>
          </w:tcPr>
          <w:p w14:paraId="07E6E7CF" w14:textId="77777777" w:rsidR="00AA662C" w:rsidRPr="003F5452" w:rsidRDefault="00AA662C" w:rsidP="008450EE">
            <w:pPr>
              <w:pStyle w:val="Tabletext"/>
              <w:keepNext/>
              <w:keepLines/>
              <w:rPr>
                <w:color w:val="auto"/>
              </w:rPr>
            </w:pPr>
          </w:p>
        </w:tc>
        <w:tc>
          <w:tcPr>
            <w:tcW w:w="1573" w:type="dxa"/>
            <w:shd w:val="clear" w:color="auto" w:fill="auto"/>
          </w:tcPr>
          <w:p w14:paraId="40579F1B"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400-2000 MHz</w:t>
            </w:r>
          </w:p>
        </w:tc>
        <w:tc>
          <w:tcPr>
            <w:tcW w:w="1555" w:type="dxa"/>
            <w:shd w:val="clear" w:color="auto" w:fill="auto"/>
          </w:tcPr>
          <w:p w14:paraId="7C7F9D68"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3f</w:t>
            </w:r>
            <w:r w:rsidRPr="003F5452">
              <w:rPr>
                <w:color w:val="auto"/>
                <w:vertAlign w:val="superscript"/>
              </w:rPr>
              <w:t>1/2</w:t>
            </w:r>
          </w:p>
        </w:tc>
        <w:tc>
          <w:tcPr>
            <w:tcW w:w="1379" w:type="dxa"/>
            <w:shd w:val="clear" w:color="auto" w:fill="auto"/>
          </w:tcPr>
          <w:p w14:paraId="46C68D60"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0.008f</w:t>
            </w:r>
            <w:r w:rsidRPr="003F5452">
              <w:rPr>
                <w:color w:val="auto"/>
                <w:vertAlign w:val="superscript"/>
              </w:rPr>
              <w:t>1/2</w:t>
            </w:r>
          </w:p>
        </w:tc>
        <w:tc>
          <w:tcPr>
            <w:tcW w:w="2736" w:type="dxa"/>
            <w:shd w:val="clear" w:color="auto" w:fill="auto"/>
          </w:tcPr>
          <w:p w14:paraId="4A2A799C"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f/40</w:t>
            </w:r>
          </w:p>
        </w:tc>
      </w:tr>
      <w:tr w:rsidR="00AA662C" w:rsidRPr="00F06651" w14:paraId="736E6E6B" w14:textId="77777777" w:rsidTr="00464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Merge/>
            <w:tcBorders>
              <w:left w:val="none" w:sz="0" w:space="0" w:color="auto"/>
              <w:right w:val="none" w:sz="0" w:space="0" w:color="auto"/>
            </w:tcBorders>
            <w:shd w:val="clear" w:color="auto" w:fill="auto"/>
          </w:tcPr>
          <w:p w14:paraId="36E996DF" w14:textId="77777777" w:rsidR="00AA662C" w:rsidRPr="003F5452" w:rsidRDefault="00AA662C" w:rsidP="008450EE">
            <w:pPr>
              <w:pStyle w:val="Tabletext"/>
              <w:keepNext/>
              <w:keepLines/>
              <w:rPr>
                <w:color w:val="auto"/>
              </w:rPr>
            </w:pPr>
          </w:p>
        </w:tc>
        <w:tc>
          <w:tcPr>
            <w:tcW w:w="1573" w:type="dxa"/>
            <w:tcBorders>
              <w:left w:val="none" w:sz="0" w:space="0" w:color="auto"/>
              <w:right w:val="none" w:sz="0" w:space="0" w:color="auto"/>
            </w:tcBorders>
            <w:shd w:val="clear" w:color="auto" w:fill="auto"/>
          </w:tcPr>
          <w:p w14:paraId="3A4DCAB8"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2-300 GHz</w:t>
            </w:r>
          </w:p>
        </w:tc>
        <w:tc>
          <w:tcPr>
            <w:tcW w:w="1555" w:type="dxa"/>
            <w:tcBorders>
              <w:left w:val="none" w:sz="0" w:space="0" w:color="auto"/>
              <w:right w:val="none" w:sz="0" w:space="0" w:color="auto"/>
            </w:tcBorders>
            <w:shd w:val="clear" w:color="auto" w:fill="auto"/>
          </w:tcPr>
          <w:p w14:paraId="5566C949"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137</w:t>
            </w:r>
          </w:p>
        </w:tc>
        <w:tc>
          <w:tcPr>
            <w:tcW w:w="1379" w:type="dxa"/>
            <w:tcBorders>
              <w:left w:val="none" w:sz="0" w:space="0" w:color="auto"/>
              <w:right w:val="none" w:sz="0" w:space="0" w:color="auto"/>
            </w:tcBorders>
            <w:shd w:val="clear" w:color="auto" w:fill="auto"/>
          </w:tcPr>
          <w:p w14:paraId="6344EA8E"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0.36</w:t>
            </w:r>
          </w:p>
        </w:tc>
        <w:tc>
          <w:tcPr>
            <w:tcW w:w="2736" w:type="dxa"/>
            <w:tcBorders>
              <w:left w:val="none" w:sz="0" w:space="0" w:color="auto"/>
              <w:right w:val="none" w:sz="0" w:space="0" w:color="auto"/>
            </w:tcBorders>
            <w:shd w:val="clear" w:color="auto" w:fill="auto"/>
          </w:tcPr>
          <w:p w14:paraId="65E73F25"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50</w:t>
            </w:r>
          </w:p>
        </w:tc>
      </w:tr>
      <w:tr w:rsidR="00AA662C" w:rsidRPr="00F06651" w14:paraId="2A30375C" w14:textId="77777777" w:rsidTr="00464CD2">
        <w:trPr>
          <w:trHeight w:val="253"/>
        </w:trPr>
        <w:tc>
          <w:tcPr>
            <w:cnfStyle w:val="001000000000" w:firstRow="0" w:lastRow="0" w:firstColumn="1" w:lastColumn="0" w:oddVBand="0" w:evenVBand="0" w:oddHBand="0" w:evenHBand="0" w:firstRowFirstColumn="0" w:firstRowLastColumn="0" w:lastRowFirstColumn="0" w:lastRowLastColumn="0"/>
            <w:tcW w:w="2221" w:type="dxa"/>
            <w:vMerge w:val="restart"/>
          </w:tcPr>
          <w:p w14:paraId="6E8EE200" w14:textId="77777777" w:rsidR="00AA662C" w:rsidRPr="003F5452" w:rsidRDefault="00AA662C" w:rsidP="008450EE">
            <w:pPr>
              <w:pStyle w:val="Tabletext"/>
              <w:keepNext/>
              <w:keepLines/>
              <w:rPr>
                <w:b w:val="0"/>
                <w:bCs w:val="0"/>
                <w:color w:val="auto"/>
              </w:rPr>
            </w:pPr>
            <w:r w:rsidRPr="003F5452">
              <w:rPr>
                <w:color w:val="auto"/>
              </w:rPr>
              <w:t>General public</w:t>
            </w:r>
          </w:p>
        </w:tc>
        <w:tc>
          <w:tcPr>
            <w:tcW w:w="1573" w:type="dxa"/>
          </w:tcPr>
          <w:p w14:paraId="7A80FFD3"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10-400 MHz</w:t>
            </w:r>
          </w:p>
        </w:tc>
        <w:tc>
          <w:tcPr>
            <w:tcW w:w="1555" w:type="dxa"/>
          </w:tcPr>
          <w:p w14:paraId="41E33C29"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28</w:t>
            </w:r>
          </w:p>
        </w:tc>
        <w:tc>
          <w:tcPr>
            <w:tcW w:w="1379" w:type="dxa"/>
          </w:tcPr>
          <w:p w14:paraId="4587CA22"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0.073</w:t>
            </w:r>
          </w:p>
        </w:tc>
        <w:tc>
          <w:tcPr>
            <w:tcW w:w="2736" w:type="dxa"/>
          </w:tcPr>
          <w:p w14:paraId="05626102"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w:t>
            </w:r>
          </w:p>
        </w:tc>
      </w:tr>
      <w:tr w:rsidR="00AA662C" w:rsidRPr="00F06651" w14:paraId="37F4B647" w14:textId="77777777" w:rsidTr="00464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1" w:type="dxa"/>
            <w:vMerge/>
            <w:tcBorders>
              <w:left w:val="none" w:sz="0" w:space="0" w:color="auto"/>
              <w:right w:val="none" w:sz="0" w:space="0" w:color="auto"/>
            </w:tcBorders>
          </w:tcPr>
          <w:p w14:paraId="16C88FA7" w14:textId="77777777" w:rsidR="00AA662C" w:rsidRPr="003F5452" w:rsidRDefault="00AA662C" w:rsidP="008450EE">
            <w:pPr>
              <w:keepNext/>
              <w:keepLines/>
              <w:tabs>
                <w:tab w:val="clear" w:pos="794"/>
                <w:tab w:val="clear" w:pos="1191"/>
                <w:tab w:val="clear" w:pos="1588"/>
                <w:tab w:val="clear" w:pos="1985"/>
              </w:tabs>
              <w:overflowPunct/>
              <w:autoSpaceDE/>
              <w:autoSpaceDN/>
              <w:adjustRightInd/>
              <w:spacing w:before="0"/>
              <w:contextualSpacing/>
              <w:textAlignment w:val="auto"/>
              <w:rPr>
                <w:rFonts w:cs="Times New Roman"/>
                <w:color w:val="auto"/>
              </w:rPr>
            </w:pPr>
          </w:p>
        </w:tc>
        <w:tc>
          <w:tcPr>
            <w:tcW w:w="1573" w:type="dxa"/>
            <w:tcBorders>
              <w:left w:val="none" w:sz="0" w:space="0" w:color="auto"/>
              <w:right w:val="none" w:sz="0" w:space="0" w:color="auto"/>
            </w:tcBorders>
            <w:shd w:val="clear" w:color="auto" w:fill="auto"/>
          </w:tcPr>
          <w:p w14:paraId="273BBB3B"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400-2000 MHz</w:t>
            </w:r>
          </w:p>
        </w:tc>
        <w:tc>
          <w:tcPr>
            <w:tcW w:w="1555" w:type="dxa"/>
            <w:tcBorders>
              <w:left w:val="none" w:sz="0" w:space="0" w:color="auto"/>
              <w:right w:val="none" w:sz="0" w:space="0" w:color="auto"/>
            </w:tcBorders>
            <w:shd w:val="clear" w:color="auto" w:fill="auto"/>
          </w:tcPr>
          <w:p w14:paraId="398A9DCD"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1.375f</w:t>
            </w:r>
            <w:r w:rsidRPr="003F5452">
              <w:rPr>
                <w:color w:val="auto"/>
                <w:vertAlign w:val="superscript"/>
              </w:rPr>
              <w:t>1/2</w:t>
            </w:r>
          </w:p>
        </w:tc>
        <w:tc>
          <w:tcPr>
            <w:tcW w:w="1379" w:type="dxa"/>
            <w:tcBorders>
              <w:left w:val="none" w:sz="0" w:space="0" w:color="auto"/>
              <w:right w:val="none" w:sz="0" w:space="0" w:color="auto"/>
            </w:tcBorders>
            <w:shd w:val="clear" w:color="auto" w:fill="auto"/>
          </w:tcPr>
          <w:p w14:paraId="15D4935F"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0.0037f</w:t>
            </w:r>
            <w:r w:rsidRPr="003F5452">
              <w:rPr>
                <w:color w:val="auto"/>
                <w:vertAlign w:val="superscript"/>
              </w:rPr>
              <w:t>1/2</w:t>
            </w:r>
          </w:p>
        </w:tc>
        <w:tc>
          <w:tcPr>
            <w:tcW w:w="2736" w:type="dxa"/>
            <w:tcBorders>
              <w:left w:val="none" w:sz="0" w:space="0" w:color="auto"/>
              <w:right w:val="none" w:sz="0" w:space="0" w:color="auto"/>
            </w:tcBorders>
            <w:shd w:val="clear" w:color="auto" w:fill="auto"/>
          </w:tcPr>
          <w:p w14:paraId="17266B72" w14:textId="77777777" w:rsidR="00AA662C" w:rsidRPr="003F5452" w:rsidRDefault="00AA662C" w:rsidP="008450EE">
            <w:pPr>
              <w:pStyle w:val="Tabletext"/>
              <w:keepNext/>
              <w:keepLines/>
              <w:jc w:val="center"/>
              <w:cnfStyle w:val="000000100000" w:firstRow="0" w:lastRow="0" w:firstColumn="0" w:lastColumn="0" w:oddVBand="0" w:evenVBand="0" w:oddHBand="1" w:evenHBand="0" w:firstRowFirstColumn="0" w:firstRowLastColumn="0" w:lastRowFirstColumn="0" w:lastRowLastColumn="0"/>
              <w:rPr>
                <w:color w:val="auto"/>
              </w:rPr>
            </w:pPr>
            <w:r w:rsidRPr="003F5452">
              <w:rPr>
                <w:color w:val="auto"/>
              </w:rPr>
              <w:t>f/200</w:t>
            </w:r>
          </w:p>
        </w:tc>
      </w:tr>
      <w:tr w:rsidR="00AA662C" w:rsidRPr="00F06651" w14:paraId="2424CB2B" w14:textId="77777777" w:rsidTr="00464CD2">
        <w:tc>
          <w:tcPr>
            <w:cnfStyle w:val="001000000000" w:firstRow="0" w:lastRow="0" w:firstColumn="1" w:lastColumn="0" w:oddVBand="0" w:evenVBand="0" w:oddHBand="0" w:evenHBand="0" w:firstRowFirstColumn="0" w:firstRowLastColumn="0" w:lastRowFirstColumn="0" w:lastRowLastColumn="0"/>
            <w:tcW w:w="2221" w:type="dxa"/>
          </w:tcPr>
          <w:p w14:paraId="42018EAB" w14:textId="77777777" w:rsidR="00AA662C" w:rsidRPr="003F5452" w:rsidRDefault="00AA662C" w:rsidP="008450EE">
            <w:pPr>
              <w:keepNext/>
              <w:keepLines/>
              <w:tabs>
                <w:tab w:val="clear" w:pos="794"/>
                <w:tab w:val="clear" w:pos="1191"/>
                <w:tab w:val="clear" w:pos="1588"/>
                <w:tab w:val="clear" w:pos="1985"/>
              </w:tabs>
              <w:overflowPunct/>
              <w:autoSpaceDE/>
              <w:autoSpaceDN/>
              <w:adjustRightInd/>
              <w:spacing w:before="0"/>
              <w:contextualSpacing/>
              <w:textAlignment w:val="auto"/>
              <w:rPr>
                <w:rFonts w:cs="Times New Roman"/>
                <w:color w:val="auto"/>
              </w:rPr>
            </w:pPr>
          </w:p>
        </w:tc>
        <w:tc>
          <w:tcPr>
            <w:tcW w:w="1573" w:type="dxa"/>
          </w:tcPr>
          <w:p w14:paraId="50CB1DE5"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2-300 GHz</w:t>
            </w:r>
          </w:p>
        </w:tc>
        <w:tc>
          <w:tcPr>
            <w:tcW w:w="1555" w:type="dxa"/>
          </w:tcPr>
          <w:p w14:paraId="1B46C9FD"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61</w:t>
            </w:r>
          </w:p>
        </w:tc>
        <w:tc>
          <w:tcPr>
            <w:tcW w:w="1379" w:type="dxa"/>
          </w:tcPr>
          <w:p w14:paraId="05BFA2B1"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0.16</w:t>
            </w:r>
          </w:p>
        </w:tc>
        <w:tc>
          <w:tcPr>
            <w:tcW w:w="2736" w:type="dxa"/>
          </w:tcPr>
          <w:p w14:paraId="23D1011F" w14:textId="77777777" w:rsidR="00AA662C" w:rsidRPr="003F5452" w:rsidRDefault="00AA662C" w:rsidP="008450EE">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auto"/>
              </w:rPr>
            </w:pPr>
            <w:r w:rsidRPr="003F5452">
              <w:rPr>
                <w:color w:val="auto"/>
              </w:rPr>
              <w:t>10</w:t>
            </w:r>
          </w:p>
        </w:tc>
      </w:tr>
    </w:tbl>
    <w:p w14:paraId="32930059" w14:textId="52887236" w:rsidR="00AA662C" w:rsidRPr="00F06651" w:rsidRDefault="00AA662C" w:rsidP="008450EE">
      <w:pPr>
        <w:pStyle w:val="Tabletext"/>
        <w:keepNext/>
        <w:keepLines/>
      </w:pPr>
      <w:r w:rsidRPr="00F06651">
        <w:t>N</w:t>
      </w:r>
      <w:r w:rsidR="00150A49">
        <w:t>OTE</w:t>
      </w:r>
      <w:r w:rsidRPr="00F06651">
        <w:t xml:space="preserve"> </w:t>
      </w:r>
      <w:r w:rsidR="00150A49">
        <w:t>– W</w:t>
      </w:r>
      <w:r w:rsidRPr="00F06651">
        <w:t>here f is as indicated in the frequency column.</w:t>
      </w:r>
    </w:p>
    <w:p w14:paraId="4C8113FF" w14:textId="2A31656B" w:rsidR="00AA662C" w:rsidRPr="00F06651" w:rsidRDefault="00AA662C" w:rsidP="008450EE">
      <w:pPr>
        <w:rPr>
          <w:lang w:eastAsia="zh-CN"/>
        </w:rPr>
      </w:pPr>
      <w:r w:rsidRPr="00F06651">
        <w:rPr>
          <w:lang w:eastAsia="zh-CN"/>
        </w:rPr>
        <w:t>WHO has promoted the adoption of ICNIRP guidelines by national authorities because ICNIRP is a formally recognized non-governmental organization of WHO that works closely with WHO on all areas of non-ionizing radiation protection. In addition</w:t>
      </w:r>
      <w:r w:rsidR="00150A49">
        <w:rPr>
          <w:lang w:eastAsia="zh-CN"/>
        </w:rPr>
        <w:t>,</w:t>
      </w:r>
      <w:r w:rsidRPr="00F06651">
        <w:rPr>
          <w:lang w:eastAsia="zh-CN"/>
        </w:rPr>
        <w:t xml:space="preserve"> ICNIRP uses the WHO's health risk assessments for developing their guidelines. ITU also encourages </w:t>
      </w:r>
      <w:r w:rsidR="00150A49">
        <w:rPr>
          <w:lang w:eastAsia="zh-CN"/>
        </w:rPr>
        <w:t>M</w:t>
      </w:r>
      <w:r w:rsidRPr="00F06651">
        <w:rPr>
          <w:lang w:eastAsia="zh-CN"/>
        </w:rPr>
        <w:t xml:space="preserve">ember </w:t>
      </w:r>
      <w:r w:rsidR="00150A49">
        <w:rPr>
          <w:lang w:eastAsia="zh-CN"/>
        </w:rPr>
        <w:t>S</w:t>
      </w:r>
      <w:r w:rsidRPr="00F06651">
        <w:rPr>
          <w:lang w:eastAsia="zh-CN"/>
        </w:rPr>
        <w:t>tates to adopt the ICNIRP guidelines.</w:t>
      </w:r>
    </w:p>
    <w:p w14:paraId="0EE90A49" w14:textId="440C846D" w:rsidR="00AA662C" w:rsidRPr="00F06651" w:rsidRDefault="00AA662C" w:rsidP="008450EE">
      <w:pPr>
        <w:rPr>
          <w:lang w:eastAsia="zh-CN"/>
        </w:rPr>
      </w:pPr>
      <w:r w:rsidRPr="00F06651">
        <w:rPr>
          <w:lang w:eastAsia="zh-CN"/>
        </w:rPr>
        <w:t xml:space="preserve">Exposure limits for RF workers are higher than for the general public because workers are adults who are normally exposed under controlled conditions, are trained to be aware of any potential risks and to take </w:t>
      </w:r>
      <w:r w:rsidR="00150A49">
        <w:rPr>
          <w:lang w:eastAsia="zh-CN"/>
        </w:rPr>
        <w:t xml:space="preserve">the </w:t>
      </w:r>
      <w:r w:rsidRPr="00F06651">
        <w:rPr>
          <w:lang w:eastAsia="zh-CN"/>
        </w:rPr>
        <w:t>appropriate precautions. The public comprises people with widely different ages, from babies to the elderly, who should not be expected to take any precautions to avoid RF exposures. Thus the public exposure limits incorporate very large safety factors; they are 50 times below the RF exposure level at which the first health effects are seen. By contrast</w:t>
      </w:r>
      <w:r w:rsidR="00150A49">
        <w:rPr>
          <w:lang w:eastAsia="zh-CN"/>
        </w:rPr>
        <w:t>,</w:t>
      </w:r>
      <w:r w:rsidRPr="00F06651">
        <w:rPr>
          <w:lang w:eastAsia="zh-CN"/>
        </w:rPr>
        <w:t xml:space="preserve"> the occupational exposure limits are 10 times lower.</w:t>
      </w:r>
    </w:p>
    <w:p w14:paraId="1D3C5489" w14:textId="77777777" w:rsidR="00AA662C" w:rsidRPr="00F06651" w:rsidRDefault="00AA662C" w:rsidP="00AA662C">
      <w:pPr>
        <w:tabs>
          <w:tab w:val="clear" w:pos="794"/>
          <w:tab w:val="clear" w:pos="1191"/>
          <w:tab w:val="clear" w:pos="1588"/>
          <w:tab w:val="clear" w:pos="1985"/>
        </w:tabs>
        <w:overflowPunct/>
        <w:autoSpaceDE/>
        <w:autoSpaceDN/>
        <w:adjustRightInd/>
        <w:spacing w:before="0" w:after="200" w:line="276" w:lineRule="auto"/>
        <w:textAlignment w:val="auto"/>
        <w:rPr>
          <w:rFonts w:ascii="Calibri" w:eastAsia="SimSun" w:hAnsi="Calibri" w:cs="Arial"/>
          <w:sz w:val="22"/>
          <w:szCs w:val="22"/>
          <w:lang w:eastAsia="zh-CN"/>
        </w:rPr>
      </w:pPr>
      <w:r w:rsidRPr="00F06651">
        <w:rPr>
          <w:rFonts w:ascii="Calibri" w:eastAsia="SimSun" w:hAnsi="Calibri" w:cs="Arial"/>
          <w:sz w:val="22"/>
          <w:szCs w:val="22"/>
          <w:lang w:eastAsia="zh-CN"/>
        </w:rPr>
        <w:br w:type="page"/>
      </w:r>
    </w:p>
    <w:p w14:paraId="2E83C039" w14:textId="77777777" w:rsidR="00AA662C" w:rsidRPr="00F06651" w:rsidRDefault="00AA662C" w:rsidP="008450EE">
      <w:pPr>
        <w:pStyle w:val="AnnexNoTitle"/>
      </w:pPr>
      <w:bookmarkStart w:id="205" w:name="_Toc397945090"/>
      <w:bookmarkStart w:id="206" w:name="_Toc400020908"/>
      <w:bookmarkStart w:id="207" w:name="_Toc400106176"/>
      <w:r w:rsidRPr="00F06651">
        <w:lastRenderedPageBreak/>
        <w:t>Annex 3</w:t>
      </w:r>
      <w:r w:rsidR="008450EE">
        <w:br/>
      </w:r>
      <w:r w:rsidRPr="00F06651">
        <w:br/>
        <w:t>Summary of typical exposure levels</w:t>
      </w:r>
      <w:bookmarkEnd w:id="205"/>
      <w:bookmarkEnd w:id="206"/>
      <w:bookmarkEnd w:id="207"/>
    </w:p>
    <w:p w14:paraId="0F7203E1" w14:textId="6F6F8313" w:rsidR="00AA662C" w:rsidRDefault="00AA662C" w:rsidP="008450EE">
      <w:pPr>
        <w:rPr>
          <w:lang w:eastAsia="zh-CN"/>
        </w:rPr>
      </w:pPr>
      <w:r w:rsidRPr="00F06651">
        <w:rPr>
          <w:lang w:eastAsia="zh-CN"/>
        </w:rPr>
        <w:t xml:space="preserve">Typical exposures from mobile communication systems and other similar uses of radio signals are summarized in </w:t>
      </w:r>
      <w:r w:rsidR="00D31774">
        <w:rPr>
          <w:lang w:eastAsia="zh-CN"/>
        </w:rPr>
        <w:t>T</w:t>
      </w:r>
      <w:r w:rsidRPr="00F06651">
        <w:rPr>
          <w:lang w:eastAsia="zh-CN"/>
        </w:rPr>
        <w:t xml:space="preserve">able </w:t>
      </w:r>
      <w:r w:rsidR="00D31774">
        <w:rPr>
          <w:lang w:eastAsia="zh-CN"/>
        </w:rPr>
        <w:t xml:space="preserve">7 </w:t>
      </w:r>
      <w:r w:rsidRPr="00F06651">
        <w:rPr>
          <w:lang w:eastAsia="zh-CN"/>
        </w:rPr>
        <w:t xml:space="preserve">based on the results of a WHO workshop (Valberg </w:t>
      </w:r>
      <w:r w:rsidR="000E4A5B" w:rsidRPr="002E4045">
        <w:rPr>
          <w:i/>
          <w:iCs/>
          <w:lang w:eastAsia="zh-CN"/>
        </w:rPr>
        <w:t>et al</w:t>
      </w:r>
      <w:r w:rsidRPr="00F06651">
        <w:rPr>
          <w:lang w:eastAsia="zh-CN"/>
        </w:rPr>
        <w:t>., 2007).</w:t>
      </w:r>
    </w:p>
    <w:p w14:paraId="240B98EB" w14:textId="240464CB" w:rsidR="008450EE" w:rsidRPr="008450EE" w:rsidRDefault="008450EE" w:rsidP="00464CD2">
      <w:pPr>
        <w:pStyle w:val="TableNoTitle"/>
        <w:rPr>
          <w:lang w:eastAsia="en-AU"/>
        </w:rPr>
      </w:pPr>
      <w:r w:rsidRPr="008450EE">
        <w:rPr>
          <w:lang w:eastAsia="en-AU"/>
        </w:rPr>
        <w:t xml:space="preserve">Table </w:t>
      </w:r>
      <w:r w:rsidR="000C35A7">
        <w:rPr>
          <w:lang w:eastAsia="en-AU"/>
        </w:rPr>
        <w:t xml:space="preserve">7 </w:t>
      </w:r>
      <w:r w:rsidR="00D31774">
        <w:rPr>
          <w:lang w:eastAsia="en-AU"/>
        </w:rPr>
        <w:t>–</w:t>
      </w:r>
      <w:r w:rsidRPr="008450EE">
        <w:rPr>
          <w:lang w:eastAsia="en-AU"/>
        </w:rPr>
        <w:t xml:space="preserve"> Typical maximum exposures for a range of wireless services</w:t>
      </w:r>
    </w:p>
    <w:tbl>
      <w:tblPr>
        <w:tblStyle w:val="TableGrid1"/>
        <w:tblW w:w="0" w:type="auto"/>
        <w:jc w:val="center"/>
        <w:tblLook w:val="04A0" w:firstRow="1" w:lastRow="0" w:firstColumn="1" w:lastColumn="0" w:noHBand="0" w:noVBand="1"/>
      </w:tblPr>
      <w:tblGrid>
        <w:gridCol w:w="3088"/>
        <w:gridCol w:w="3098"/>
        <w:gridCol w:w="3101"/>
      </w:tblGrid>
      <w:tr w:rsidR="00AA662C" w:rsidRPr="00F06651" w14:paraId="11DCA769" w14:textId="77777777" w:rsidTr="008450EE">
        <w:trPr>
          <w:jc w:val="center"/>
        </w:trPr>
        <w:tc>
          <w:tcPr>
            <w:tcW w:w="3088" w:type="dxa"/>
          </w:tcPr>
          <w:p w14:paraId="6BF64277" w14:textId="77777777" w:rsidR="00AA662C" w:rsidRPr="00F06651" w:rsidRDefault="00AA662C" w:rsidP="008450EE">
            <w:pPr>
              <w:pStyle w:val="Tablehead"/>
              <w:rPr>
                <w:lang w:eastAsia="zh-CN"/>
              </w:rPr>
            </w:pPr>
            <w:r w:rsidRPr="00F06651">
              <w:rPr>
                <w:lang w:eastAsia="zh-CN"/>
              </w:rPr>
              <w:t>Service</w:t>
            </w:r>
          </w:p>
        </w:tc>
        <w:tc>
          <w:tcPr>
            <w:tcW w:w="3098" w:type="dxa"/>
          </w:tcPr>
          <w:p w14:paraId="6160B9ED" w14:textId="03B10B96" w:rsidR="00AA662C" w:rsidRPr="00F06651" w:rsidRDefault="00AA662C" w:rsidP="008450EE">
            <w:pPr>
              <w:pStyle w:val="Tablehead"/>
              <w:rPr>
                <w:lang w:eastAsia="zh-CN"/>
              </w:rPr>
            </w:pPr>
            <w:r w:rsidRPr="00F06651">
              <w:rPr>
                <w:lang w:eastAsia="zh-CN"/>
              </w:rPr>
              <w:t xml:space="preserve">ICNIRP </w:t>
            </w:r>
            <w:r w:rsidR="00D31774">
              <w:rPr>
                <w:lang w:eastAsia="zh-CN"/>
              </w:rPr>
              <w:t>r</w:t>
            </w:r>
            <w:r w:rsidRPr="00F06651">
              <w:rPr>
                <w:lang w:eastAsia="zh-CN"/>
              </w:rPr>
              <w:t xml:space="preserve">eference </w:t>
            </w:r>
            <w:r w:rsidR="00D31774">
              <w:rPr>
                <w:lang w:eastAsia="zh-CN"/>
              </w:rPr>
              <w:t>l</w:t>
            </w:r>
            <w:r w:rsidRPr="00F06651">
              <w:rPr>
                <w:lang w:eastAsia="zh-CN"/>
              </w:rPr>
              <w:t>evel</w:t>
            </w:r>
          </w:p>
        </w:tc>
        <w:tc>
          <w:tcPr>
            <w:tcW w:w="3101" w:type="dxa"/>
          </w:tcPr>
          <w:p w14:paraId="56C9AC1D" w14:textId="010FA907" w:rsidR="00AA662C" w:rsidRPr="00F06651" w:rsidRDefault="00AA662C" w:rsidP="008450EE">
            <w:pPr>
              <w:pStyle w:val="Tablehead"/>
              <w:rPr>
                <w:lang w:eastAsia="zh-CN"/>
              </w:rPr>
            </w:pPr>
            <w:r w:rsidRPr="00F06651">
              <w:rPr>
                <w:lang w:eastAsia="zh-CN"/>
              </w:rPr>
              <w:t xml:space="preserve">Typical </w:t>
            </w:r>
            <w:r w:rsidR="00D31774">
              <w:rPr>
                <w:lang w:eastAsia="zh-CN"/>
              </w:rPr>
              <w:t>m</w:t>
            </w:r>
            <w:r w:rsidRPr="00F06651">
              <w:rPr>
                <w:lang w:eastAsia="zh-CN"/>
              </w:rPr>
              <w:t xml:space="preserve">aximum </w:t>
            </w:r>
            <w:r w:rsidR="00D31774">
              <w:rPr>
                <w:lang w:eastAsia="zh-CN"/>
              </w:rPr>
              <w:t>e</w:t>
            </w:r>
            <w:r w:rsidRPr="00F06651">
              <w:rPr>
                <w:lang w:eastAsia="zh-CN"/>
              </w:rPr>
              <w:t>xposure</w:t>
            </w:r>
          </w:p>
        </w:tc>
      </w:tr>
      <w:tr w:rsidR="00AA662C" w:rsidRPr="00F06651" w14:paraId="13390DC2" w14:textId="77777777" w:rsidTr="008450EE">
        <w:trPr>
          <w:jc w:val="center"/>
        </w:trPr>
        <w:tc>
          <w:tcPr>
            <w:tcW w:w="3088" w:type="dxa"/>
          </w:tcPr>
          <w:p w14:paraId="590F1693" w14:textId="77777777" w:rsidR="00AA662C" w:rsidRPr="00F06651" w:rsidRDefault="00AA662C" w:rsidP="008450EE">
            <w:pPr>
              <w:pStyle w:val="Tabletext"/>
              <w:rPr>
                <w:lang w:eastAsia="zh-CN"/>
              </w:rPr>
            </w:pPr>
            <w:r w:rsidRPr="00F06651">
              <w:rPr>
                <w:lang w:eastAsia="zh-CN"/>
              </w:rPr>
              <w:t>Average urban, base stations</w:t>
            </w:r>
          </w:p>
        </w:tc>
        <w:tc>
          <w:tcPr>
            <w:tcW w:w="3098" w:type="dxa"/>
          </w:tcPr>
          <w:p w14:paraId="32E1DE6B" w14:textId="77777777" w:rsidR="00AA662C" w:rsidRPr="00F06651" w:rsidRDefault="00AA662C" w:rsidP="008450EE">
            <w:pPr>
              <w:pStyle w:val="Tabletext"/>
              <w:jc w:val="center"/>
              <w:rPr>
                <w:lang w:eastAsia="zh-CN"/>
              </w:rPr>
            </w:pPr>
            <w:r w:rsidRPr="00F06651">
              <w:rPr>
                <w:lang w:eastAsia="zh-CN"/>
              </w:rPr>
              <w:t>41 to 61 V/m</w:t>
            </w:r>
          </w:p>
        </w:tc>
        <w:tc>
          <w:tcPr>
            <w:tcW w:w="3101" w:type="dxa"/>
          </w:tcPr>
          <w:p w14:paraId="1E1E809F" w14:textId="77777777" w:rsidR="00AA662C" w:rsidRPr="00F06651" w:rsidRDefault="00AA662C" w:rsidP="008450EE">
            <w:pPr>
              <w:pStyle w:val="Tabletext"/>
              <w:jc w:val="center"/>
              <w:rPr>
                <w:lang w:eastAsia="zh-CN"/>
              </w:rPr>
            </w:pPr>
            <w:r w:rsidRPr="00F06651">
              <w:rPr>
                <w:lang w:eastAsia="zh-CN"/>
              </w:rPr>
              <w:t>0.1–0.3 V/m</w:t>
            </w:r>
          </w:p>
        </w:tc>
      </w:tr>
      <w:tr w:rsidR="00AA662C" w:rsidRPr="00F06651" w14:paraId="4295F39A" w14:textId="77777777" w:rsidTr="008450EE">
        <w:trPr>
          <w:jc w:val="center"/>
        </w:trPr>
        <w:tc>
          <w:tcPr>
            <w:tcW w:w="3088" w:type="dxa"/>
          </w:tcPr>
          <w:p w14:paraId="0ED19595" w14:textId="77777777" w:rsidR="00AA662C" w:rsidRPr="00F06651" w:rsidRDefault="00AA662C" w:rsidP="008450EE">
            <w:pPr>
              <w:pStyle w:val="Tabletext"/>
              <w:rPr>
                <w:lang w:eastAsia="zh-CN"/>
              </w:rPr>
            </w:pPr>
            <w:r w:rsidRPr="00F06651">
              <w:rPr>
                <w:lang w:eastAsia="zh-CN"/>
              </w:rPr>
              <w:t>Average urban, TV and radio</w:t>
            </w:r>
          </w:p>
        </w:tc>
        <w:tc>
          <w:tcPr>
            <w:tcW w:w="3098" w:type="dxa"/>
          </w:tcPr>
          <w:p w14:paraId="19644142" w14:textId="77777777" w:rsidR="00AA662C" w:rsidRPr="00F06651" w:rsidRDefault="00AA662C" w:rsidP="008450EE">
            <w:pPr>
              <w:pStyle w:val="Tabletext"/>
              <w:jc w:val="center"/>
              <w:rPr>
                <w:lang w:eastAsia="zh-CN"/>
              </w:rPr>
            </w:pPr>
            <w:r w:rsidRPr="00F06651">
              <w:rPr>
                <w:lang w:eastAsia="zh-CN"/>
              </w:rPr>
              <w:t>28 V/m</w:t>
            </w:r>
          </w:p>
        </w:tc>
        <w:tc>
          <w:tcPr>
            <w:tcW w:w="3101" w:type="dxa"/>
          </w:tcPr>
          <w:p w14:paraId="3628496F" w14:textId="77777777" w:rsidR="00AA662C" w:rsidRPr="00F06651" w:rsidRDefault="00AA662C" w:rsidP="008450EE">
            <w:pPr>
              <w:pStyle w:val="Tabletext"/>
              <w:jc w:val="center"/>
              <w:rPr>
                <w:lang w:eastAsia="zh-CN"/>
              </w:rPr>
            </w:pPr>
            <w:r w:rsidRPr="00F06651">
              <w:rPr>
                <w:lang w:eastAsia="zh-CN"/>
              </w:rPr>
              <w:t>0.4–0.7 V/m</w:t>
            </w:r>
          </w:p>
        </w:tc>
      </w:tr>
      <w:tr w:rsidR="00AA662C" w:rsidRPr="00F06651" w14:paraId="51CAE233" w14:textId="77777777" w:rsidTr="008450EE">
        <w:trPr>
          <w:jc w:val="center"/>
        </w:trPr>
        <w:tc>
          <w:tcPr>
            <w:tcW w:w="3088" w:type="dxa"/>
          </w:tcPr>
          <w:p w14:paraId="0DAF3157" w14:textId="77777777" w:rsidR="00AA662C" w:rsidRPr="00F06651" w:rsidRDefault="00AA662C" w:rsidP="008450EE">
            <w:pPr>
              <w:pStyle w:val="Tabletext"/>
              <w:rPr>
                <w:lang w:eastAsia="zh-CN"/>
              </w:rPr>
            </w:pPr>
            <w:r w:rsidRPr="00F06651">
              <w:rPr>
                <w:lang w:eastAsia="zh-CN"/>
              </w:rPr>
              <w:t xml:space="preserve">Wi-Fi access point (20 cm) </w:t>
            </w:r>
          </w:p>
        </w:tc>
        <w:tc>
          <w:tcPr>
            <w:tcW w:w="3098" w:type="dxa"/>
          </w:tcPr>
          <w:p w14:paraId="15049AA5" w14:textId="77777777" w:rsidR="00AA662C" w:rsidRPr="00F06651" w:rsidRDefault="00AA662C" w:rsidP="008450EE">
            <w:pPr>
              <w:pStyle w:val="Tabletext"/>
              <w:jc w:val="center"/>
              <w:rPr>
                <w:lang w:eastAsia="zh-CN"/>
              </w:rPr>
            </w:pPr>
            <w:r w:rsidRPr="00F06651">
              <w:rPr>
                <w:lang w:eastAsia="zh-CN"/>
              </w:rPr>
              <w:t>61 V/m</w:t>
            </w:r>
          </w:p>
        </w:tc>
        <w:tc>
          <w:tcPr>
            <w:tcW w:w="3101" w:type="dxa"/>
          </w:tcPr>
          <w:p w14:paraId="6CAD5CB8" w14:textId="77777777" w:rsidR="00AA662C" w:rsidRPr="00F06651" w:rsidRDefault="00AA662C" w:rsidP="008450EE">
            <w:pPr>
              <w:pStyle w:val="Tabletext"/>
              <w:jc w:val="center"/>
              <w:rPr>
                <w:lang w:eastAsia="zh-CN"/>
              </w:rPr>
            </w:pPr>
            <w:r w:rsidRPr="00F06651">
              <w:rPr>
                <w:lang w:eastAsia="zh-CN"/>
              </w:rPr>
              <w:t>3.9 V/m</w:t>
            </w:r>
          </w:p>
        </w:tc>
      </w:tr>
      <w:tr w:rsidR="00AA662C" w:rsidRPr="00F06651" w14:paraId="29E6D694" w14:textId="77777777" w:rsidTr="008450EE">
        <w:trPr>
          <w:jc w:val="center"/>
        </w:trPr>
        <w:tc>
          <w:tcPr>
            <w:tcW w:w="3088" w:type="dxa"/>
          </w:tcPr>
          <w:p w14:paraId="6F5492F8" w14:textId="77777777" w:rsidR="00AA662C" w:rsidRPr="00F06651" w:rsidRDefault="00AA662C" w:rsidP="008450EE">
            <w:pPr>
              <w:pStyle w:val="Tabletext"/>
              <w:rPr>
                <w:lang w:eastAsia="zh-CN"/>
              </w:rPr>
            </w:pPr>
            <w:r w:rsidRPr="00F06651">
              <w:rPr>
                <w:lang w:eastAsia="zh-CN"/>
              </w:rPr>
              <w:t>DECT cordless phone (20 cm)</w:t>
            </w:r>
          </w:p>
        </w:tc>
        <w:tc>
          <w:tcPr>
            <w:tcW w:w="3098" w:type="dxa"/>
          </w:tcPr>
          <w:p w14:paraId="1A972922" w14:textId="77777777" w:rsidR="00AA662C" w:rsidRPr="00F06651" w:rsidRDefault="00AA662C" w:rsidP="008450EE">
            <w:pPr>
              <w:pStyle w:val="Tabletext"/>
              <w:jc w:val="center"/>
              <w:rPr>
                <w:lang w:eastAsia="zh-CN"/>
              </w:rPr>
            </w:pPr>
            <w:r w:rsidRPr="00F06651">
              <w:rPr>
                <w:lang w:eastAsia="zh-CN"/>
              </w:rPr>
              <w:t>58 to 61 V/m</w:t>
            </w:r>
          </w:p>
        </w:tc>
        <w:tc>
          <w:tcPr>
            <w:tcW w:w="3101" w:type="dxa"/>
          </w:tcPr>
          <w:p w14:paraId="3411CCB4" w14:textId="77777777" w:rsidR="00AA662C" w:rsidRPr="00F06651" w:rsidRDefault="00AA662C" w:rsidP="008450EE">
            <w:pPr>
              <w:pStyle w:val="Tabletext"/>
              <w:jc w:val="center"/>
              <w:rPr>
                <w:lang w:eastAsia="zh-CN"/>
              </w:rPr>
            </w:pPr>
            <w:r w:rsidRPr="00F06651">
              <w:rPr>
                <w:lang w:eastAsia="zh-CN"/>
              </w:rPr>
              <w:t>11.5 V/m</w:t>
            </w:r>
          </w:p>
        </w:tc>
      </w:tr>
      <w:tr w:rsidR="00AA662C" w:rsidRPr="00F06651" w14:paraId="48499277" w14:textId="77777777" w:rsidTr="008450EE">
        <w:trPr>
          <w:jc w:val="center"/>
        </w:trPr>
        <w:tc>
          <w:tcPr>
            <w:tcW w:w="3088" w:type="dxa"/>
          </w:tcPr>
          <w:p w14:paraId="17C2C6A8" w14:textId="77777777" w:rsidR="00AA662C" w:rsidRPr="00F06651" w:rsidRDefault="00AA662C" w:rsidP="008450EE">
            <w:pPr>
              <w:pStyle w:val="Tabletext"/>
              <w:rPr>
                <w:lang w:eastAsia="zh-CN"/>
              </w:rPr>
            </w:pPr>
            <w:r w:rsidRPr="00F06651">
              <w:rPr>
                <w:lang w:eastAsia="zh-CN"/>
              </w:rPr>
              <w:t>Baby monitors (20 cm)</w:t>
            </w:r>
          </w:p>
        </w:tc>
        <w:tc>
          <w:tcPr>
            <w:tcW w:w="3098" w:type="dxa"/>
          </w:tcPr>
          <w:p w14:paraId="264BDB2C" w14:textId="77777777" w:rsidR="00AA662C" w:rsidRPr="00F06651" w:rsidRDefault="00AA662C" w:rsidP="008450EE">
            <w:pPr>
              <w:pStyle w:val="Tabletext"/>
              <w:jc w:val="center"/>
              <w:rPr>
                <w:lang w:eastAsia="zh-CN"/>
              </w:rPr>
            </w:pPr>
            <w:r w:rsidRPr="00F06651">
              <w:rPr>
                <w:lang w:eastAsia="zh-CN"/>
              </w:rPr>
              <w:t>28 to 61 V/m</w:t>
            </w:r>
          </w:p>
        </w:tc>
        <w:tc>
          <w:tcPr>
            <w:tcW w:w="3101" w:type="dxa"/>
          </w:tcPr>
          <w:p w14:paraId="4723ED0B" w14:textId="77777777" w:rsidR="00AA662C" w:rsidRPr="00F06651" w:rsidRDefault="00AA662C" w:rsidP="008450EE">
            <w:pPr>
              <w:pStyle w:val="Tabletext"/>
              <w:jc w:val="center"/>
              <w:rPr>
                <w:lang w:eastAsia="zh-CN"/>
              </w:rPr>
            </w:pPr>
            <w:r w:rsidRPr="00F06651">
              <w:rPr>
                <w:lang w:eastAsia="zh-CN"/>
              </w:rPr>
              <w:t>8.5 V/m</w:t>
            </w:r>
          </w:p>
        </w:tc>
      </w:tr>
    </w:tbl>
    <w:p w14:paraId="4984C668" w14:textId="77777777" w:rsidR="00AA662C" w:rsidRPr="00F06651" w:rsidRDefault="00AA662C" w:rsidP="008450EE">
      <w:pPr>
        <w:rPr>
          <w:lang w:eastAsia="zh-CN"/>
        </w:rPr>
      </w:pPr>
      <w:r w:rsidRPr="00F06651">
        <w:rPr>
          <w:lang w:eastAsia="zh-CN"/>
        </w:rPr>
        <w:t xml:space="preserve">Wireless technologies are based on international regulations and technical standards. There is little variation in the level of exposure between countries as shown in analyses of base station measurement surveys conducted internationally (Rowley </w:t>
      </w:r>
      <w:r w:rsidR="000E4A5B" w:rsidRPr="002E4045">
        <w:rPr>
          <w:i/>
          <w:iCs/>
          <w:lang w:eastAsia="zh-CN"/>
        </w:rPr>
        <w:t>et al</w:t>
      </w:r>
      <w:r w:rsidR="00D31774">
        <w:rPr>
          <w:lang w:eastAsia="zh-CN"/>
        </w:rPr>
        <w:t>.</w:t>
      </w:r>
      <w:r w:rsidRPr="00F06651">
        <w:rPr>
          <w:lang w:eastAsia="zh-CN"/>
        </w:rPr>
        <w:t xml:space="preserve">, 2012) and in developing regions such as Africa (Joyner </w:t>
      </w:r>
      <w:r w:rsidR="000E4A5B" w:rsidRPr="002E4045">
        <w:rPr>
          <w:i/>
          <w:iCs/>
          <w:lang w:eastAsia="zh-CN"/>
        </w:rPr>
        <w:t>et al</w:t>
      </w:r>
      <w:r w:rsidR="00D31774">
        <w:rPr>
          <w:lang w:eastAsia="zh-CN"/>
        </w:rPr>
        <w:t>.</w:t>
      </w:r>
      <w:r w:rsidRPr="00F06651">
        <w:rPr>
          <w:lang w:eastAsia="zh-CN"/>
        </w:rPr>
        <w:t>, 2014). The global average reported from 173,000 measurement points from 23 countries conducted from the year 2000 onwards was 0.073 μW/cm</w:t>
      </w:r>
      <w:r w:rsidRPr="00F06651">
        <w:rPr>
          <w:vertAlign w:val="superscript"/>
          <w:lang w:eastAsia="zh-CN"/>
        </w:rPr>
        <w:t>2</w:t>
      </w:r>
      <w:r w:rsidR="00842F01">
        <w:rPr>
          <w:vertAlign w:val="superscript"/>
          <w:lang w:eastAsia="zh-CN"/>
        </w:rPr>
        <w:t xml:space="preserve"> </w:t>
      </w:r>
      <w:r w:rsidR="00842F01" w:rsidRPr="009832BB">
        <w:rPr>
          <w:lang w:eastAsia="zh-CN"/>
        </w:rPr>
        <w:t>(730</w:t>
      </w:r>
      <w:r w:rsidR="00842F01">
        <w:rPr>
          <w:lang w:eastAsia="zh-CN"/>
        </w:rPr>
        <w:t xml:space="preserve"> </w:t>
      </w:r>
      <w:r w:rsidR="00842F01" w:rsidRPr="00F06651">
        <w:rPr>
          <w:lang w:eastAsia="zh-CN"/>
        </w:rPr>
        <w:t>μW/m</w:t>
      </w:r>
      <w:r w:rsidR="00842F01" w:rsidRPr="00F06651">
        <w:rPr>
          <w:vertAlign w:val="superscript"/>
          <w:lang w:eastAsia="zh-CN"/>
        </w:rPr>
        <w:t>2</w:t>
      </w:r>
      <w:r w:rsidR="00842F01" w:rsidRPr="009832BB">
        <w:rPr>
          <w:lang w:eastAsia="zh-CN"/>
        </w:rPr>
        <w:t>)</w:t>
      </w:r>
      <w:r w:rsidRPr="00F06651">
        <w:rPr>
          <w:lang w:eastAsia="zh-CN"/>
        </w:rPr>
        <w:t xml:space="preserve">, approximately 5,500 times </w:t>
      </w:r>
      <w:r w:rsidR="00842F01" w:rsidRPr="00842F01">
        <w:rPr>
          <w:lang w:eastAsia="zh-CN"/>
        </w:rPr>
        <w:t>(in power-density and 74 in field-strength</w:t>
      </w:r>
      <w:r w:rsidR="00842F01">
        <w:rPr>
          <w:lang w:eastAsia="zh-CN"/>
        </w:rPr>
        <w:t>)</w:t>
      </w:r>
      <w:r w:rsidR="00842F01" w:rsidRPr="00842F01">
        <w:rPr>
          <w:lang w:eastAsia="zh-CN"/>
        </w:rPr>
        <w:t xml:space="preserve"> </w:t>
      </w:r>
      <w:r w:rsidRPr="00F06651">
        <w:rPr>
          <w:lang w:eastAsia="zh-CN"/>
        </w:rPr>
        <w:t xml:space="preserve">below the most restrictive ICNIRP reference level for the public relevant to these mobile communication services </w:t>
      </w:r>
      <w:r w:rsidR="00842F01">
        <w:rPr>
          <w:lang w:eastAsia="zh-CN"/>
        </w:rPr>
        <w:t xml:space="preserve">of </w:t>
      </w:r>
      <w:r w:rsidRPr="00F06651">
        <w:rPr>
          <w:lang w:eastAsia="zh-CN"/>
        </w:rPr>
        <w:t>400 μW/cm</w:t>
      </w:r>
      <w:r w:rsidRPr="009832BB">
        <w:rPr>
          <w:vertAlign w:val="superscript"/>
          <w:lang w:eastAsia="zh-CN"/>
        </w:rPr>
        <w:t>2</w:t>
      </w:r>
      <w:r w:rsidRPr="00F06651">
        <w:rPr>
          <w:lang w:eastAsia="zh-CN"/>
        </w:rPr>
        <w:t xml:space="preserve"> </w:t>
      </w:r>
      <w:r w:rsidR="00842F01">
        <w:rPr>
          <w:lang w:eastAsia="zh-CN"/>
        </w:rPr>
        <w:t>(4W/m</w:t>
      </w:r>
      <w:r w:rsidR="00842F01" w:rsidRPr="009832BB">
        <w:rPr>
          <w:vertAlign w:val="superscript"/>
          <w:lang w:eastAsia="zh-CN"/>
        </w:rPr>
        <w:t>2</w:t>
      </w:r>
      <w:r w:rsidR="00842F01">
        <w:rPr>
          <w:lang w:eastAsia="zh-CN"/>
        </w:rPr>
        <w:t xml:space="preserve">) </w:t>
      </w:r>
      <w:r w:rsidRPr="00F06651">
        <w:rPr>
          <w:lang w:eastAsia="zh-CN"/>
        </w:rPr>
        <w:t>at 800 MHz.</w:t>
      </w:r>
    </w:p>
    <w:p w14:paraId="05BC6232" w14:textId="50D41B21" w:rsidR="00AA662C" w:rsidRPr="00F06651" w:rsidRDefault="00AA662C" w:rsidP="008450EE">
      <w:pPr>
        <w:rPr>
          <w:lang w:eastAsia="zh-CN"/>
        </w:rPr>
      </w:pPr>
      <w:r w:rsidRPr="00F06651">
        <w:rPr>
          <w:lang w:eastAsia="zh-CN"/>
        </w:rPr>
        <w:t xml:space="preserve">The ICNIRP reference levels are only likely to be approached in areas close to the transmitting antennas as shown in </w:t>
      </w:r>
      <w:r w:rsidR="00D31774">
        <w:rPr>
          <w:lang w:eastAsia="zh-CN"/>
        </w:rPr>
        <w:t>F</w:t>
      </w:r>
      <w:r w:rsidRPr="00F06651">
        <w:rPr>
          <w:lang w:eastAsia="zh-CN"/>
        </w:rPr>
        <w:t>igure</w:t>
      </w:r>
      <w:r w:rsidR="00396A15">
        <w:rPr>
          <w:lang w:eastAsia="zh-CN"/>
        </w:rPr>
        <w:t xml:space="preserve"> 23</w:t>
      </w:r>
      <w:r w:rsidRPr="00F06651">
        <w:rPr>
          <w:lang w:eastAsia="zh-CN"/>
        </w:rPr>
        <w:t>.</w:t>
      </w:r>
    </w:p>
    <w:p w14:paraId="270FC68C" w14:textId="77777777" w:rsidR="00AA662C" w:rsidRPr="00F06651" w:rsidRDefault="00AA662C" w:rsidP="008450EE">
      <w:pPr>
        <w:pStyle w:val="Figure"/>
        <w:rPr>
          <w:lang w:eastAsia="zh-CN"/>
        </w:rPr>
      </w:pPr>
      <w:r w:rsidRPr="00F06651">
        <w:rPr>
          <w:noProof/>
          <w:lang w:val="en-US" w:eastAsia="zh-CN"/>
        </w:rPr>
        <w:drawing>
          <wp:inline distT="0" distB="0" distL="0" distR="0" wp14:anchorId="07081CCF" wp14:editId="5D45E965">
            <wp:extent cx="3990753" cy="2431212"/>
            <wp:effectExtent l="0" t="0" r="0" b="7620"/>
            <wp:docPr id="5132" name="Picture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90914" cy="2431310"/>
                    </a:xfrm>
                    <a:prstGeom prst="rect">
                      <a:avLst/>
                    </a:prstGeom>
                    <a:noFill/>
                    <a:ln>
                      <a:noFill/>
                    </a:ln>
                  </pic:spPr>
                </pic:pic>
              </a:graphicData>
            </a:graphic>
          </wp:inline>
        </w:drawing>
      </w:r>
    </w:p>
    <w:p w14:paraId="2340AD0C" w14:textId="4726C0B2" w:rsidR="00396A15" w:rsidRPr="00F06651" w:rsidRDefault="00396A15" w:rsidP="00396A15">
      <w:pPr>
        <w:pStyle w:val="Figurelegend"/>
        <w:rPr>
          <w:lang w:eastAsia="zh-CN"/>
        </w:rPr>
      </w:pPr>
      <w:r>
        <w:rPr>
          <w:lang w:eastAsia="en-AU"/>
        </w:rPr>
        <w:t>Source</w:t>
      </w:r>
      <w:r>
        <w:rPr>
          <w:lang w:eastAsia="zh-CN"/>
        </w:rPr>
        <w:t xml:space="preserve">: From Figure 5, p. 20, of the </w:t>
      </w:r>
      <w:r w:rsidRPr="00F06651">
        <w:rPr>
          <w:lang w:eastAsia="zh-CN"/>
        </w:rPr>
        <w:t>Health Co</w:t>
      </w:r>
      <w:r>
        <w:rPr>
          <w:lang w:eastAsia="zh-CN"/>
        </w:rPr>
        <w:t>uncil of the Netherlands, 2000.</w:t>
      </w:r>
    </w:p>
    <w:p w14:paraId="033B6414" w14:textId="34BB4E4C" w:rsidR="008450EE" w:rsidRDefault="00AA662C">
      <w:pPr>
        <w:pStyle w:val="FigureNoTitle"/>
        <w:rPr>
          <w:lang w:eastAsia="zh-CN"/>
        </w:rPr>
      </w:pPr>
      <w:r w:rsidRPr="00F06651">
        <w:rPr>
          <w:lang w:eastAsia="zh-CN"/>
        </w:rPr>
        <w:t xml:space="preserve">Figure </w:t>
      </w:r>
      <w:r w:rsidR="000E4A5B" w:rsidRPr="00F06651">
        <w:rPr>
          <w:lang w:eastAsia="zh-CN"/>
        </w:rPr>
        <w:fldChar w:fldCharType="begin"/>
      </w:r>
      <w:r w:rsidRPr="00F06651">
        <w:rPr>
          <w:lang w:eastAsia="zh-CN"/>
        </w:rPr>
        <w:instrText xml:space="preserve"> seq figure </w:instrText>
      </w:r>
      <w:bookmarkStart w:id="208" w:name="f_exp_level_gsm_antenna"/>
      <w:bookmarkEnd w:id="208"/>
      <w:r w:rsidRPr="00F06651">
        <w:rPr>
          <w:lang w:eastAsia="zh-CN"/>
        </w:rPr>
        <w:instrText xml:space="preserve"> </w:instrText>
      </w:r>
      <w:r w:rsidR="000E4A5B" w:rsidRPr="00F06651">
        <w:rPr>
          <w:lang w:eastAsia="zh-CN"/>
        </w:rPr>
        <w:fldChar w:fldCharType="separate"/>
      </w:r>
      <w:r w:rsidR="008263B5">
        <w:rPr>
          <w:noProof/>
          <w:lang w:eastAsia="zh-CN"/>
        </w:rPr>
        <w:t>2</w:t>
      </w:r>
      <w:r w:rsidR="000E4A5B" w:rsidRPr="00F06651">
        <w:rPr>
          <w:lang w:eastAsia="zh-CN"/>
        </w:rPr>
        <w:fldChar w:fldCharType="end"/>
      </w:r>
      <w:r w:rsidR="00464CD2">
        <w:rPr>
          <w:lang w:eastAsia="zh-CN"/>
        </w:rPr>
        <w:t>3</w:t>
      </w:r>
      <w:r w:rsidRPr="00F06651">
        <w:rPr>
          <w:lang w:eastAsia="zh-CN"/>
        </w:rPr>
        <w:t xml:space="preserve"> </w:t>
      </w:r>
      <w:r w:rsidR="00396A15">
        <w:rPr>
          <w:lang w:eastAsia="zh-CN"/>
        </w:rPr>
        <w:t>–</w:t>
      </w:r>
      <w:r w:rsidRPr="00F06651">
        <w:rPr>
          <w:lang w:eastAsia="zh-CN"/>
        </w:rPr>
        <w:t xml:space="preserve"> Exposure levels near a GSM base station antenna with a radiating power of 20 W transmitting at 900 MHz</w:t>
      </w:r>
    </w:p>
    <w:p w14:paraId="42EF5680" w14:textId="77777777" w:rsidR="00AA662C" w:rsidRPr="00F06651" w:rsidRDefault="00AA662C" w:rsidP="00AA662C">
      <w:pPr>
        <w:tabs>
          <w:tab w:val="clear" w:pos="794"/>
          <w:tab w:val="clear" w:pos="1191"/>
          <w:tab w:val="clear" w:pos="1588"/>
          <w:tab w:val="clear" w:pos="1985"/>
        </w:tabs>
        <w:overflowPunct/>
        <w:autoSpaceDE/>
        <w:autoSpaceDN/>
        <w:adjustRightInd/>
        <w:spacing w:before="0" w:after="200" w:line="276" w:lineRule="auto"/>
        <w:textAlignment w:val="auto"/>
        <w:rPr>
          <w:rFonts w:eastAsia="SimSun"/>
          <w:szCs w:val="24"/>
          <w:lang w:eastAsia="zh-CN"/>
        </w:rPr>
      </w:pPr>
      <w:r w:rsidRPr="00F06651">
        <w:rPr>
          <w:rFonts w:eastAsia="SimSun"/>
          <w:szCs w:val="24"/>
          <w:lang w:eastAsia="zh-CN"/>
        </w:rPr>
        <w:br w:type="page"/>
      </w:r>
    </w:p>
    <w:p w14:paraId="72D63D32" w14:textId="10B78717" w:rsidR="00AA662C" w:rsidRPr="00F06651" w:rsidRDefault="00AA662C" w:rsidP="008450EE">
      <w:pPr>
        <w:pStyle w:val="AnnexNoTitle"/>
      </w:pPr>
      <w:bookmarkStart w:id="209" w:name="_Toc397945091"/>
      <w:bookmarkStart w:id="210" w:name="_Toc400020909"/>
      <w:bookmarkStart w:id="211" w:name="_Toc400106177"/>
      <w:r w:rsidRPr="00F06651">
        <w:lastRenderedPageBreak/>
        <w:t>Annex 4</w:t>
      </w:r>
      <w:r w:rsidR="008450EE">
        <w:br/>
      </w:r>
      <w:r w:rsidRPr="00F06651">
        <w:br/>
        <w:t xml:space="preserve">Abbreviations and </w:t>
      </w:r>
      <w:r w:rsidR="008263B5">
        <w:t>a</w:t>
      </w:r>
      <w:r w:rsidRPr="00F06651">
        <w:t>cronyms</w:t>
      </w:r>
      <w:bookmarkEnd w:id="209"/>
      <w:bookmarkEnd w:id="210"/>
      <w:bookmarkEnd w:id="211"/>
    </w:p>
    <w:p w14:paraId="1FF6990F" w14:textId="77777777" w:rsidR="008450EE" w:rsidRDefault="008450EE" w:rsidP="008450EE">
      <w:pPr>
        <w:tabs>
          <w:tab w:val="clear" w:pos="794"/>
          <w:tab w:val="clear" w:pos="1191"/>
        </w:tabs>
        <w:rPr>
          <w:lang w:eastAsia="zh-CN"/>
        </w:rPr>
      </w:pPr>
    </w:p>
    <w:p w14:paraId="525A8B85" w14:textId="77777777" w:rsidR="00AA662C" w:rsidRPr="00F06651" w:rsidRDefault="00AA662C" w:rsidP="008450EE">
      <w:pPr>
        <w:tabs>
          <w:tab w:val="clear" w:pos="794"/>
          <w:tab w:val="clear" w:pos="1191"/>
        </w:tabs>
        <w:rPr>
          <w:lang w:eastAsia="zh-CN"/>
        </w:rPr>
      </w:pPr>
      <w:r w:rsidRPr="00F06651">
        <w:rPr>
          <w:lang w:eastAsia="zh-CN"/>
        </w:rPr>
        <w:t>3D</w:t>
      </w:r>
      <w:r w:rsidRPr="00F06651">
        <w:rPr>
          <w:lang w:eastAsia="zh-CN"/>
        </w:rPr>
        <w:tab/>
        <w:t>Three Dimensional</w:t>
      </w:r>
    </w:p>
    <w:p w14:paraId="76A75A8F" w14:textId="77777777" w:rsidR="00AA662C" w:rsidRPr="00F06651" w:rsidRDefault="00AA662C" w:rsidP="008450EE">
      <w:pPr>
        <w:tabs>
          <w:tab w:val="clear" w:pos="794"/>
          <w:tab w:val="clear" w:pos="1191"/>
        </w:tabs>
        <w:rPr>
          <w:lang w:eastAsia="zh-CN"/>
        </w:rPr>
      </w:pPr>
      <w:r w:rsidRPr="00F06651">
        <w:rPr>
          <w:lang w:eastAsia="zh-CN"/>
        </w:rPr>
        <w:t>3G</w:t>
      </w:r>
      <w:r w:rsidRPr="00F06651">
        <w:rPr>
          <w:lang w:eastAsia="zh-CN"/>
        </w:rPr>
        <w:tab/>
        <w:t>3rd Generation mobile technology</w:t>
      </w:r>
    </w:p>
    <w:p w14:paraId="0D4A19B6" w14:textId="77777777" w:rsidR="00AA662C" w:rsidRPr="00F06651" w:rsidRDefault="00AA662C" w:rsidP="008450EE">
      <w:pPr>
        <w:tabs>
          <w:tab w:val="clear" w:pos="794"/>
          <w:tab w:val="clear" w:pos="1191"/>
        </w:tabs>
        <w:rPr>
          <w:lang w:eastAsia="zh-CN"/>
        </w:rPr>
      </w:pPr>
      <w:r w:rsidRPr="00F06651">
        <w:rPr>
          <w:lang w:eastAsia="zh-CN"/>
        </w:rPr>
        <w:t>4G</w:t>
      </w:r>
      <w:r w:rsidRPr="00F06651">
        <w:rPr>
          <w:lang w:eastAsia="zh-CN"/>
        </w:rPr>
        <w:tab/>
        <w:t>4th Generation mobile technology</w:t>
      </w:r>
    </w:p>
    <w:p w14:paraId="6EC91509" w14:textId="77777777" w:rsidR="00AA662C" w:rsidRPr="00F06651" w:rsidRDefault="00AA662C" w:rsidP="008450EE">
      <w:pPr>
        <w:tabs>
          <w:tab w:val="clear" w:pos="794"/>
          <w:tab w:val="clear" w:pos="1191"/>
        </w:tabs>
        <w:rPr>
          <w:lang w:eastAsia="zh-CN"/>
        </w:rPr>
      </w:pPr>
      <w:r w:rsidRPr="00F06651">
        <w:rPr>
          <w:lang w:eastAsia="zh-CN"/>
        </w:rPr>
        <w:t>AM</w:t>
      </w:r>
      <w:r w:rsidRPr="00F06651">
        <w:rPr>
          <w:lang w:eastAsia="zh-CN"/>
        </w:rPr>
        <w:tab/>
        <w:t>Amplitude Modulation</w:t>
      </w:r>
    </w:p>
    <w:p w14:paraId="3338E3C5" w14:textId="77777777" w:rsidR="00AA662C" w:rsidRPr="00F06651" w:rsidRDefault="00AA662C" w:rsidP="008450EE">
      <w:pPr>
        <w:tabs>
          <w:tab w:val="clear" w:pos="794"/>
          <w:tab w:val="clear" w:pos="1191"/>
        </w:tabs>
        <w:rPr>
          <w:lang w:eastAsia="zh-CN"/>
        </w:rPr>
      </w:pPr>
      <w:r w:rsidRPr="00F06651">
        <w:rPr>
          <w:lang w:eastAsia="zh-CN"/>
        </w:rPr>
        <w:t>AMR</w:t>
      </w:r>
      <w:r w:rsidRPr="00F06651">
        <w:rPr>
          <w:lang w:eastAsia="zh-CN"/>
        </w:rPr>
        <w:tab/>
        <w:t>Automatic Meter Reading</w:t>
      </w:r>
    </w:p>
    <w:p w14:paraId="2886CCD1" w14:textId="6BC629C9" w:rsidR="00AA662C" w:rsidRPr="00F06651" w:rsidRDefault="00AA662C" w:rsidP="008450EE">
      <w:pPr>
        <w:tabs>
          <w:tab w:val="clear" w:pos="794"/>
          <w:tab w:val="clear" w:pos="1191"/>
        </w:tabs>
        <w:rPr>
          <w:lang w:eastAsia="zh-CN"/>
        </w:rPr>
      </w:pPr>
      <w:r w:rsidRPr="00F06651">
        <w:rPr>
          <w:lang w:eastAsia="zh-CN"/>
        </w:rPr>
        <w:t>CENELEC</w:t>
      </w:r>
      <w:r w:rsidRPr="00F06651">
        <w:rPr>
          <w:lang w:eastAsia="zh-CN"/>
        </w:rPr>
        <w:tab/>
        <w:t>European Committee for Electrotechnical Standardi</w:t>
      </w:r>
      <w:r w:rsidR="00B86D50">
        <w:rPr>
          <w:lang w:eastAsia="zh-CN"/>
        </w:rPr>
        <w:t>z</w:t>
      </w:r>
      <w:r w:rsidRPr="00F06651">
        <w:rPr>
          <w:lang w:eastAsia="zh-CN"/>
        </w:rPr>
        <w:t>ation</w:t>
      </w:r>
    </w:p>
    <w:p w14:paraId="566C3601" w14:textId="77777777" w:rsidR="00AA662C" w:rsidRPr="00F06651" w:rsidRDefault="00AA662C" w:rsidP="008450EE">
      <w:pPr>
        <w:tabs>
          <w:tab w:val="clear" w:pos="794"/>
          <w:tab w:val="clear" w:pos="1191"/>
        </w:tabs>
        <w:rPr>
          <w:lang w:eastAsia="zh-CN"/>
        </w:rPr>
      </w:pPr>
      <w:r w:rsidRPr="00F06651">
        <w:rPr>
          <w:lang w:eastAsia="zh-CN"/>
        </w:rPr>
        <w:t>DAS</w:t>
      </w:r>
      <w:r w:rsidRPr="00F06651">
        <w:rPr>
          <w:lang w:eastAsia="zh-CN"/>
        </w:rPr>
        <w:tab/>
        <w:t>Distributed Antenna Systems</w:t>
      </w:r>
    </w:p>
    <w:p w14:paraId="1060BA87" w14:textId="77777777" w:rsidR="00AA662C" w:rsidRDefault="00AA662C" w:rsidP="008450EE">
      <w:pPr>
        <w:tabs>
          <w:tab w:val="clear" w:pos="794"/>
          <w:tab w:val="clear" w:pos="1191"/>
        </w:tabs>
        <w:rPr>
          <w:lang w:eastAsia="zh-CN"/>
        </w:rPr>
      </w:pPr>
      <w:r w:rsidRPr="00F06651">
        <w:rPr>
          <w:lang w:eastAsia="zh-CN"/>
        </w:rPr>
        <w:t>DECT</w:t>
      </w:r>
      <w:r w:rsidRPr="00F06651">
        <w:rPr>
          <w:lang w:eastAsia="zh-CN"/>
        </w:rPr>
        <w:tab/>
        <w:t>Digital Enhanced Cordless Telecommunication</w:t>
      </w:r>
    </w:p>
    <w:p w14:paraId="69E091AD" w14:textId="77777777" w:rsidR="00426926" w:rsidRPr="00F06651" w:rsidRDefault="00426926" w:rsidP="008450EE">
      <w:pPr>
        <w:tabs>
          <w:tab w:val="clear" w:pos="794"/>
          <w:tab w:val="clear" w:pos="1191"/>
        </w:tabs>
        <w:rPr>
          <w:lang w:eastAsia="zh-CN"/>
        </w:rPr>
      </w:pPr>
      <w:r>
        <w:rPr>
          <w:lang w:eastAsia="zh-CN"/>
        </w:rPr>
        <w:t>DVB-T</w:t>
      </w:r>
      <w:r w:rsidR="008263B5">
        <w:rPr>
          <w:lang w:eastAsia="zh-CN"/>
        </w:rPr>
        <w:tab/>
        <w:t>Digital Video Broadcasting - Terrestrial</w:t>
      </w:r>
    </w:p>
    <w:p w14:paraId="6741825F" w14:textId="77777777" w:rsidR="00AA662C" w:rsidRPr="00F06651" w:rsidRDefault="00AA662C" w:rsidP="008450EE">
      <w:pPr>
        <w:tabs>
          <w:tab w:val="clear" w:pos="794"/>
          <w:tab w:val="clear" w:pos="1191"/>
        </w:tabs>
        <w:rPr>
          <w:lang w:eastAsia="zh-CN"/>
        </w:rPr>
      </w:pPr>
      <w:r w:rsidRPr="00F06651">
        <w:rPr>
          <w:lang w:eastAsia="zh-CN"/>
        </w:rPr>
        <w:t>DSL</w:t>
      </w:r>
      <w:r w:rsidRPr="00F06651">
        <w:rPr>
          <w:lang w:eastAsia="zh-CN"/>
        </w:rPr>
        <w:tab/>
        <w:t>Digital Subscriber Line</w:t>
      </w:r>
    </w:p>
    <w:p w14:paraId="57335F43" w14:textId="77777777" w:rsidR="00AA662C" w:rsidRDefault="00AA662C" w:rsidP="008450EE">
      <w:pPr>
        <w:tabs>
          <w:tab w:val="clear" w:pos="794"/>
          <w:tab w:val="clear" w:pos="1191"/>
        </w:tabs>
        <w:rPr>
          <w:lang w:eastAsia="zh-CN"/>
        </w:rPr>
      </w:pPr>
      <w:r w:rsidRPr="00F06651">
        <w:rPr>
          <w:lang w:eastAsia="zh-CN"/>
        </w:rPr>
        <w:t>EIRP</w:t>
      </w:r>
      <w:r w:rsidRPr="00F06651">
        <w:rPr>
          <w:lang w:eastAsia="zh-CN"/>
        </w:rPr>
        <w:tab/>
        <w:t>Equivalent Isotropic Radiated Power</w:t>
      </w:r>
    </w:p>
    <w:p w14:paraId="68DA64A1" w14:textId="77777777" w:rsidR="00B04688" w:rsidRPr="00F06651" w:rsidRDefault="00776A91" w:rsidP="008450EE">
      <w:pPr>
        <w:tabs>
          <w:tab w:val="clear" w:pos="794"/>
          <w:tab w:val="clear" w:pos="1191"/>
        </w:tabs>
        <w:rPr>
          <w:lang w:eastAsia="zh-CN"/>
        </w:rPr>
      </w:pPr>
      <w:r>
        <w:rPr>
          <w:lang w:eastAsia="zh-CN"/>
        </w:rPr>
        <w:t>EMC</w:t>
      </w:r>
      <w:r>
        <w:rPr>
          <w:lang w:eastAsia="zh-CN"/>
        </w:rPr>
        <w:tab/>
        <w:t>ElectroM</w:t>
      </w:r>
      <w:r w:rsidR="00B04688">
        <w:rPr>
          <w:lang w:eastAsia="zh-CN"/>
        </w:rPr>
        <w:t>agnetic Compatibility</w:t>
      </w:r>
    </w:p>
    <w:p w14:paraId="1D5365C8" w14:textId="2C3DF935" w:rsidR="00464CD2" w:rsidRDefault="00464CD2" w:rsidP="008450EE">
      <w:pPr>
        <w:tabs>
          <w:tab w:val="clear" w:pos="794"/>
          <w:tab w:val="clear" w:pos="1191"/>
        </w:tabs>
        <w:rPr>
          <w:lang w:eastAsia="zh-CN"/>
        </w:rPr>
      </w:pPr>
      <w:r w:rsidRPr="00464CD2">
        <w:rPr>
          <w:lang w:eastAsia="zh-CN"/>
        </w:rPr>
        <w:t>EMF</w:t>
      </w:r>
      <w:r w:rsidRPr="00464CD2">
        <w:rPr>
          <w:lang w:eastAsia="zh-CN"/>
        </w:rPr>
        <w:tab/>
        <w:t>Electro</w:t>
      </w:r>
      <w:r w:rsidR="00776A91">
        <w:rPr>
          <w:lang w:eastAsia="zh-CN"/>
        </w:rPr>
        <w:t>M</w:t>
      </w:r>
      <w:r w:rsidRPr="00464CD2">
        <w:rPr>
          <w:lang w:eastAsia="zh-CN"/>
        </w:rPr>
        <w:t>agnetic Field</w:t>
      </w:r>
    </w:p>
    <w:p w14:paraId="237475B6" w14:textId="77777777" w:rsidR="00776A91" w:rsidRDefault="00776A91" w:rsidP="008450EE">
      <w:pPr>
        <w:tabs>
          <w:tab w:val="clear" w:pos="794"/>
          <w:tab w:val="clear" w:pos="1191"/>
        </w:tabs>
        <w:rPr>
          <w:lang w:eastAsia="zh-CN"/>
        </w:rPr>
      </w:pPr>
      <w:r>
        <w:rPr>
          <w:lang w:eastAsia="zh-CN"/>
        </w:rPr>
        <w:t>EMR</w:t>
      </w:r>
      <w:r>
        <w:rPr>
          <w:lang w:eastAsia="zh-CN"/>
        </w:rPr>
        <w:tab/>
        <w:t xml:space="preserve">ElectroMagnetic Radiation </w:t>
      </w:r>
    </w:p>
    <w:p w14:paraId="45D4889B" w14:textId="77777777" w:rsidR="00AA662C" w:rsidRPr="00F06651" w:rsidRDefault="00AA662C" w:rsidP="008450EE">
      <w:pPr>
        <w:tabs>
          <w:tab w:val="clear" w:pos="794"/>
          <w:tab w:val="clear" w:pos="1191"/>
        </w:tabs>
        <w:rPr>
          <w:lang w:eastAsia="zh-CN"/>
        </w:rPr>
      </w:pPr>
      <w:r w:rsidRPr="00F06651">
        <w:rPr>
          <w:lang w:eastAsia="zh-CN"/>
        </w:rPr>
        <w:t>ERP</w:t>
      </w:r>
      <w:r w:rsidRPr="00F06651">
        <w:rPr>
          <w:lang w:eastAsia="zh-CN"/>
        </w:rPr>
        <w:tab/>
        <w:t>Effective Radiated Power</w:t>
      </w:r>
    </w:p>
    <w:p w14:paraId="058972B6" w14:textId="77777777" w:rsidR="00AA662C" w:rsidRPr="00F06651" w:rsidRDefault="00AA662C" w:rsidP="008450EE">
      <w:pPr>
        <w:tabs>
          <w:tab w:val="clear" w:pos="794"/>
          <w:tab w:val="clear" w:pos="1191"/>
        </w:tabs>
        <w:rPr>
          <w:lang w:eastAsia="zh-CN"/>
        </w:rPr>
      </w:pPr>
      <w:r w:rsidRPr="00F06651">
        <w:rPr>
          <w:lang w:eastAsia="zh-CN"/>
        </w:rPr>
        <w:t>FCC</w:t>
      </w:r>
      <w:r w:rsidRPr="00F06651">
        <w:rPr>
          <w:lang w:eastAsia="zh-CN"/>
        </w:rPr>
        <w:tab/>
        <w:t>Federal Communications Commission</w:t>
      </w:r>
    </w:p>
    <w:p w14:paraId="05025FC7" w14:textId="77777777" w:rsidR="00AA662C" w:rsidRPr="00F06651" w:rsidRDefault="00AA662C" w:rsidP="008450EE">
      <w:pPr>
        <w:tabs>
          <w:tab w:val="clear" w:pos="794"/>
          <w:tab w:val="clear" w:pos="1191"/>
        </w:tabs>
        <w:rPr>
          <w:lang w:eastAsia="zh-CN"/>
        </w:rPr>
      </w:pPr>
      <w:r w:rsidRPr="00F06651">
        <w:rPr>
          <w:lang w:eastAsia="zh-CN"/>
        </w:rPr>
        <w:t>FM</w:t>
      </w:r>
      <w:r w:rsidRPr="00F06651">
        <w:rPr>
          <w:lang w:eastAsia="zh-CN"/>
        </w:rPr>
        <w:tab/>
        <w:t xml:space="preserve">Frequency Modulation </w:t>
      </w:r>
    </w:p>
    <w:p w14:paraId="4720F67C" w14:textId="608E4363" w:rsidR="00AA662C" w:rsidRPr="00F06651" w:rsidRDefault="00AA662C" w:rsidP="008450EE">
      <w:pPr>
        <w:tabs>
          <w:tab w:val="clear" w:pos="794"/>
          <w:tab w:val="clear" w:pos="1191"/>
        </w:tabs>
        <w:rPr>
          <w:lang w:eastAsia="zh-CN"/>
        </w:rPr>
      </w:pPr>
      <w:r w:rsidRPr="00F06651">
        <w:rPr>
          <w:lang w:eastAsia="zh-CN"/>
        </w:rPr>
        <w:t>G</w:t>
      </w:r>
      <w:r w:rsidR="003C216F">
        <w:rPr>
          <w:lang w:eastAsia="zh-CN"/>
        </w:rPr>
        <w:t>bit/s</w:t>
      </w:r>
      <w:r w:rsidRPr="00F06651">
        <w:rPr>
          <w:lang w:eastAsia="zh-CN"/>
        </w:rPr>
        <w:tab/>
        <w:t>Giga bits per second</w:t>
      </w:r>
    </w:p>
    <w:p w14:paraId="569CDECB" w14:textId="77777777" w:rsidR="00AA662C" w:rsidRPr="00F06651" w:rsidRDefault="00AA662C" w:rsidP="008450EE">
      <w:pPr>
        <w:tabs>
          <w:tab w:val="clear" w:pos="794"/>
          <w:tab w:val="clear" w:pos="1191"/>
        </w:tabs>
        <w:rPr>
          <w:lang w:eastAsia="zh-CN"/>
        </w:rPr>
      </w:pPr>
      <w:r w:rsidRPr="00F06651">
        <w:rPr>
          <w:lang w:eastAsia="zh-CN"/>
        </w:rPr>
        <w:t>GHG</w:t>
      </w:r>
      <w:r w:rsidRPr="00F06651">
        <w:rPr>
          <w:lang w:eastAsia="zh-CN"/>
        </w:rPr>
        <w:tab/>
        <w:t>Greenhouse Gas</w:t>
      </w:r>
    </w:p>
    <w:p w14:paraId="5B1BF33A" w14:textId="77777777" w:rsidR="00AA662C" w:rsidRDefault="00AA662C" w:rsidP="008450EE">
      <w:pPr>
        <w:tabs>
          <w:tab w:val="clear" w:pos="794"/>
          <w:tab w:val="clear" w:pos="1191"/>
        </w:tabs>
        <w:rPr>
          <w:lang w:eastAsia="zh-CN"/>
        </w:rPr>
      </w:pPr>
      <w:r w:rsidRPr="00F06651">
        <w:rPr>
          <w:lang w:eastAsia="zh-CN"/>
        </w:rPr>
        <w:t>GPS</w:t>
      </w:r>
      <w:r w:rsidRPr="00F06651">
        <w:rPr>
          <w:lang w:eastAsia="zh-CN"/>
        </w:rPr>
        <w:tab/>
        <w:t>Global Positioning System</w:t>
      </w:r>
    </w:p>
    <w:p w14:paraId="5A4EDDF9" w14:textId="68D8CAE8" w:rsidR="001255A5" w:rsidRDefault="001255A5" w:rsidP="008450EE">
      <w:pPr>
        <w:tabs>
          <w:tab w:val="clear" w:pos="794"/>
          <w:tab w:val="clear" w:pos="1191"/>
        </w:tabs>
        <w:rPr>
          <w:lang w:eastAsia="zh-CN"/>
        </w:rPr>
      </w:pPr>
      <w:r>
        <w:rPr>
          <w:lang w:eastAsia="zh-CN"/>
        </w:rPr>
        <w:t>GSM</w:t>
      </w:r>
      <w:r w:rsidR="00AC5979">
        <w:rPr>
          <w:lang w:eastAsia="zh-CN"/>
        </w:rPr>
        <w:t>A</w:t>
      </w:r>
      <w:r w:rsidR="00776A91">
        <w:rPr>
          <w:lang w:eastAsia="zh-CN"/>
        </w:rPr>
        <w:tab/>
        <w:t xml:space="preserve">Global System for Mobile </w:t>
      </w:r>
      <w:r w:rsidR="00AC5979">
        <w:rPr>
          <w:lang w:eastAsia="zh-CN"/>
        </w:rPr>
        <w:t>C</w:t>
      </w:r>
      <w:r w:rsidR="00776A91">
        <w:rPr>
          <w:lang w:eastAsia="zh-CN"/>
        </w:rPr>
        <w:t>ommunications Association</w:t>
      </w:r>
    </w:p>
    <w:p w14:paraId="1EA6747F" w14:textId="77777777" w:rsidR="00776A91" w:rsidRDefault="00776A91" w:rsidP="008450EE">
      <w:pPr>
        <w:tabs>
          <w:tab w:val="clear" w:pos="794"/>
          <w:tab w:val="clear" w:pos="1191"/>
        </w:tabs>
        <w:rPr>
          <w:lang w:eastAsia="zh-CN"/>
        </w:rPr>
      </w:pPr>
      <w:r>
        <w:rPr>
          <w:lang w:eastAsia="zh-CN"/>
        </w:rPr>
        <w:t>GSM</w:t>
      </w:r>
      <w:r>
        <w:rPr>
          <w:lang w:eastAsia="zh-CN"/>
        </w:rPr>
        <w:tab/>
        <w:t>Global System for Mobile communications</w:t>
      </w:r>
    </w:p>
    <w:p w14:paraId="72CFFA36" w14:textId="77777777" w:rsidR="00037576" w:rsidRPr="00F06651" w:rsidRDefault="00037576" w:rsidP="008450EE">
      <w:pPr>
        <w:tabs>
          <w:tab w:val="clear" w:pos="794"/>
          <w:tab w:val="clear" w:pos="1191"/>
        </w:tabs>
        <w:rPr>
          <w:lang w:eastAsia="zh-CN"/>
        </w:rPr>
      </w:pPr>
      <w:r>
        <w:rPr>
          <w:lang w:eastAsia="zh-CN"/>
        </w:rPr>
        <w:t>HF</w:t>
      </w:r>
      <w:r>
        <w:rPr>
          <w:lang w:eastAsia="zh-CN"/>
        </w:rPr>
        <w:tab/>
        <w:t>High Frequency</w:t>
      </w:r>
    </w:p>
    <w:p w14:paraId="2FBECDCC" w14:textId="77777777" w:rsidR="00464CD2" w:rsidRDefault="00464CD2" w:rsidP="008450EE">
      <w:pPr>
        <w:tabs>
          <w:tab w:val="clear" w:pos="794"/>
          <w:tab w:val="clear" w:pos="1191"/>
        </w:tabs>
        <w:rPr>
          <w:lang w:eastAsia="zh-CN"/>
        </w:rPr>
      </w:pPr>
      <w:r w:rsidRPr="00464CD2">
        <w:rPr>
          <w:lang w:eastAsia="zh-CN"/>
        </w:rPr>
        <w:t>HVAC</w:t>
      </w:r>
      <w:r w:rsidRPr="00464CD2">
        <w:rPr>
          <w:lang w:eastAsia="zh-CN"/>
        </w:rPr>
        <w:tab/>
        <w:t>Heating, Ventilation</w:t>
      </w:r>
      <w:r w:rsidR="00037576">
        <w:rPr>
          <w:lang w:eastAsia="zh-CN"/>
        </w:rPr>
        <w:t>,</w:t>
      </w:r>
      <w:r w:rsidRPr="00464CD2">
        <w:rPr>
          <w:lang w:eastAsia="zh-CN"/>
        </w:rPr>
        <w:t xml:space="preserve"> and Air Conditioning</w:t>
      </w:r>
    </w:p>
    <w:p w14:paraId="45E9DF67" w14:textId="77777777" w:rsidR="00AA662C" w:rsidRPr="00F06651" w:rsidRDefault="00AA662C" w:rsidP="008450EE">
      <w:pPr>
        <w:tabs>
          <w:tab w:val="clear" w:pos="794"/>
          <w:tab w:val="clear" w:pos="1191"/>
        </w:tabs>
        <w:rPr>
          <w:lang w:eastAsia="zh-CN"/>
        </w:rPr>
      </w:pPr>
      <w:r w:rsidRPr="00F06651">
        <w:rPr>
          <w:lang w:eastAsia="zh-CN"/>
        </w:rPr>
        <w:t>IAC</w:t>
      </w:r>
      <w:r w:rsidRPr="00F06651">
        <w:rPr>
          <w:lang w:eastAsia="zh-CN"/>
        </w:rPr>
        <w:tab/>
        <w:t>International Advisory Committee</w:t>
      </w:r>
    </w:p>
    <w:p w14:paraId="382C5985" w14:textId="77777777" w:rsidR="00AA662C" w:rsidRPr="00F06651" w:rsidRDefault="00AA662C" w:rsidP="008450EE">
      <w:pPr>
        <w:tabs>
          <w:tab w:val="clear" w:pos="794"/>
          <w:tab w:val="clear" w:pos="1191"/>
        </w:tabs>
        <w:rPr>
          <w:lang w:eastAsia="zh-CN"/>
        </w:rPr>
      </w:pPr>
      <w:r w:rsidRPr="00F06651">
        <w:rPr>
          <w:lang w:eastAsia="zh-CN"/>
        </w:rPr>
        <w:t>IARC</w:t>
      </w:r>
      <w:r w:rsidRPr="00F06651">
        <w:rPr>
          <w:lang w:eastAsia="zh-CN"/>
        </w:rPr>
        <w:tab/>
        <w:t xml:space="preserve">International Agency for Research on Cancer </w:t>
      </w:r>
    </w:p>
    <w:p w14:paraId="18731AC3" w14:textId="77777777" w:rsidR="00AA662C" w:rsidRPr="00F06651" w:rsidRDefault="00AA662C" w:rsidP="008450EE">
      <w:pPr>
        <w:tabs>
          <w:tab w:val="clear" w:pos="794"/>
          <w:tab w:val="clear" w:pos="1191"/>
        </w:tabs>
        <w:rPr>
          <w:lang w:eastAsia="zh-CN"/>
        </w:rPr>
      </w:pPr>
      <w:r w:rsidRPr="00F06651">
        <w:rPr>
          <w:lang w:eastAsia="zh-CN"/>
        </w:rPr>
        <w:t>IBC</w:t>
      </w:r>
      <w:r w:rsidRPr="00F06651">
        <w:rPr>
          <w:lang w:eastAsia="zh-CN"/>
        </w:rPr>
        <w:tab/>
        <w:t>In-Building Coverage</w:t>
      </w:r>
    </w:p>
    <w:p w14:paraId="12D65D58" w14:textId="77777777" w:rsidR="00AA662C" w:rsidRPr="00F06651" w:rsidRDefault="00AA662C" w:rsidP="008450EE">
      <w:pPr>
        <w:tabs>
          <w:tab w:val="clear" w:pos="794"/>
          <w:tab w:val="clear" w:pos="1191"/>
        </w:tabs>
        <w:rPr>
          <w:lang w:eastAsia="zh-CN"/>
        </w:rPr>
      </w:pPr>
      <w:r w:rsidRPr="00F06651">
        <w:rPr>
          <w:lang w:eastAsia="zh-CN"/>
        </w:rPr>
        <w:t>ICNIRP</w:t>
      </w:r>
      <w:r w:rsidRPr="00F06651">
        <w:rPr>
          <w:lang w:eastAsia="zh-CN"/>
        </w:rPr>
        <w:tab/>
        <w:t>International Commission on Non-Ionizing Radiation Protection</w:t>
      </w:r>
    </w:p>
    <w:p w14:paraId="44C7BCC7" w14:textId="77777777" w:rsidR="00AA662C" w:rsidRPr="00F06651" w:rsidRDefault="00AA662C" w:rsidP="008450EE">
      <w:pPr>
        <w:tabs>
          <w:tab w:val="clear" w:pos="794"/>
          <w:tab w:val="clear" w:pos="1191"/>
        </w:tabs>
        <w:rPr>
          <w:lang w:eastAsia="zh-CN"/>
        </w:rPr>
      </w:pPr>
      <w:r w:rsidRPr="00F06651">
        <w:rPr>
          <w:lang w:eastAsia="zh-CN"/>
        </w:rPr>
        <w:t>ICT</w:t>
      </w:r>
      <w:r w:rsidRPr="00F06651">
        <w:rPr>
          <w:lang w:eastAsia="zh-CN"/>
        </w:rPr>
        <w:tab/>
        <w:t>Information and Communication Technology</w:t>
      </w:r>
    </w:p>
    <w:p w14:paraId="3DA206E5" w14:textId="77777777" w:rsidR="00AA662C" w:rsidRPr="00F06651" w:rsidRDefault="00AA662C" w:rsidP="008450EE">
      <w:pPr>
        <w:tabs>
          <w:tab w:val="clear" w:pos="794"/>
          <w:tab w:val="clear" w:pos="1191"/>
        </w:tabs>
        <w:rPr>
          <w:lang w:eastAsia="zh-CN"/>
        </w:rPr>
      </w:pPr>
      <w:r w:rsidRPr="00F06651">
        <w:rPr>
          <w:lang w:eastAsia="zh-CN"/>
        </w:rPr>
        <w:t>IEC</w:t>
      </w:r>
      <w:r w:rsidRPr="00F06651">
        <w:rPr>
          <w:lang w:eastAsia="zh-CN"/>
        </w:rPr>
        <w:tab/>
        <w:t>International Electrotechnical Commission</w:t>
      </w:r>
    </w:p>
    <w:p w14:paraId="0BEF488D" w14:textId="77777777" w:rsidR="00AA662C" w:rsidRPr="00F06651" w:rsidRDefault="00AA662C" w:rsidP="008450EE">
      <w:pPr>
        <w:tabs>
          <w:tab w:val="clear" w:pos="794"/>
          <w:tab w:val="clear" w:pos="1191"/>
        </w:tabs>
        <w:rPr>
          <w:lang w:eastAsia="zh-CN"/>
        </w:rPr>
      </w:pPr>
      <w:r w:rsidRPr="00F06651">
        <w:rPr>
          <w:lang w:eastAsia="zh-CN"/>
        </w:rPr>
        <w:t>ISM</w:t>
      </w:r>
      <w:r w:rsidRPr="00F06651">
        <w:rPr>
          <w:lang w:eastAsia="zh-CN"/>
        </w:rPr>
        <w:tab/>
        <w:t xml:space="preserve">Industrial, Scientific, </w:t>
      </w:r>
      <w:r w:rsidR="00426926">
        <w:rPr>
          <w:lang w:eastAsia="zh-CN"/>
        </w:rPr>
        <w:t xml:space="preserve">and </w:t>
      </w:r>
      <w:r w:rsidRPr="00F06651">
        <w:rPr>
          <w:lang w:eastAsia="zh-CN"/>
        </w:rPr>
        <w:t>Medical</w:t>
      </w:r>
    </w:p>
    <w:p w14:paraId="75BEF607" w14:textId="77777777" w:rsidR="00AA662C" w:rsidRPr="00F06651" w:rsidRDefault="00AA662C" w:rsidP="008450EE">
      <w:pPr>
        <w:tabs>
          <w:tab w:val="clear" w:pos="794"/>
          <w:tab w:val="clear" w:pos="1191"/>
        </w:tabs>
        <w:rPr>
          <w:lang w:eastAsia="zh-CN"/>
        </w:rPr>
      </w:pPr>
      <w:r w:rsidRPr="00F06651">
        <w:rPr>
          <w:lang w:eastAsia="zh-CN"/>
        </w:rPr>
        <w:t>ITC</w:t>
      </w:r>
      <w:r w:rsidRPr="00F06651">
        <w:rPr>
          <w:lang w:eastAsia="zh-CN"/>
        </w:rPr>
        <w:tab/>
        <w:t>Intelligent Traffic Control</w:t>
      </w:r>
    </w:p>
    <w:p w14:paraId="39F15C36" w14:textId="77777777" w:rsidR="00AA662C" w:rsidRDefault="00AA662C" w:rsidP="008450EE">
      <w:pPr>
        <w:tabs>
          <w:tab w:val="clear" w:pos="794"/>
          <w:tab w:val="clear" w:pos="1191"/>
        </w:tabs>
        <w:rPr>
          <w:lang w:eastAsia="zh-CN"/>
        </w:rPr>
      </w:pPr>
      <w:r w:rsidRPr="00F06651">
        <w:rPr>
          <w:lang w:eastAsia="zh-CN"/>
        </w:rPr>
        <w:lastRenderedPageBreak/>
        <w:t>ITU</w:t>
      </w:r>
      <w:r w:rsidRPr="00F06651">
        <w:rPr>
          <w:lang w:eastAsia="zh-CN"/>
        </w:rPr>
        <w:tab/>
        <w:t>International Telecommunication Union</w:t>
      </w:r>
    </w:p>
    <w:p w14:paraId="7B6B4C38" w14:textId="77777777" w:rsidR="00037576" w:rsidRPr="00F06651" w:rsidRDefault="00037576" w:rsidP="008450EE">
      <w:pPr>
        <w:tabs>
          <w:tab w:val="clear" w:pos="794"/>
          <w:tab w:val="clear" w:pos="1191"/>
        </w:tabs>
        <w:rPr>
          <w:lang w:eastAsia="zh-CN"/>
        </w:rPr>
      </w:pPr>
      <w:r>
        <w:rPr>
          <w:lang w:eastAsia="zh-CN"/>
        </w:rPr>
        <w:t>LAN</w:t>
      </w:r>
      <w:r>
        <w:rPr>
          <w:lang w:eastAsia="zh-CN"/>
        </w:rPr>
        <w:tab/>
        <w:t>Local Area Network</w:t>
      </w:r>
    </w:p>
    <w:p w14:paraId="5E5800EB" w14:textId="5FED04FD" w:rsidR="00AA662C" w:rsidRDefault="00AA662C" w:rsidP="008450EE">
      <w:pPr>
        <w:tabs>
          <w:tab w:val="clear" w:pos="794"/>
          <w:tab w:val="clear" w:pos="1191"/>
        </w:tabs>
        <w:rPr>
          <w:lang w:eastAsia="zh-CN"/>
        </w:rPr>
      </w:pPr>
      <w:r w:rsidRPr="00F06651">
        <w:rPr>
          <w:lang w:eastAsia="zh-CN"/>
        </w:rPr>
        <w:t>LTE</w:t>
      </w:r>
      <w:r w:rsidRPr="00F06651">
        <w:rPr>
          <w:lang w:eastAsia="zh-CN"/>
        </w:rPr>
        <w:tab/>
        <w:t>Long</w:t>
      </w:r>
      <w:r w:rsidR="00037576">
        <w:rPr>
          <w:lang w:eastAsia="zh-CN"/>
        </w:rPr>
        <w:t>-</w:t>
      </w:r>
      <w:r w:rsidRPr="00F06651">
        <w:rPr>
          <w:lang w:eastAsia="zh-CN"/>
        </w:rPr>
        <w:t>Term Evolution</w:t>
      </w:r>
    </w:p>
    <w:p w14:paraId="71282BE2" w14:textId="77777777" w:rsidR="00426926" w:rsidRPr="00F06651" w:rsidRDefault="00426926" w:rsidP="008450EE">
      <w:pPr>
        <w:tabs>
          <w:tab w:val="clear" w:pos="794"/>
          <w:tab w:val="clear" w:pos="1191"/>
        </w:tabs>
        <w:rPr>
          <w:lang w:eastAsia="zh-CN"/>
        </w:rPr>
      </w:pPr>
      <w:r>
        <w:rPr>
          <w:lang w:eastAsia="zh-CN"/>
        </w:rPr>
        <w:t>M2M</w:t>
      </w:r>
      <w:r>
        <w:rPr>
          <w:lang w:eastAsia="zh-CN"/>
        </w:rPr>
        <w:tab/>
        <w:t>Machine-to-Machine</w:t>
      </w:r>
    </w:p>
    <w:p w14:paraId="2D286840" w14:textId="52026B1B" w:rsidR="00AA662C" w:rsidRPr="00F06651" w:rsidRDefault="00AA662C" w:rsidP="008450EE">
      <w:pPr>
        <w:tabs>
          <w:tab w:val="clear" w:pos="794"/>
          <w:tab w:val="clear" w:pos="1191"/>
        </w:tabs>
        <w:rPr>
          <w:lang w:eastAsia="zh-CN"/>
        </w:rPr>
      </w:pPr>
      <w:r w:rsidRPr="00F06651">
        <w:rPr>
          <w:lang w:eastAsia="zh-CN"/>
        </w:rPr>
        <w:t>Mb</w:t>
      </w:r>
      <w:r w:rsidR="003C216F">
        <w:rPr>
          <w:lang w:eastAsia="zh-CN"/>
        </w:rPr>
        <w:t>it/s</w:t>
      </w:r>
      <w:r w:rsidRPr="00F06651">
        <w:rPr>
          <w:lang w:eastAsia="zh-CN"/>
        </w:rPr>
        <w:tab/>
        <w:t>Megabits per second</w:t>
      </w:r>
    </w:p>
    <w:p w14:paraId="02342F81" w14:textId="77777777" w:rsidR="00AA662C" w:rsidRPr="00F06651" w:rsidRDefault="00AA662C" w:rsidP="008450EE">
      <w:pPr>
        <w:tabs>
          <w:tab w:val="clear" w:pos="794"/>
          <w:tab w:val="clear" w:pos="1191"/>
        </w:tabs>
        <w:rPr>
          <w:lang w:eastAsia="zh-CN"/>
        </w:rPr>
      </w:pPr>
      <w:r w:rsidRPr="00F06651">
        <w:rPr>
          <w:lang w:eastAsia="zh-CN"/>
        </w:rPr>
        <w:t>NCD</w:t>
      </w:r>
      <w:r w:rsidRPr="00F06651">
        <w:rPr>
          <w:lang w:eastAsia="zh-CN"/>
        </w:rPr>
        <w:tab/>
        <w:t>Non-Communicable Diseases</w:t>
      </w:r>
    </w:p>
    <w:p w14:paraId="270F0995" w14:textId="77777777" w:rsidR="00AA662C" w:rsidRPr="00F06651" w:rsidRDefault="00AA662C" w:rsidP="008450EE">
      <w:pPr>
        <w:tabs>
          <w:tab w:val="clear" w:pos="794"/>
          <w:tab w:val="clear" w:pos="1191"/>
        </w:tabs>
        <w:rPr>
          <w:lang w:eastAsia="zh-CN"/>
        </w:rPr>
      </w:pPr>
      <w:r w:rsidRPr="00F06651">
        <w:rPr>
          <w:lang w:eastAsia="zh-CN"/>
        </w:rPr>
        <w:t>RAN</w:t>
      </w:r>
      <w:r w:rsidRPr="00F06651">
        <w:rPr>
          <w:lang w:eastAsia="zh-CN"/>
        </w:rPr>
        <w:tab/>
        <w:t>Radio Access Network</w:t>
      </w:r>
    </w:p>
    <w:p w14:paraId="06EF68EF" w14:textId="77777777" w:rsidR="00AA662C" w:rsidRPr="00F06651" w:rsidRDefault="00AA662C" w:rsidP="008450EE">
      <w:pPr>
        <w:tabs>
          <w:tab w:val="clear" w:pos="794"/>
          <w:tab w:val="clear" w:pos="1191"/>
        </w:tabs>
        <w:rPr>
          <w:lang w:eastAsia="zh-CN"/>
        </w:rPr>
      </w:pPr>
      <w:r w:rsidRPr="00F06651">
        <w:rPr>
          <w:lang w:eastAsia="zh-CN"/>
        </w:rPr>
        <w:t>RF</w:t>
      </w:r>
      <w:r w:rsidRPr="00F06651">
        <w:rPr>
          <w:lang w:eastAsia="zh-CN"/>
        </w:rPr>
        <w:tab/>
        <w:t>Radio Frequency</w:t>
      </w:r>
    </w:p>
    <w:p w14:paraId="29994E1A" w14:textId="77777777" w:rsidR="00AA662C" w:rsidRPr="00F06651" w:rsidRDefault="00AA662C" w:rsidP="008450EE">
      <w:pPr>
        <w:tabs>
          <w:tab w:val="clear" w:pos="794"/>
          <w:tab w:val="clear" w:pos="1191"/>
        </w:tabs>
        <w:rPr>
          <w:lang w:eastAsia="zh-CN"/>
        </w:rPr>
      </w:pPr>
      <w:r w:rsidRPr="00F06651">
        <w:rPr>
          <w:lang w:eastAsia="zh-CN"/>
        </w:rPr>
        <w:t>RF-ID</w:t>
      </w:r>
      <w:r w:rsidRPr="00F06651">
        <w:rPr>
          <w:lang w:eastAsia="zh-CN"/>
        </w:rPr>
        <w:tab/>
        <w:t>Radio Frequency Identification</w:t>
      </w:r>
    </w:p>
    <w:p w14:paraId="7955F48A" w14:textId="77777777" w:rsidR="00AA662C" w:rsidRDefault="00AA662C" w:rsidP="008450EE">
      <w:pPr>
        <w:tabs>
          <w:tab w:val="clear" w:pos="794"/>
          <w:tab w:val="clear" w:pos="1191"/>
        </w:tabs>
        <w:rPr>
          <w:lang w:eastAsia="zh-CN"/>
        </w:rPr>
      </w:pPr>
      <w:r w:rsidRPr="00F06651">
        <w:rPr>
          <w:lang w:eastAsia="zh-CN"/>
        </w:rPr>
        <w:t>SAR</w:t>
      </w:r>
      <w:r w:rsidRPr="00F06651">
        <w:rPr>
          <w:lang w:eastAsia="zh-CN"/>
        </w:rPr>
        <w:tab/>
        <w:t>Specific Absorption Rate</w:t>
      </w:r>
    </w:p>
    <w:p w14:paraId="71933BB4" w14:textId="77777777" w:rsidR="001255A5" w:rsidRPr="00F06651" w:rsidRDefault="001255A5" w:rsidP="008450EE">
      <w:pPr>
        <w:tabs>
          <w:tab w:val="clear" w:pos="794"/>
          <w:tab w:val="clear" w:pos="1191"/>
        </w:tabs>
        <w:rPr>
          <w:lang w:eastAsia="zh-CN"/>
        </w:rPr>
      </w:pPr>
      <w:r>
        <w:rPr>
          <w:lang w:eastAsia="zh-CN"/>
        </w:rPr>
        <w:t>SMS</w:t>
      </w:r>
      <w:r>
        <w:rPr>
          <w:lang w:eastAsia="zh-CN"/>
        </w:rPr>
        <w:tab/>
        <w:t>Short Message Service</w:t>
      </w:r>
    </w:p>
    <w:p w14:paraId="3866660C" w14:textId="77777777" w:rsidR="00AA662C" w:rsidRPr="00F06651" w:rsidRDefault="00AA662C" w:rsidP="008450EE">
      <w:pPr>
        <w:tabs>
          <w:tab w:val="clear" w:pos="794"/>
          <w:tab w:val="clear" w:pos="1191"/>
        </w:tabs>
        <w:rPr>
          <w:lang w:eastAsia="zh-CN"/>
        </w:rPr>
      </w:pPr>
      <w:r w:rsidRPr="00F06651">
        <w:rPr>
          <w:lang w:eastAsia="zh-CN"/>
        </w:rPr>
        <w:t>SRD</w:t>
      </w:r>
      <w:r w:rsidRPr="00F06651">
        <w:rPr>
          <w:lang w:eastAsia="zh-CN"/>
        </w:rPr>
        <w:tab/>
        <w:t>Short Range Devices</w:t>
      </w:r>
    </w:p>
    <w:p w14:paraId="4B65A55D" w14:textId="77777777" w:rsidR="00AA662C" w:rsidRDefault="00AA662C" w:rsidP="008450EE">
      <w:pPr>
        <w:tabs>
          <w:tab w:val="clear" w:pos="794"/>
          <w:tab w:val="clear" w:pos="1191"/>
        </w:tabs>
        <w:rPr>
          <w:lang w:eastAsia="zh-CN"/>
        </w:rPr>
      </w:pPr>
      <w:r w:rsidRPr="00F06651">
        <w:rPr>
          <w:lang w:eastAsia="zh-CN"/>
        </w:rPr>
        <w:t>TTT</w:t>
      </w:r>
      <w:r w:rsidRPr="00F06651">
        <w:rPr>
          <w:lang w:eastAsia="zh-CN"/>
        </w:rPr>
        <w:tab/>
        <w:t>Transport and Traffic Telematics</w:t>
      </w:r>
    </w:p>
    <w:p w14:paraId="1585B3CF" w14:textId="77777777" w:rsidR="00426926" w:rsidRDefault="00426926" w:rsidP="008450EE">
      <w:pPr>
        <w:tabs>
          <w:tab w:val="clear" w:pos="794"/>
          <w:tab w:val="clear" w:pos="1191"/>
        </w:tabs>
        <w:rPr>
          <w:lang w:eastAsia="zh-CN"/>
        </w:rPr>
      </w:pPr>
      <w:r>
        <w:rPr>
          <w:lang w:eastAsia="zh-CN"/>
        </w:rPr>
        <w:t>TV</w:t>
      </w:r>
      <w:r>
        <w:rPr>
          <w:lang w:eastAsia="zh-CN"/>
        </w:rPr>
        <w:tab/>
        <w:t>Television</w:t>
      </w:r>
    </w:p>
    <w:p w14:paraId="454FC991" w14:textId="77777777" w:rsidR="001255A5" w:rsidRDefault="001255A5" w:rsidP="008450EE">
      <w:pPr>
        <w:tabs>
          <w:tab w:val="clear" w:pos="794"/>
          <w:tab w:val="clear" w:pos="1191"/>
        </w:tabs>
        <w:rPr>
          <w:lang w:eastAsia="zh-CN"/>
        </w:rPr>
      </w:pPr>
      <w:r>
        <w:rPr>
          <w:lang w:eastAsia="zh-CN"/>
        </w:rPr>
        <w:t>UHF</w:t>
      </w:r>
      <w:r>
        <w:rPr>
          <w:lang w:eastAsia="zh-CN"/>
        </w:rPr>
        <w:tab/>
        <w:t>Ultra High Frequency</w:t>
      </w:r>
    </w:p>
    <w:p w14:paraId="20F49073" w14:textId="77777777" w:rsidR="001255A5" w:rsidRDefault="001255A5" w:rsidP="008450EE">
      <w:pPr>
        <w:tabs>
          <w:tab w:val="clear" w:pos="794"/>
          <w:tab w:val="clear" w:pos="1191"/>
        </w:tabs>
        <w:rPr>
          <w:lang w:eastAsia="zh-CN"/>
        </w:rPr>
      </w:pPr>
      <w:r>
        <w:rPr>
          <w:lang w:eastAsia="zh-CN"/>
        </w:rPr>
        <w:t>VHF</w:t>
      </w:r>
      <w:r>
        <w:rPr>
          <w:lang w:eastAsia="zh-CN"/>
        </w:rPr>
        <w:tab/>
        <w:t>Very High Frequency</w:t>
      </w:r>
    </w:p>
    <w:p w14:paraId="61565E46" w14:textId="77777777" w:rsidR="00F8725D" w:rsidRPr="00F06651" w:rsidRDefault="00F8725D" w:rsidP="008450EE">
      <w:pPr>
        <w:tabs>
          <w:tab w:val="clear" w:pos="794"/>
          <w:tab w:val="clear" w:pos="1191"/>
        </w:tabs>
        <w:rPr>
          <w:lang w:eastAsia="zh-CN"/>
        </w:rPr>
      </w:pPr>
      <w:r>
        <w:rPr>
          <w:lang w:eastAsia="zh-CN"/>
        </w:rPr>
        <w:t>WAN</w:t>
      </w:r>
      <w:r>
        <w:rPr>
          <w:lang w:eastAsia="zh-CN"/>
        </w:rPr>
        <w:tab/>
        <w:t>Wide Area Network</w:t>
      </w:r>
    </w:p>
    <w:p w14:paraId="496B7CBE" w14:textId="77777777" w:rsidR="00AA662C" w:rsidRPr="00F06651" w:rsidRDefault="00AA662C" w:rsidP="008450EE">
      <w:pPr>
        <w:tabs>
          <w:tab w:val="clear" w:pos="794"/>
          <w:tab w:val="clear" w:pos="1191"/>
        </w:tabs>
        <w:rPr>
          <w:lang w:eastAsia="zh-CN"/>
        </w:rPr>
      </w:pPr>
      <w:r w:rsidRPr="00F06651">
        <w:rPr>
          <w:lang w:eastAsia="zh-CN"/>
        </w:rPr>
        <w:t>WHO</w:t>
      </w:r>
      <w:r w:rsidRPr="00F06651">
        <w:rPr>
          <w:lang w:eastAsia="zh-CN"/>
        </w:rPr>
        <w:tab/>
        <w:t>World Health Organization</w:t>
      </w:r>
    </w:p>
    <w:p w14:paraId="3B9D72A5" w14:textId="77777777" w:rsidR="00AA662C" w:rsidRPr="00F06651" w:rsidRDefault="00AA662C" w:rsidP="008450EE">
      <w:pPr>
        <w:tabs>
          <w:tab w:val="clear" w:pos="794"/>
          <w:tab w:val="clear" w:pos="1191"/>
        </w:tabs>
        <w:rPr>
          <w:lang w:eastAsia="zh-CN"/>
        </w:rPr>
      </w:pPr>
      <w:r w:rsidRPr="00F06651">
        <w:rPr>
          <w:lang w:eastAsia="zh-CN"/>
        </w:rPr>
        <w:t>WiMAX</w:t>
      </w:r>
      <w:r w:rsidRPr="00F06651">
        <w:rPr>
          <w:lang w:eastAsia="zh-CN"/>
        </w:rPr>
        <w:tab/>
        <w:t xml:space="preserve">Worldwide Interoperability for Microwave Access </w:t>
      </w:r>
    </w:p>
    <w:p w14:paraId="2243F3D1" w14:textId="77777777" w:rsidR="00ED5B86" w:rsidRDefault="00AA662C" w:rsidP="008450EE">
      <w:pPr>
        <w:tabs>
          <w:tab w:val="clear" w:pos="794"/>
          <w:tab w:val="clear" w:pos="1191"/>
        </w:tabs>
        <w:rPr>
          <w:lang w:eastAsia="zh-CN"/>
        </w:rPr>
      </w:pPr>
      <w:r w:rsidRPr="00F06651">
        <w:rPr>
          <w:lang w:eastAsia="zh-CN"/>
        </w:rPr>
        <w:t>Wi-Fi</w:t>
      </w:r>
      <w:r w:rsidRPr="00F06651">
        <w:rPr>
          <w:lang w:eastAsia="zh-CN"/>
        </w:rPr>
        <w:tab/>
      </w:r>
      <w:r w:rsidR="00ED5B86">
        <w:rPr>
          <w:lang w:eastAsia="zh-CN"/>
        </w:rPr>
        <w:t>Wireless Fidelity</w:t>
      </w:r>
    </w:p>
    <w:p w14:paraId="23ED6488" w14:textId="76148FFD" w:rsidR="00AA662C" w:rsidRPr="00F06651" w:rsidRDefault="001255A5" w:rsidP="008450EE">
      <w:pPr>
        <w:tabs>
          <w:tab w:val="clear" w:pos="794"/>
          <w:tab w:val="clear" w:pos="1191"/>
        </w:tabs>
        <w:rPr>
          <w:lang w:eastAsia="zh-CN"/>
        </w:rPr>
      </w:pPr>
      <w:r>
        <w:rPr>
          <w:lang w:eastAsia="zh-CN"/>
        </w:rPr>
        <w:t xml:space="preserve">WLAN </w:t>
      </w:r>
      <w:r>
        <w:rPr>
          <w:lang w:eastAsia="zh-CN"/>
        </w:rPr>
        <w:tab/>
        <w:t>Wireless Local A</w:t>
      </w:r>
      <w:r w:rsidRPr="001255A5">
        <w:rPr>
          <w:lang w:eastAsia="zh-CN"/>
        </w:rPr>
        <w:t>r</w:t>
      </w:r>
      <w:r>
        <w:rPr>
          <w:lang w:eastAsia="zh-CN"/>
        </w:rPr>
        <w:t>ea N</w:t>
      </w:r>
      <w:r w:rsidRPr="001255A5">
        <w:rPr>
          <w:lang w:eastAsia="zh-CN"/>
        </w:rPr>
        <w:t>etwork</w:t>
      </w:r>
      <w:r w:rsidR="00AA662C" w:rsidRPr="00F06651">
        <w:rPr>
          <w:lang w:eastAsia="zh-CN"/>
        </w:rPr>
        <w:t xml:space="preserve"> </w:t>
      </w:r>
    </w:p>
    <w:bookmarkEnd w:id="12"/>
    <w:bookmarkEnd w:id="13"/>
    <w:p w14:paraId="65367372" w14:textId="77777777" w:rsidR="00AA662C" w:rsidRPr="00F06651" w:rsidRDefault="003C216F" w:rsidP="00AA662C">
      <w:pPr>
        <w:pStyle w:val="kgkreflist"/>
        <w:numPr>
          <w:ilvl w:val="0"/>
          <w:numId w:val="0"/>
        </w:numPr>
        <w:spacing w:before="80"/>
        <w:ind w:left="2268" w:hanging="2268"/>
        <w:rPr>
          <w:szCs w:val="24"/>
          <w:lang w:eastAsia="ko-KR"/>
        </w:rPr>
      </w:pPr>
      <w:r>
        <w:rPr>
          <w:szCs w:val="24"/>
          <w:lang w:eastAsia="ko-KR"/>
        </w:rPr>
        <w:t>xDSL</w:t>
      </w:r>
      <w:r>
        <w:rPr>
          <w:szCs w:val="24"/>
          <w:lang w:eastAsia="ko-KR"/>
        </w:rPr>
        <w:tab/>
      </w:r>
      <w:r>
        <w:rPr>
          <w:szCs w:val="24"/>
          <w:lang w:eastAsia="ko-KR"/>
        </w:rPr>
        <w:tab/>
      </w:r>
      <w:r>
        <w:rPr>
          <w:szCs w:val="24"/>
          <w:lang w:eastAsia="ko-KR"/>
        </w:rPr>
        <w:tab/>
        <w:t>x-type Digital Subscriber Line</w:t>
      </w:r>
    </w:p>
    <w:p w14:paraId="74F7C589" w14:textId="77777777" w:rsidR="00AA662C" w:rsidRPr="00F06651" w:rsidRDefault="00AA662C" w:rsidP="00AA662C">
      <w:pPr>
        <w:pStyle w:val="Figure"/>
        <w:keepNext w:val="0"/>
        <w:keepLines w:val="0"/>
        <w:spacing w:before="120" w:after="0"/>
        <w:rPr>
          <w:lang w:eastAsia="ko-KR"/>
        </w:rPr>
        <w:sectPr w:rsidR="00AA662C" w:rsidRPr="00F06651" w:rsidSect="00FA190F">
          <w:headerReference w:type="even" r:id="rId88"/>
          <w:headerReference w:type="default" r:id="rId89"/>
          <w:type w:val="oddPage"/>
          <w:pgSz w:w="11907" w:h="16840" w:code="9"/>
          <w:pgMar w:top="1134" w:right="1134" w:bottom="1134" w:left="1134" w:header="720" w:footer="720" w:gutter="0"/>
          <w:paperSrc w:first="15" w:other="15"/>
          <w:pgNumType w:start="1"/>
          <w:cols w:space="720"/>
          <w:docGrid w:linePitch="326"/>
        </w:sectPr>
      </w:pPr>
      <w:r w:rsidRPr="00F06651">
        <w:rPr>
          <w:lang w:eastAsia="ko-KR"/>
        </w:rPr>
        <w:t>____________</w:t>
      </w:r>
    </w:p>
    <w:p w14:paraId="606212E7" w14:textId="77777777" w:rsidR="00B46FF3" w:rsidRPr="00AA662C" w:rsidRDefault="00B46FF3" w:rsidP="007673CC"/>
    <w:sectPr w:rsidR="00B46FF3" w:rsidRPr="00AA662C" w:rsidSect="009A64BD">
      <w:headerReference w:type="even" r:id="rId90"/>
      <w:headerReference w:type="default" r:id="rId91"/>
      <w:type w:val="oddPage"/>
      <w:pgSz w:w="11907" w:h="16834" w:code="9"/>
      <w:pgMar w:top="1134" w:right="1134" w:bottom="1134" w:left="1134" w:header="567" w:footer="567"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0621F8" w14:textId="77777777" w:rsidR="000B1953" w:rsidRDefault="000B1953">
      <w:r>
        <w:separator/>
      </w:r>
    </w:p>
  </w:endnote>
  <w:endnote w:type="continuationSeparator" w:id="0">
    <w:p w14:paraId="1BAA7D24" w14:textId="77777777" w:rsidR="000B1953" w:rsidRDefault="000B1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ヒラギノ角ゴ Pro W3">
    <w:charset w:val="00"/>
    <w:family w:val="roman"/>
    <w:pitch w:val="default"/>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26A261" w14:textId="77777777" w:rsidR="000B1953" w:rsidRDefault="000B1953">
      <w:r>
        <w:t>____________________</w:t>
      </w:r>
    </w:p>
  </w:footnote>
  <w:footnote w:type="continuationSeparator" w:id="0">
    <w:p w14:paraId="327C69CA" w14:textId="77777777" w:rsidR="000B1953" w:rsidRDefault="000B1953">
      <w:r>
        <w:continuationSeparator/>
      </w:r>
    </w:p>
  </w:footnote>
  <w:footnote w:id="1">
    <w:p w14:paraId="6821253F" w14:textId="77777777" w:rsidR="00871FE7" w:rsidRPr="00F9089A" w:rsidRDefault="00871FE7">
      <w:pPr>
        <w:pStyle w:val="FootnoteText"/>
        <w:rPr>
          <w:lang w:val="en-AU"/>
        </w:rPr>
      </w:pPr>
      <w:r>
        <w:rPr>
          <w:rStyle w:val="FootnoteReference"/>
        </w:rPr>
        <w:footnoteRef/>
      </w:r>
      <w:r>
        <w:t xml:space="preserve"> </w:t>
      </w:r>
      <w:r w:rsidRPr="00F9089A">
        <w:rPr>
          <w:sz w:val="18"/>
          <w:szCs w:val="18"/>
        </w:rPr>
        <w:t>An electromagnetic field consists of waves of electric and magnetic energy moving together through space. Often the term ‘electromagnetic field’ or EMF is used to indicate the presence of electromagnetic radiation. Radio signals are one type of EMF</w:t>
      </w:r>
      <w:r>
        <w:rPr>
          <w:sz w:val="18"/>
          <w:szCs w:val="18"/>
        </w:rPr>
        <w:t>.</w:t>
      </w:r>
    </w:p>
  </w:footnote>
  <w:footnote w:id="2">
    <w:p w14:paraId="5A9ECAB6" w14:textId="77777777" w:rsidR="00871FE7" w:rsidRPr="00997B50" w:rsidRDefault="00871FE7" w:rsidP="00AA662C">
      <w:pPr>
        <w:pStyle w:val="FootnoteText"/>
      </w:pPr>
      <w:r>
        <w:rPr>
          <w:rStyle w:val="FootnoteReference"/>
        </w:rPr>
        <w:footnoteRef/>
      </w:r>
      <w:r>
        <w:t xml:space="preserve"> </w:t>
      </w:r>
      <w:hyperlink r:id="rId1" w:history="1">
        <w:r w:rsidRPr="00A903FF">
          <w:rPr>
            <w:rStyle w:val="Hyperlink"/>
          </w:rPr>
          <w:t>https://www.waze.com/</w:t>
        </w:r>
      </w:hyperlink>
      <w:r>
        <w:t xml:space="preserve"> </w:t>
      </w:r>
    </w:p>
  </w:footnote>
  <w:footnote w:id="3">
    <w:p w14:paraId="18D38661" w14:textId="77777777" w:rsidR="00871FE7" w:rsidRPr="003B39BC" w:rsidRDefault="00871FE7" w:rsidP="00AA662C">
      <w:pPr>
        <w:pStyle w:val="FootnoteText"/>
      </w:pPr>
      <w:r>
        <w:rPr>
          <w:rStyle w:val="FootnoteReference"/>
        </w:rPr>
        <w:footnoteRef/>
      </w:r>
      <w:r>
        <w:t xml:space="preserve"> </w:t>
      </w:r>
      <w:hyperlink r:id="rId2" w:history="1">
        <w:r w:rsidRPr="001A5459">
          <w:rPr>
            <w:rStyle w:val="Hyperlink"/>
          </w:rPr>
          <w:t>http://www.who.int</w:t>
        </w:r>
      </w:hyperlink>
      <w:r>
        <w:t xml:space="preserve"> </w:t>
      </w:r>
      <w:r w:rsidRPr="003B39BC">
        <w:t>/</w:t>
      </w:r>
    </w:p>
  </w:footnote>
  <w:footnote w:id="4">
    <w:p w14:paraId="05D6FE0D" w14:textId="77777777" w:rsidR="00871FE7" w:rsidRPr="00D434B8" w:rsidRDefault="00871FE7" w:rsidP="00AA662C">
      <w:pPr>
        <w:pStyle w:val="FootnoteText"/>
      </w:pPr>
      <w:r>
        <w:rPr>
          <w:rStyle w:val="FootnoteReference"/>
        </w:rPr>
        <w:footnoteRef/>
      </w:r>
      <w:r>
        <w:t xml:space="preserve"> </w:t>
      </w:r>
      <w:hyperlink r:id="rId3" w:history="1">
        <w:r w:rsidRPr="001A5459">
          <w:rPr>
            <w:rStyle w:val="Hyperlink"/>
          </w:rPr>
          <w:t>http://www.gsma.com/publicpolicy/mobile-and-health/science-overview/reports-and-statements-index</w:t>
        </w:r>
      </w:hyperlink>
      <w:r>
        <w:t xml:space="preserve"> </w:t>
      </w:r>
    </w:p>
  </w:footnote>
  <w:footnote w:id="5">
    <w:p w14:paraId="23DCDECA" w14:textId="77777777" w:rsidR="00871FE7" w:rsidRPr="00F9089A" w:rsidRDefault="00871FE7">
      <w:pPr>
        <w:pStyle w:val="FootnoteText"/>
        <w:rPr>
          <w:lang w:val="en-AU"/>
        </w:rPr>
      </w:pPr>
      <w:r>
        <w:rPr>
          <w:rStyle w:val="FootnoteReference"/>
        </w:rPr>
        <w:footnoteRef/>
      </w:r>
      <w:r>
        <w:t xml:space="preserve"> </w:t>
      </w:r>
      <w:hyperlink r:id="rId4" w:history="1">
        <w:r>
          <w:rPr>
            <w:rStyle w:val="Hyperlink"/>
            <w:sz w:val="20"/>
            <w:lang w:val="en-US"/>
          </w:rPr>
          <w:t>http://www.icnirp.org/cms/upload/publications/ICNIRPemfgdl.pdf</w:t>
        </w:r>
      </w:hyperlink>
    </w:p>
  </w:footnote>
  <w:footnote w:id="6">
    <w:p w14:paraId="6B5BA959" w14:textId="77777777" w:rsidR="00871FE7" w:rsidRPr="001F3B5B" w:rsidRDefault="00871FE7" w:rsidP="007D2B85">
      <w:pPr>
        <w:pStyle w:val="FootnoteText"/>
      </w:pPr>
      <w:r>
        <w:rPr>
          <w:rStyle w:val="FootnoteReference"/>
        </w:rPr>
        <w:footnoteRef/>
      </w:r>
      <w:r>
        <w:t xml:space="preserve"> </w:t>
      </w:r>
      <w:hyperlink r:id="rId5" w:history="1">
        <w:r w:rsidRPr="00685277">
          <w:rPr>
            <w:rStyle w:val="Hyperlink"/>
          </w:rPr>
          <w:t>http://www.who.int/peh-emf/research/en/</w:t>
        </w:r>
      </w:hyperlink>
      <w:r>
        <w:t>. Accessed 5 September 2014.</w:t>
      </w:r>
    </w:p>
  </w:footnote>
  <w:footnote w:id="7">
    <w:p w14:paraId="367C9D7D" w14:textId="77777777" w:rsidR="00871FE7" w:rsidRPr="004B04E1" w:rsidRDefault="00871FE7" w:rsidP="00AA662C">
      <w:pPr>
        <w:pStyle w:val="FootnoteText"/>
      </w:pPr>
      <w:r>
        <w:rPr>
          <w:rStyle w:val="FootnoteReference"/>
        </w:rPr>
        <w:footnoteRef/>
      </w:r>
      <w:r>
        <w:t xml:space="preserve"> </w:t>
      </w:r>
      <w:hyperlink r:id="rId6" w:history="1">
        <w:r w:rsidRPr="001A5459">
          <w:rPr>
            <w:rStyle w:val="Hyperlink"/>
          </w:rPr>
          <w:t>http://www.iarc.fr/en/media-centre/pr/2011/index.php</w:t>
        </w:r>
      </w:hyperlink>
      <w:r>
        <w:t xml:space="preserve"> </w:t>
      </w:r>
    </w:p>
  </w:footnote>
  <w:footnote w:id="8">
    <w:p w14:paraId="65B29C73" w14:textId="77777777" w:rsidR="00871FE7" w:rsidRPr="0063095F" w:rsidRDefault="00871FE7" w:rsidP="00AA662C">
      <w:pPr>
        <w:pStyle w:val="FootnoteText"/>
      </w:pPr>
      <w:r>
        <w:rPr>
          <w:rStyle w:val="FootnoteReference"/>
        </w:rPr>
        <w:footnoteRef/>
      </w:r>
      <w:r>
        <w:t xml:space="preserve"> </w:t>
      </w:r>
      <w:hyperlink r:id="rId7" w:history="1">
        <w:r w:rsidRPr="001A5459">
          <w:rPr>
            <w:rStyle w:val="Hyperlink"/>
          </w:rPr>
          <w:t>http://monographs.iarc.fr/ENG/Monographs/vol102</w:t>
        </w:r>
      </w:hyperlink>
      <w:r>
        <w:t xml:space="preserve"> </w:t>
      </w:r>
      <w:r w:rsidRPr="0063095F">
        <w:t>/</w:t>
      </w:r>
    </w:p>
  </w:footnote>
  <w:footnote w:id="9">
    <w:p w14:paraId="1028D207" w14:textId="77777777" w:rsidR="00871FE7" w:rsidRPr="004B04E1" w:rsidRDefault="00871FE7" w:rsidP="00AA662C">
      <w:pPr>
        <w:pStyle w:val="FootnoteText"/>
      </w:pPr>
      <w:r>
        <w:rPr>
          <w:rStyle w:val="FootnoteReference"/>
        </w:rPr>
        <w:footnoteRef/>
      </w:r>
      <w:r>
        <w:t xml:space="preserve"> </w:t>
      </w:r>
      <w:hyperlink r:id="rId8" w:history="1">
        <w:r w:rsidRPr="001A5459">
          <w:rPr>
            <w:rStyle w:val="Hyperlink"/>
          </w:rPr>
          <w:t>http://www.who.int/mediacentre/factsheets/fs193/en</w:t>
        </w:r>
      </w:hyperlink>
      <w:r>
        <w:t xml:space="preserve"> </w:t>
      </w:r>
      <w:r w:rsidRPr="004B04E1">
        <w:t>/</w:t>
      </w:r>
    </w:p>
  </w:footnote>
  <w:footnote w:id="10">
    <w:p w14:paraId="090E1FC0" w14:textId="77777777" w:rsidR="00871FE7" w:rsidRPr="001F2ED5" w:rsidRDefault="00871FE7" w:rsidP="00AA662C">
      <w:pPr>
        <w:pStyle w:val="FootnoteText"/>
      </w:pPr>
      <w:r>
        <w:rPr>
          <w:rStyle w:val="FootnoteReference"/>
        </w:rPr>
        <w:footnoteRef/>
      </w:r>
      <w:r>
        <w:t xml:space="preserve"> </w:t>
      </w:r>
      <w:hyperlink r:id="rId9" w:history="1">
        <w:r w:rsidRPr="001A5459">
          <w:rPr>
            <w:rStyle w:val="Hyperlink"/>
          </w:rPr>
          <w:t>http://www.who.int/features/qa/30/en</w:t>
        </w:r>
      </w:hyperlink>
      <w:r>
        <w:t xml:space="preserve"> </w:t>
      </w:r>
      <w:r w:rsidRPr="001F2ED5">
        <w:t>/</w:t>
      </w:r>
    </w:p>
  </w:footnote>
  <w:footnote w:id="11">
    <w:p w14:paraId="7DE4CDFB" w14:textId="77777777" w:rsidR="00871FE7" w:rsidRPr="00D147E9" w:rsidRDefault="00871FE7" w:rsidP="00AA662C">
      <w:pPr>
        <w:pStyle w:val="FootnoteText"/>
      </w:pPr>
      <w:r>
        <w:rPr>
          <w:rStyle w:val="FootnoteReference"/>
        </w:rPr>
        <w:footnoteRef/>
      </w:r>
      <w:r>
        <w:t xml:space="preserve"> </w:t>
      </w:r>
      <w:hyperlink r:id="rId10" w:history="1">
        <w:r w:rsidRPr="001A5459">
          <w:rPr>
            <w:rStyle w:val="Hyperlink"/>
          </w:rPr>
          <w:t>http://www.who.int/peh-emf/publications/facts/fs304/en</w:t>
        </w:r>
      </w:hyperlink>
      <w:r>
        <w:t xml:space="preserve"> </w:t>
      </w:r>
      <w:r w:rsidRPr="00D147E9">
        <w:t>/</w:t>
      </w:r>
    </w:p>
  </w:footnote>
  <w:footnote w:id="12">
    <w:p w14:paraId="4DBF1017" w14:textId="77777777" w:rsidR="00871FE7" w:rsidRPr="00F47643" w:rsidRDefault="00871FE7" w:rsidP="00AA662C">
      <w:pPr>
        <w:pStyle w:val="FootnoteText"/>
      </w:pPr>
      <w:r>
        <w:rPr>
          <w:rStyle w:val="FootnoteReference"/>
        </w:rPr>
        <w:footnoteRef/>
      </w:r>
      <w:r>
        <w:t xml:space="preserve"> WHO, </w:t>
      </w:r>
      <w:r w:rsidRPr="0029080F">
        <w:t>Framework for developing health-based electromagnetic field standards</w:t>
      </w:r>
      <w:r>
        <w:t>, 2006.</w:t>
      </w:r>
    </w:p>
  </w:footnote>
  <w:footnote w:id="13">
    <w:p w14:paraId="35D93093" w14:textId="77777777" w:rsidR="00871FE7" w:rsidRPr="00CB5711" w:rsidRDefault="00871FE7" w:rsidP="00AA662C">
      <w:pPr>
        <w:pStyle w:val="FootnoteText"/>
        <w:rPr>
          <w:lang w:val="fr-CH"/>
        </w:rPr>
      </w:pPr>
      <w:r>
        <w:rPr>
          <w:rStyle w:val="FootnoteReference"/>
        </w:rPr>
        <w:footnoteRef/>
      </w:r>
      <w:r w:rsidRPr="00CB5711">
        <w:rPr>
          <w:lang w:val="fr-CH"/>
        </w:rPr>
        <w:t xml:space="preserve"> </w:t>
      </w:r>
      <w:r w:rsidRPr="009568BC">
        <w:rPr>
          <w:lang w:val="fr-CH"/>
        </w:rPr>
        <w:t>Recommendation</w:t>
      </w:r>
      <w:r>
        <w:rPr>
          <w:lang w:val="fr-CH"/>
        </w:rPr>
        <w:t xml:space="preserve"> ITU-T</w:t>
      </w:r>
      <w:r w:rsidRPr="00CB5711">
        <w:rPr>
          <w:lang w:val="fr-CH"/>
        </w:rPr>
        <w:t xml:space="preserve"> K.52</w:t>
      </w:r>
      <w:r>
        <w:rPr>
          <w:lang w:val="fr-CH"/>
        </w:rPr>
        <w:t>.</w:t>
      </w:r>
    </w:p>
  </w:footnote>
  <w:footnote w:id="14">
    <w:p w14:paraId="682958A8" w14:textId="77777777" w:rsidR="00871FE7" w:rsidRPr="00CB5711" w:rsidRDefault="00871FE7" w:rsidP="00AA662C">
      <w:pPr>
        <w:pStyle w:val="FootnoteText"/>
        <w:rPr>
          <w:lang w:val="fr-CH"/>
        </w:rPr>
      </w:pPr>
      <w:r>
        <w:rPr>
          <w:rStyle w:val="FootnoteReference"/>
        </w:rPr>
        <w:footnoteRef/>
      </w:r>
      <w:r w:rsidRPr="00CB5711">
        <w:rPr>
          <w:lang w:val="fr-CH"/>
        </w:rPr>
        <w:t xml:space="preserve"> </w:t>
      </w:r>
      <w:hyperlink r:id="rId11" w:history="1">
        <w:r w:rsidRPr="00CB5711">
          <w:rPr>
            <w:rStyle w:val="Hyperlink"/>
            <w:lang w:val="fr-CH"/>
          </w:rPr>
          <w:t>http://www.who.int/peh-emf/standards/en/</w:t>
        </w:r>
      </w:hyperlink>
      <w:r w:rsidRPr="00CB5711">
        <w:rPr>
          <w:lang w:val="fr-CH"/>
        </w:rPr>
        <w:t xml:space="preserve"> </w:t>
      </w:r>
    </w:p>
  </w:footnote>
  <w:footnote w:id="15">
    <w:p w14:paraId="153B1C65" w14:textId="77777777" w:rsidR="00871FE7" w:rsidRPr="00675310" w:rsidRDefault="00871FE7">
      <w:pPr>
        <w:pStyle w:val="FootnoteText"/>
        <w:rPr>
          <w:lang w:val="fr-CH"/>
        </w:rPr>
      </w:pPr>
      <w:r>
        <w:rPr>
          <w:rStyle w:val="FootnoteReference"/>
        </w:rPr>
        <w:footnoteRef/>
      </w:r>
      <w:r w:rsidRPr="00675310">
        <w:rPr>
          <w:lang w:val="fr-CH"/>
        </w:rPr>
        <w:t xml:space="preserve"> </w:t>
      </w:r>
      <w:hyperlink r:id="rId12" w:history="1">
        <w:r w:rsidRPr="00675310">
          <w:rPr>
            <w:rStyle w:val="Hyperlink"/>
            <w:lang w:val="fr-CH"/>
          </w:rPr>
          <w:t>http://www.emfexplained.info</w:t>
        </w:r>
      </w:hyperlink>
      <w:r w:rsidRPr="00675310">
        <w:rPr>
          <w:lang w:val="fr-CH"/>
        </w:rPr>
        <w:t>/</w:t>
      </w:r>
    </w:p>
  </w:footnote>
  <w:footnote w:id="16">
    <w:p w14:paraId="17BD0FBB" w14:textId="77777777" w:rsidR="00871FE7" w:rsidRPr="00CB5711" w:rsidRDefault="00871FE7" w:rsidP="00AA662C">
      <w:pPr>
        <w:pStyle w:val="FootnoteText"/>
        <w:rPr>
          <w:lang w:val="fr-CH"/>
        </w:rPr>
      </w:pPr>
      <w:r>
        <w:rPr>
          <w:rStyle w:val="FootnoteReference"/>
        </w:rPr>
        <w:footnoteRef/>
      </w:r>
      <w:r w:rsidRPr="00CB5711">
        <w:rPr>
          <w:lang w:val="fr-CH"/>
        </w:rPr>
        <w:t xml:space="preserve"> </w:t>
      </w:r>
      <w:hyperlink r:id="rId13" w:history="1">
        <w:r w:rsidRPr="000A63BC">
          <w:rPr>
            <w:rStyle w:val="Hyperlink"/>
            <w:lang w:val="fr-CH"/>
          </w:rPr>
          <w:t>http://www.who.int/peh-emf/publications/facts/fs304/en/</w:t>
        </w:r>
      </w:hyperlink>
      <w:r>
        <w:rPr>
          <w:lang w:val="fr-CH"/>
        </w:rPr>
        <w:t xml:space="preserve"> </w:t>
      </w:r>
    </w:p>
  </w:footnote>
  <w:footnote w:id="17">
    <w:p w14:paraId="4B1145E2" w14:textId="77777777" w:rsidR="00871FE7" w:rsidRPr="00CB5711" w:rsidRDefault="00871FE7" w:rsidP="00AA662C">
      <w:pPr>
        <w:pStyle w:val="FootnoteText"/>
        <w:rPr>
          <w:lang w:val="fr-CH"/>
        </w:rPr>
      </w:pPr>
      <w:r>
        <w:rPr>
          <w:rStyle w:val="FootnoteReference"/>
        </w:rPr>
        <w:footnoteRef/>
      </w:r>
      <w:r w:rsidRPr="00CB5711">
        <w:rPr>
          <w:lang w:val="fr-CH"/>
        </w:rPr>
        <w:t xml:space="preserve"> </w:t>
      </w:r>
      <w:hyperlink r:id="rId14" w:history="1">
        <w:r w:rsidRPr="00CB5711">
          <w:rPr>
            <w:rStyle w:val="Hyperlink"/>
            <w:lang w:val="fr-CH"/>
          </w:rPr>
          <w:t>http://www.gsma.com/publicpolicy/mobile-and-health/base-station-planning-permission-in-europe</w:t>
        </w:r>
      </w:hyperlink>
      <w:r w:rsidRPr="00CB5711">
        <w:rPr>
          <w:lang w:val="fr-CH"/>
        </w:rPr>
        <w:t xml:space="preserve"> </w:t>
      </w:r>
    </w:p>
  </w:footnote>
  <w:footnote w:id="18">
    <w:p w14:paraId="70B2DDD8" w14:textId="77777777" w:rsidR="00871FE7" w:rsidRPr="00CB5711" w:rsidRDefault="00871FE7" w:rsidP="00AA662C">
      <w:pPr>
        <w:pStyle w:val="FootnoteText"/>
        <w:rPr>
          <w:lang w:val="fr-CH"/>
        </w:rPr>
      </w:pPr>
      <w:r>
        <w:rPr>
          <w:rStyle w:val="FootnoteReference"/>
        </w:rPr>
        <w:footnoteRef/>
      </w:r>
      <w:r w:rsidRPr="00CB5711">
        <w:rPr>
          <w:lang w:val="fr-CH"/>
        </w:rPr>
        <w:t xml:space="preserve"> </w:t>
      </w:r>
      <w:hyperlink r:id="rId15" w:history="1">
        <w:r w:rsidRPr="00CB5711">
          <w:rPr>
            <w:rStyle w:val="Hyperlink"/>
            <w:lang w:val="fr-CH"/>
          </w:rPr>
          <w:t>http://www.whitehouse.gov/the-press-office/2012/06/14/executive-order-accelerating-broadband-infrastructure-deployment</w:t>
        </w:r>
      </w:hyperlink>
      <w:r w:rsidRPr="00CB5711">
        <w:rPr>
          <w:lang w:val="fr-CH"/>
        </w:rPr>
        <w:t xml:space="preserve"> </w:t>
      </w:r>
    </w:p>
  </w:footnote>
  <w:footnote w:id="19">
    <w:p w14:paraId="18F59325" w14:textId="17312C41" w:rsidR="00871FE7" w:rsidRPr="000B7D0E" w:rsidRDefault="00871FE7" w:rsidP="00AA662C">
      <w:pPr>
        <w:pStyle w:val="FootnoteText"/>
      </w:pPr>
      <w:r>
        <w:rPr>
          <w:rStyle w:val="FootnoteReference"/>
        </w:rPr>
        <w:footnoteRef/>
      </w:r>
      <w:r>
        <w:t xml:space="preserve"> This check-list does not replace national regulatory or other legal requirements. </w:t>
      </w:r>
    </w:p>
  </w:footnote>
  <w:footnote w:id="20">
    <w:p w14:paraId="201AA6AB" w14:textId="77777777" w:rsidR="00871FE7" w:rsidRPr="00F9089A" w:rsidRDefault="00871FE7">
      <w:pPr>
        <w:pStyle w:val="FootnoteText"/>
        <w:rPr>
          <w:lang w:val="en-AU"/>
        </w:rPr>
      </w:pPr>
      <w:r>
        <w:rPr>
          <w:rStyle w:val="FootnoteReference"/>
        </w:rPr>
        <w:footnoteRef/>
      </w:r>
      <w:r>
        <w:t xml:space="preserve"> </w:t>
      </w:r>
      <w:hyperlink r:id="rId16" w:history="1">
        <w:r>
          <w:rPr>
            <w:rStyle w:val="Hyperlink"/>
            <w:sz w:val="20"/>
            <w:lang w:val="en-US"/>
          </w:rPr>
          <w:t>http://www.icnirp.org/cms/upload/publications/ICNIRPemfgdl.pdf</w:t>
        </w:r>
      </w:hyperlink>
      <w:r>
        <w:rPr>
          <w:sz w:val="20"/>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354A7" w14:textId="77777777" w:rsidR="00871FE7" w:rsidRDefault="00871FE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07A91" w14:textId="77777777" w:rsidR="00871FE7" w:rsidRPr="00D7552B" w:rsidRDefault="00871FE7" w:rsidP="003C22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51C14" w14:textId="77777777" w:rsidR="00871FE7" w:rsidRDefault="000B1953" w:rsidP="00FA190F">
    <w:pPr>
      <w:pStyle w:val="Header"/>
      <w:rPr>
        <w:noProof/>
      </w:rPr>
    </w:pPr>
    <w:sdt>
      <w:sdtPr>
        <w:id w:val="1231044129"/>
        <w:docPartObj>
          <w:docPartGallery w:val="Page Numbers (Top of Page)"/>
          <w:docPartUnique/>
        </w:docPartObj>
      </w:sdtPr>
      <w:sdtEndPr>
        <w:rPr>
          <w:noProof/>
        </w:rPr>
      </w:sdtEndPr>
      <w:sdtContent>
        <w:r w:rsidR="00871FE7">
          <w:fldChar w:fldCharType="begin"/>
        </w:r>
        <w:r w:rsidR="00871FE7">
          <w:instrText xml:space="preserve"> PAGE   \* MERGEFORMAT </w:instrText>
        </w:r>
        <w:r w:rsidR="00871FE7">
          <w:fldChar w:fldCharType="separate"/>
        </w:r>
        <w:r w:rsidR="00A77D4C">
          <w:rPr>
            <w:noProof/>
          </w:rPr>
          <w:t>48</w:t>
        </w:r>
        <w:r w:rsidR="00871FE7">
          <w:rPr>
            <w:noProof/>
          </w:rPr>
          <w:fldChar w:fldCharType="end"/>
        </w:r>
      </w:sdtContent>
    </w:sdt>
  </w:p>
  <w:p w14:paraId="12B2E3FD" w14:textId="77777777" w:rsidR="00871FE7" w:rsidRDefault="00871FE7" w:rsidP="00FA190F">
    <w:pPr>
      <w:pStyle w:val="Header"/>
      <w:spacing w:after="240"/>
      <w:rPr>
        <w:i/>
        <w:iCs/>
        <w:noProof/>
      </w:rPr>
    </w:pPr>
    <w:r w:rsidRPr="00691E6F">
      <w:rPr>
        <w:noProof/>
      </w:rPr>
      <w:t>ITU-T Focus Group on Smart Sustainable Cities</w:t>
    </w:r>
    <w:r>
      <w:rPr>
        <w:noProof/>
      </w:rPr>
      <w:t xml:space="preserve">: </w:t>
    </w:r>
    <w:r w:rsidRPr="00691E6F">
      <w:rPr>
        <w:i/>
        <w:iCs/>
        <w:noProof/>
      </w:rPr>
      <w:t>EMF Considerations in Smart Sustainable Cities</w:t>
    </w:r>
  </w:p>
  <w:p w14:paraId="73E127A4" w14:textId="77777777" w:rsidR="00871FE7" w:rsidRPr="009B7607" w:rsidRDefault="00871FE7" w:rsidP="00FA190F">
    <w:pPr>
      <w:pStyle w:val="Header"/>
      <w:jc w:val="left"/>
      <w:rPr>
        <w:i/>
        <w:iCs/>
        <w:noProof/>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7F394" w14:textId="77777777" w:rsidR="00871FE7" w:rsidRDefault="000B1953">
    <w:pPr>
      <w:pStyle w:val="Header"/>
      <w:rPr>
        <w:noProof/>
      </w:rPr>
    </w:pPr>
    <w:sdt>
      <w:sdtPr>
        <w:id w:val="-594023890"/>
        <w:docPartObj>
          <w:docPartGallery w:val="Page Numbers (Top of Page)"/>
          <w:docPartUnique/>
        </w:docPartObj>
      </w:sdtPr>
      <w:sdtEndPr>
        <w:rPr>
          <w:noProof/>
        </w:rPr>
      </w:sdtEndPr>
      <w:sdtContent>
        <w:r w:rsidR="00871FE7">
          <w:fldChar w:fldCharType="begin"/>
        </w:r>
        <w:r w:rsidR="00871FE7">
          <w:instrText xml:space="preserve"> PAGE   \* MERGEFORMAT </w:instrText>
        </w:r>
        <w:r w:rsidR="00871FE7">
          <w:fldChar w:fldCharType="separate"/>
        </w:r>
        <w:r w:rsidR="00A77D4C">
          <w:rPr>
            <w:noProof/>
          </w:rPr>
          <w:t>49</w:t>
        </w:r>
        <w:r w:rsidR="00871FE7">
          <w:rPr>
            <w:noProof/>
          </w:rPr>
          <w:fldChar w:fldCharType="end"/>
        </w:r>
      </w:sdtContent>
    </w:sdt>
  </w:p>
  <w:p w14:paraId="32B85D84" w14:textId="096C34C5" w:rsidR="00871FE7" w:rsidRDefault="00871FE7" w:rsidP="00FA190F">
    <w:pPr>
      <w:pStyle w:val="Header"/>
      <w:spacing w:after="240"/>
      <w:rPr>
        <w:i/>
        <w:iCs/>
        <w:noProof/>
      </w:rPr>
    </w:pPr>
    <w:r w:rsidRPr="00691E6F">
      <w:rPr>
        <w:noProof/>
      </w:rPr>
      <w:t>ITU-T Focus Group on Smart Sustainable Cities</w:t>
    </w:r>
    <w:r>
      <w:rPr>
        <w:noProof/>
      </w:rPr>
      <w:t xml:space="preserve">: </w:t>
    </w:r>
    <w:r w:rsidRPr="002E4045">
      <w:rPr>
        <w:i/>
        <w:iCs/>
        <w:noProof/>
      </w:rPr>
      <w:t>El</w:t>
    </w:r>
    <w:r>
      <w:rPr>
        <w:i/>
        <w:iCs/>
        <w:noProof/>
      </w:rPr>
      <w:t>e</w:t>
    </w:r>
    <w:r w:rsidRPr="002E4045">
      <w:rPr>
        <w:i/>
        <w:iCs/>
        <w:noProof/>
      </w:rPr>
      <w:t>ctromagnetic field (</w:t>
    </w:r>
    <w:r w:rsidRPr="00742292">
      <w:rPr>
        <w:i/>
        <w:iCs/>
        <w:noProof/>
      </w:rPr>
      <w:t>EMF)</w:t>
    </w:r>
    <w:r w:rsidRPr="00691E6F">
      <w:rPr>
        <w:i/>
        <w:iCs/>
        <w:noProof/>
      </w:rPr>
      <w:t xml:space="preserve"> </w:t>
    </w:r>
    <w:r>
      <w:rPr>
        <w:i/>
        <w:iCs/>
        <w:noProof/>
      </w:rPr>
      <w:t>c</w:t>
    </w:r>
    <w:r w:rsidRPr="00691E6F">
      <w:rPr>
        <w:i/>
        <w:iCs/>
        <w:noProof/>
      </w:rPr>
      <w:t xml:space="preserve">onsiderations in </w:t>
    </w:r>
    <w:r>
      <w:rPr>
        <w:i/>
        <w:iCs/>
        <w:noProof/>
      </w:rPr>
      <w:t>s</w:t>
    </w:r>
    <w:r w:rsidRPr="00691E6F">
      <w:rPr>
        <w:i/>
        <w:iCs/>
        <w:noProof/>
      </w:rPr>
      <w:t xml:space="preserve">mart </w:t>
    </w:r>
    <w:r>
      <w:rPr>
        <w:i/>
        <w:iCs/>
        <w:noProof/>
      </w:rPr>
      <w:t>s</w:t>
    </w:r>
    <w:r w:rsidRPr="00691E6F">
      <w:rPr>
        <w:i/>
        <w:iCs/>
        <w:noProof/>
      </w:rPr>
      <w:t xml:space="preserve">ustainable </w:t>
    </w:r>
    <w:r>
      <w:rPr>
        <w:i/>
        <w:iCs/>
        <w:noProof/>
      </w:rPr>
      <w:t>c</w:t>
    </w:r>
    <w:r w:rsidRPr="00691E6F">
      <w:rPr>
        <w:i/>
        <w:iCs/>
        <w:noProof/>
      </w:rPr>
      <w:t>ities</w:t>
    </w:r>
  </w:p>
  <w:p w14:paraId="65E8683E" w14:textId="77777777" w:rsidR="00871FE7" w:rsidRDefault="00871FE7" w:rsidP="00FA190F">
    <w:pPr>
      <w:pStyle w:val="Header"/>
      <w:jc w:val="left"/>
      <w:rPr>
        <w:i/>
        <w:iCs/>
        <w:noProof/>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334FA" w14:textId="77777777" w:rsidR="00871FE7" w:rsidRDefault="00871FE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E9108" w14:textId="77777777" w:rsidR="00871FE7" w:rsidRDefault="00871FE7" w:rsidP="009B7607">
    <w:pPr>
      <w:pStyle w:val="Header"/>
      <w:rPr>
        <w:i/>
        <w:iCs/>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singleLevel"/>
    <w:tmpl w:val="E18C5576"/>
    <w:lvl w:ilvl="0">
      <w:start w:val="1"/>
      <w:numFmt w:val="decimal"/>
      <w:pStyle w:val="kgkreflist"/>
      <w:lvlText w:val="[%1]"/>
      <w:lvlJc w:val="left"/>
      <w:pPr>
        <w:tabs>
          <w:tab w:val="num" w:pos="360"/>
        </w:tabs>
        <w:ind w:left="360" w:hanging="360"/>
      </w:pPr>
      <w:rPr>
        <w:rFonts w:hint="eastAsia"/>
      </w:rPr>
    </w:lvl>
  </w:abstractNum>
  <w:abstractNum w:abstractNumId="1">
    <w:nsid w:val="00487DED"/>
    <w:multiLevelType w:val="hybridMultilevel"/>
    <w:tmpl w:val="95D69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095237"/>
    <w:multiLevelType w:val="hybridMultilevel"/>
    <w:tmpl w:val="96BE8D2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8CF21ED"/>
    <w:multiLevelType w:val="hybridMultilevel"/>
    <w:tmpl w:val="048482D6"/>
    <w:lvl w:ilvl="0" w:tplc="B7061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7F0D67"/>
    <w:multiLevelType w:val="hybridMultilevel"/>
    <w:tmpl w:val="B75CFB14"/>
    <w:lvl w:ilvl="0" w:tplc="9D462766">
      <w:start w:val="2"/>
      <w:numFmt w:val="bullet"/>
      <w:lvlText w:val="-"/>
      <w:lvlJc w:val="left"/>
      <w:pPr>
        <w:ind w:left="1154" w:hanging="360"/>
      </w:pPr>
      <w:rPr>
        <w:rFonts w:ascii="Times New Roman" w:eastAsia="SimSun" w:hAnsi="Times New Roman" w:cs="Times New Roman" w:hint="default"/>
        <w:b/>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5">
    <w:nsid w:val="108911A8"/>
    <w:multiLevelType w:val="multilevel"/>
    <w:tmpl w:val="C4EE854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0CC1C7A"/>
    <w:multiLevelType w:val="hybridMultilevel"/>
    <w:tmpl w:val="63786C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8E786B"/>
    <w:multiLevelType w:val="hybridMultilevel"/>
    <w:tmpl w:val="09B2695A"/>
    <w:lvl w:ilvl="0" w:tplc="0C09000B">
      <w:start w:val="1"/>
      <w:numFmt w:val="bullet"/>
      <w:lvlText w:val=""/>
      <w:lvlJc w:val="left"/>
      <w:pPr>
        <w:ind w:left="786" w:hanging="360"/>
      </w:pPr>
      <w:rPr>
        <w:rFonts w:ascii="Wingdings" w:hAnsi="Wingdings"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8">
    <w:nsid w:val="157010F8"/>
    <w:multiLevelType w:val="multilevel"/>
    <w:tmpl w:val="CFCC73B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7B37546"/>
    <w:multiLevelType w:val="hybridMultilevel"/>
    <w:tmpl w:val="0778D3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5D428F"/>
    <w:multiLevelType w:val="multilevel"/>
    <w:tmpl w:val="CFCC73B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1BCE6A50"/>
    <w:multiLevelType w:val="hybridMultilevel"/>
    <w:tmpl w:val="847E4C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EEF5DD5"/>
    <w:multiLevelType w:val="multilevel"/>
    <w:tmpl w:val="F510F54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256779B"/>
    <w:multiLevelType w:val="hybridMultilevel"/>
    <w:tmpl w:val="A95E04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279A6E8C"/>
    <w:multiLevelType w:val="multilevel"/>
    <w:tmpl w:val="CFCC73B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2A122E4B"/>
    <w:multiLevelType w:val="multilevel"/>
    <w:tmpl w:val="812CDD1A"/>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33480B30"/>
    <w:multiLevelType w:val="hybridMultilevel"/>
    <w:tmpl w:val="C2001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5054F0C"/>
    <w:multiLevelType w:val="multilevel"/>
    <w:tmpl w:val="9412148C"/>
    <w:lvl w:ilvl="0">
      <w:numFmt w:val="decimal"/>
      <w:lvlText w:val="%1"/>
      <w:lvlJc w:val="left"/>
      <w:pPr>
        <w:ind w:left="720" w:hanging="72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5164F2A"/>
    <w:multiLevelType w:val="multilevel"/>
    <w:tmpl w:val="A2C4A89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9C734AE"/>
    <w:multiLevelType w:val="multilevel"/>
    <w:tmpl w:val="59601290"/>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3AC258BB"/>
    <w:multiLevelType w:val="multilevel"/>
    <w:tmpl w:val="8D02FA9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D6D43C6"/>
    <w:multiLevelType w:val="hybridMultilevel"/>
    <w:tmpl w:val="A40277AA"/>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406F2D80"/>
    <w:multiLevelType w:val="hybridMultilevel"/>
    <w:tmpl w:val="92DA19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26604AF"/>
    <w:multiLevelType w:val="multilevel"/>
    <w:tmpl w:val="7D20A534"/>
    <w:lvl w:ilvl="0">
      <w:start w:val="1"/>
      <w:numFmt w:val="decimal"/>
      <w:lvlText w:val="%1"/>
      <w:lvlJc w:val="left"/>
      <w:pPr>
        <w:tabs>
          <w:tab w:val="num" w:pos="425"/>
        </w:tabs>
        <w:ind w:left="425" w:hanging="425"/>
      </w:pPr>
      <w:rPr>
        <w:rFonts w:ascii="Times New Roman" w:hAnsi="Times New Roman" w:hint="default"/>
        <w:sz w:val="24"/>
        <w:szCs w:val="24"/>
      </w:rPr>
    </w:lvl>
    <w:lvl w:ilvl="1">
      <w:start w:val="1"/>
      <w:numFmt w:val="decimal"/>
      <w:lvlText w:val="%1.%2"/>
      <w:lvlJc w:val="left"/>
      <w:pPr>
        <w:tabs>
          <w:tab w:val="num" w:pos="567"/>
        </w:tabs>
        <w:ind w:left="567" w:hanging="567"/>
      </w:pPr>
      <w:rPr>
        <w:rFonts w:ascii="Times New Roman" w:hAnsi="Times New Roman" w:hint="default"/>
        <w:sz w:val="24"/>
        <w:szCs w:val="24"/>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nsid w:val="442B5711"/>
    <w:multiLevelType w:val="hybridMultilevel"/>
    <w:tmpl w:val="F7A29164"/>
    <w:lvl w:ilvl="0" w:tplc="AD5E6E74">
      <w:start w:val="1"/>
      <w:numFmt w:val="bullet"/>
      <w:lvlText w:val=""/>
      <w:lvlJc w:val="left"/>
      <w:pPr>
        <w:ind w:left="1080" w:hanging="360"/>
      </w:pPr>
      <w:rPr>
        <w:rFonts w:ascii="Wingdings" w:eastAsia="Malgun Gothic"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6AE4049"/>
    <w:multiLevelType w:val="hybridMultilevel"/>
    <w:tmpl w:val="D8D283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9B0C96"/>
    <w:multiLevelType w:val="hybridMultilevel"/>
    <w:tmpl w:val="0B840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D7707B6"/>
    <w:multiLevelType w:val="hybridMultilevel"/>
    <w:tmpl w:val="F6085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AB6F7D"/>
    <w:multiLevelType w:val="multilevel"/>
    <w:tmpl w:val="C4EE854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16F4375"/>
    <w:multiLevelType w:val="multilevel"/>
    <w:tmpl w:val="516F437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6B47659"/>
    <w:multiLevelType w:val="hybridMultilevel"/>
    <w:tmpl w:val="FF868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7EA0025"/>
    <w:multiLevelType w:val="hybridMultilevel"/>
    <w:tmpl w:val="66B23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B80B77"/>
    <w:multiLevelType w:val="hybridMultilevel"/>
    <w:tmpl w:val="2BCA2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5EB28A8"/>
    <w:multiLevelType w:val="multilevel"/>
    <w:tmpl w:val="CFCC73B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681B1B05"/>
    <w:multiLevelType w:val="hybridMultilevel"/>
    <w:tmpl w:val="DB90DA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E01EAE"/>
    <w:multiLevelType w:val="hybridMultilevel"/>
    <w:tmpl w:val="250493A0"/>
    <w:lvl w:ilvl="0" w:tplc="FE000B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91C313A"/>
    <w:multiLevelType w:val="hybridMultilevel"/>
    <w:tmpl w:val="6EE25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97866E9"/>
    <w:multiLevelType w:val="hybridMultilevel"/>
    <w:tmpl w:val="18C6DF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81203F"/>
    <w:multiLevelType w:val="multilevel"/>
    <w:tmpl w:val="516F4375"/>
    <w:lvl w:ilvl="0">
      <w:start w:val="1"/>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FD04C61"/>
    <w:multiLevelType w:val="multilevel"/>
    <w:tmpl w:val="B54A5C0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65146D7"/>
    <w:multiLevelType w:val="multilevel"/>
    <w:tmpl w:val="D64A6F1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6D63174"/>
    <w:multiLevelType w:val="hybridMultilevel"/>
    <w:tmpl w:val="E9DEADFC"/>
    <w:lvl w:ilvl="0" w:tplc="D7824E3C">
      <w:start w:val="1"/>
      <w:numFmt w:val="bullet"/>
      <w:lvlText w:val=""/>
      <w:lvlJc w:val="left"/>
      <w:pPr>
        <w:ind w:left="720" w:hanging="360"/>
      </w:pPr>
      <w:rPr>
        <w:rFonts w:ascii="Wingdings" w:eastAsia="Malgun Gothic"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DD04F2"/>
    <w:multiLevelType w:val="multilevel"/>
    <w:tmpl w:val="CFCC73B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790F0B36"/>
    <w:multiLevelType w:val="hybridMultilevel"/>
    <w:tmpl w:val="7DD27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DA57D9E"/>
    <w:multiLevelType w:val="hybridMultilevel"/>
    <w:tmpl w:val="DA62A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29"/>
  </w:num>
  <w:num w:numId="4">
    <w:abstractNumId w:val="38"/>
  </w:num>
  <w:num w:numId="5">
    <w:abstractNumId w:val="16"/>
  </w:num>
  <w:num w:numId="6">
    <w:abstractNumId w:val="32"/>
  </w:num>
  <w:num w:numId="7">
    <w:abstractNumId w:val="42"/>
  </w:num>
  <w:num w:numId="8">
    <w:abstractNumId w:val="10"/>
  </w:num>
  <w:num w:numId="9">
    <w:abstractNumId w:val="33"/>
  </w:num>
  <w:num w:numId="10">
    <w:abstractNumId w:val="8"/>
  </w:num>
  <w:num w:numId="11">
    <w:abstractNumId w:val="14"/>
  </w:num>
  <w:num w:numId="12">
    <w:abstractNumId w:val="2"/>
  </w:num>
  <w:num w:numId="13">
    <w:abstractNumId w:val="11"/>
  </w:num>
  <w:num w:numId="14">
    <w:abstractNumId w:val="22"/>
  </w:num>
  <w:num w:numId="15">
    <w:abstractNumId w:val="44"/>
  </w:num>
  <w:num w:numId="16">
    <w:abstractNumId w:val="36"/>
  </w:num>
  <w:num w:numId="17">
    <w:abstractNumId w:val="26"/>
  </w:num>
  <w:num w:numId="18">
    <w:abstractNumId w:val="13"/>
  </w:num>
  <w:num w:numId="19">
    <w:abstractNumId w:val="43"/>
  </w:num>
  <w:num w:numId="20">
    <w:abstractNumId w:val="21"/>
  </w:num>
  <w:num w:numId="21">
    <w:abstractNumId w:val="4"/>
  </w:num>
  <w:num w:numId="22">
    <w:abstractNumId w:val="7"/>
  </w:num>
  <w:num w:numId="23">
    <w:abstractNumId w:val="1"/>
  </w:num>
  <w:num w:numId="24">
    <w:abstractNumId w:val="31"/>
  </w:num>
  <w:num w:numId="25">
    <w:abstractNumId w:val="35"/>
  </w:num>
  <w:num w:numId="26">
    <w:abstractNumId w:val="27"/>
  </w:num>
  <w:num w:numId="27">
    <w:abstractNumId w:val="15"/>
  </w:num>
  <w:num w:numId="28">
    <w:abstractNumId w:val="40"/>
  </w:num>
  <w:num w:numId="29">
    <w:abstractNumId w:val="39"/>
  </w:num>
  <w:num w:numId="30">
    <w:abstractNumId w:val="19"/>
  </w:num>
  <w:num w:numId="31">
    <w:abstractNumId w:val="20"/>
  </w:num>
  <w:num w:numId="32">
    <w:abstractNumId w:val="28"/>
  </w:num>
  <w:num w:numId="33">
    <w:abstractNumId w:val="5"/>
  </w:num>
  <w:num w:numId="34">
    <w:abstractNumId w:val="12"/>
  </w:num>
  <w:num w:numId="35">
    <w:abstractNumId w:val="18"/>
  </w:num>
  <w:num w:numId="36">
    <w:abstractNumId w:val="6"/>
  </w:num>
  <w:num w:numId="37">
    <w:abstractNumId w:val="25"/>
  </w:num>
  <w:num w:numId="38">
    <w:abstractNumId w:val="9"/>
  </w:num>
  <w:num w:numId="39">
    <w:abstractNumId w:val="37"/>
  </w:num>
  <w:num w:numId="40">
    <w:abstractNumId w:val="34"/>
  </w:num>
  <w:num w:numId="41">
    <w:abstractNumId w:val="30"/>
  </w:num>
  <w:num w:numId="42">
    <w:abstractNumId w:val="17"/>
  </w:num>
  <w:num w:numId="43">
    <w:abstractNumId w:val="3"/>
  </w:num>
  <w:num w:numId="44">
    <w:abstractNumId w:val="41"/>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ctiveWritingStyle w:appName="MSWord" w:lang="en-GB"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62C"/>
    <w:rsid w:val="000029BA"/>
    <w:rsid w:val="00012B97"/>
    <w:rsid w:val="00014C13"/>
    <w:rsid w:val="00037576"/>
    <w:rsid w:val="00044646"/>
    <w:rsid w:val="0004511A"/>
    <w:rsid w:val="00057137"/>
    <w:rsid w:val="000577E5"/>
    <w:rsid w:val="00075050"/>
    <w:rsid w:val="0007580C"/>
    <w:rsid w:val="00080825"/>
    <w:rsid w:val="00084E38"/>
    <w:rsid w:val="0008727E"/>
    <w:rsid w:val="000A287B"/>
    <w:rsid w:val="000A72D5"/>
    <w:rsid w:val="000B1953"/>
    <w:rsid w:val="000B48BF"/>
    <w:rsid w:val="000C35A7"/>
    <w:rsid w:val="000C5E8A"/>
    <w:rsid w:val="000C6BB1"/>
    <w:rsid w:val="000D2032"/>
    <w:rsid w:val="000E355E"/>
    <w:rsid w:val="000E4A5B"/>
    <w:rsid w:val="000F0DF4"/>
    <w:rsid w:val="000F3E88"/>
    <w:rsid w:val="000F3EAC"/>
    <w:rsid w:val="0010036F"/>
    <w:rsid w:val="00102840"/>
    <w:rsid w:val="00107A70"/>
    <w:rsid w:val="00121075"/>
    <w:rsid w:val="001255A5"/>
    <w:rsid w:val="0013384E"/>
    <w:rsid w:val="0013599C"/>
    <w:rsid w:val="001373BF"/>
    <w:rsid w:val="001400DF"/>
    <w:rsid w:val="00150A49"/>
    <w:rsid w:val="001524D9"/>
    <w:rsid w:val="00156515"/>
    <w:rsid w:val="001601E7"/>
    <w:rsid w:val="0016509B"/>
    <w:rsid w:val="0018403B"/>
    <w:rsid w:val="00185363"/>
    <w:rsid w:val="001A09B0"/>
    <w:rsid w:val="001A4290"/>
    <w:rsid w:val="001B2655"/>
    <w:rsid w:val="001B28B8"/>
    <w:rsid w:val="001C107A"/>
    <w:rsid w:val="001C2372"/>
    <w:rsid w:val="001D1214"/>
    <w:rsid w:val="001E386B"/>
    <w:rsid w:val="001E426F"/>
    <w:rsid w:val="001E4F9B"/>
    <w:rsid w:val="001E7C8C"/>
    <w:rsid w:val="001F125D"/>
    <w:rsid w:val="001F61B5"/>
    <w:rsid w:val="001F66A0"/>
    <w:rsid w:val="00221A31"/>
    <w:rsid w:val="00226AE2"/>
    <w:rsid w:val="002309F5"/>
    <w:rsid w:val="00233263"/>
    <w:rsid w:val="002376C1"/>
    <w:rsid w:val="00240FAD"/>
    <w:rsid w:val="00243112"/>
    <w:rsid w:val="0025425E"/>
    <w:rsid w:val="00261D7A"/>
    <w:rsid w:val="0026422F"/>
    <w:rsid w:val="00281BBE"/>
    <w:rsid w:val="002A2404"/>
    <w:rsid w:val="002B08E1"/>
    <w:rsid w:val="002B2170"/>
    <w:rsid w:val="002B6759"/>
    <w:rsid w:val="002E0F55"/>
    <w:rsid w:val="002E4045"/>
    <w:rsid w:val="002E5890"/>
    <w:rsid w:val="00300052"/>
    <w:rsid w:val="00302A5B"/>
    <w:rsid w:val="00310AE6"/>
    <w:rsid w:val="003239B9"/>
    <w:rsid w:val="003239E1"/>
    <w:rsid w:val="00342949"/>
    <w:rsid w:val="00345C07"/>
    <w:rsid w:val="00351DDF"/>
    <w:rsid w:val="00356B85"/>
    <w:rsid w:val="00356D5E"/>
    <w:rsid w:val="00372033"/>
    <w:rsid w:val="003860AE"/>
    <w:rsid w:val="0039003D"/>
    <w:rsid w:val="00396A15"/>
    <w:rsid w:val="003A0344"/>
    <w:rsid w:val="003C216F"/>
    <w:rsid w:val="003C2262"/>
    <w:rsid w:val="003C72CE"/>
    <w:rsid w:val="003D3F24"/>
    <w:rsid w:val="003F4BA1"/>
    <w:rsid w:val="003F5452"/>
    <w:rsid w:val="00401ACE"/>
    <w:rsid w:val="00404FDB"/>
    <w:rsid w:val="004071A6"/>
    <w:rsid w:val="00412981"/>
    <w:rsid w:val="0041539F"/>
    <w:rsid w:val="0041660F"/>
    <w:rsid w:val="00426926"/>
    <w:rsid w:val="00443E43"/>
    <w:rsid w:val="00445C10"/>
    <w:rsid w:val="00450BA2"/>
    <w:rsid w:val="00463FFF"/>
    <w:rsid w:val="00464CD2"/>
    <w:rsid w:val="004657D6"/>
    <w:rsid w:val="004765B6"/>
    <w:rsid w:val="0048751D"/>
    <w:rsid w:val="0049069D"/>
    <w:rsid w:val="00490886"/>
    <w:rsid w:val="00495750"/>
    <w:rsid w:val="004A6146"/>
    <w:rsid w:val="004C135C"/>
    <w:rsid w:val="004C2036"/>
    <w:rsid w:val="004C37E7"/>
    <w:rsid w:val="004D4E9A"/>
    <w:rsid w:val="004D6F59"/>
    <w:rsid w:val="004E7D87"/>
    <w:rsid w:val="004F58C4"/>
    <w:rsid w:val="00501372"/>
    <w:rsid w:val="00512F1E"/>
    <w:rsid w:val="0051696F"/>
    <w:rsid w:val="005220F1"/>
    <w:rsid w:val="005259E8"/>
    <w:rsid w:val="00525C4A"/>
    <w:rsid w:val="00563D8D"/>
    <w:rsid w:val="005A06F2"/>
    <w:rsid w:val="005B3508"/>
    <w:rsid w:val="005B73E3"/>
    <w:rsid w:val="005C2A1E"/>
    <w:rsid w:val="005D2487"/>
    <w:rsid w:val="005D6E5B"/>
    <w:rsid w:val="005E587E"/>
    <w:rsid w:val="005F318A"/>
    <w:rsid w:val="00600E72"/>
    <w:rsid w:val="00602FF0"/>
    <w:rsid w:val="0062037B"/>
    <w:rsid w:val="006327EB"/>
    <w:rsid w:val="006613AC"/>
    <w:rsid w:val="00665A55"/>
    <w:rsid w:val="00667DFD"/>
    <w:rsid w:val="00675310"/>
    <w:rsid w:val="00681642"/>
    <w:rsid w:val="00694C7A"/>
    <w:rsid w:val="006B01E4"/>
    <w:rsid w:val="006B3ECE"/>
    <w:rsid w:val="006B7500"/>
    <w:rsid w:val="006B7A84"/>
    <w:rsid w:val="006D236B"/>
    <w:rsid w:val="006D4D2B"/>
    <w:rsid w:val="006E00A8"/>
    <w:rsid w:val="006E02AB"/>
    <w:rsid w:val="006E3E43"/>
    <w:rsid w:val="006F369D"/>
    <w:rsid w:val="00701F52"/>
    <w:rsid w:val="00715790"/>
    <w:rsid w:val="007246E2"/>
    <w:rsid w:val="007246FE"/>
    <w:rsid w:val="00726163"/>
    <w:rsid w:val="00742292"/>
    <w:rsid w:val="007632F7"/>
    <w:rsid w:val="007673CC"/>
    <w:rsid w:val="00771429"/>
    <w:rsid w:val="00773B30"/>
    <w:rsid w:val="00776A91"/>
    <w:rsid w:val="00783586"/>
    <w:rsid w:val="007A125F"/>
    <w:rsid w:val="007A7AB6"/>
    <w:rsid w:val="007B06A3"/>
    <w:rsid w:val="007B32F7"/>
    <w:rsid w:val="007B5D60"/>
    <w:rsid w:val="007D2B85"/>
    <w:rsid w:val="007D3F65"/>
    <w:rsid w:val="007E39DF"/>
    <w:rsid w:val="007F51C3"/>
    <w:rsid w:val="00801885"/>
    <w:rsid w:val="00803F35"/>
    <w:rsid w:val="00805BC3"/>
    <w:rsid w:val="00811C3E"/>
    <w:rsid w:val="008263B5"/>
    <w:rsid w:val="008422F1"/>
    <w:rsid w:val="00842F01"/>
    <w:rsid w:val="008447DA"/>
    <w:rsid w:val="008450EE"/>
    <w:rsid w:val="00845AE7"/>
    <w:rsid w:val="008464C2"/>
    <w:rsid w:val="00852746"/>
    <w:rsid w:val="00853F11"/>
    <w:rsid w:val="00854715"/>
    <w:rsid w:val="00863002"/>
    <w:rsid w:val="00865987"/>
    <w:rsid w:val="008661DB"/>
    <w:rsid w:val="00871FE7"/>
    <w:rsid w:val="00875456"/>
    <w:rsid w:val="00882F84"/>
    <w:rsid w:val="008A5C1C"/>
    <w:rsid w:val="008A63CE"/>
    <w:rsid w:val="008D78A2"/>
    <w:rsid w:val="0091790D"/>
    <w:rsid w:val="00923C60"/>
    <w:rsid w:val="0094679A"/>
    <w:rsid w:val="009568BC"/>
    <w:rsid w:val="0095695E"/>
    <w:rsid w:val="009570F2"/>
    <w:rsid w:val="0096313F"/>
    <w:rsid w:val="00963FAD"/>
    <w:rsid w:val="009771B8"/>
    <w:rsid w:val="009832BB"/>
    <w:rsid w:val="00983747"/>
    <w:rsid w:val="00994FE7"/>
    <w:rsid w:val="00997B42"/>
    <w:rsid w:val="009A64BD"/>
    <w:rsid w:val="009B70F7"/>
    <w:rsid w:val="009B7607"/>
    <w:rsid w:val="009C4BD0"/>
    <w:rsid w:val="009D6AD0"/>
    <w:rsid w:val="009E388E"/>
    <w:rsid w:val="009F5DEA"/>
    <w:rsid w:val="00A03D40"/>
    <w:rsid w:val="00A0557B"/>
    <w:rsid w:val="00A07AA8"/>
    <w:rsid w:val="00A07C06"/>
    <w:rsid w:val="00A17594"/>
    <w:rsid w:val="00A17BA9"/>
    <w:rsid w:val="00A24F2E"/>
    <w:rsid w:val="00A37578"/>
    <w:rsid w:val="00A43177"/>
    <w:rsid w:val="00A50C12"/>
    <w:rsid w:val="00A65A9B"/>
    <w:rsid w:val="00A73438"/>
    <w:rsid w:val="00A77D4C"/>
    <w:rsid w:val="00A825B3"/>
    <w:rsid w:val="00A90111"/>
    <w:rsid w:val="00A9292D"/>
    <w:rsid w:val="00AA0248"/>
    <w:rsid w:val="00AA3C30"/>
    <w:rsid w:val="00AA662C"/>
    <w:rsid w:val="00AB3A5D"/>
    <w:rsid w:val="00AC4FD5"/>
    <w:rsid w:val="00AC5979"/>
    <w:rsid w:val="00AC6651"/>
    <w:rsid w:val="00AC6E7E"/>
    <w:rsid w:val="00AD5222"/>
    <w:rsid w:val="00AD60E6"/>
    <w:rsid w:val="00AF4DCB"/>
    <w:rsid w:val="00AF5E6D"/>
    <w:rsid w:val="00B01B93"/>
    <w:rsid w:val="00B04688"/>
    <w:rsid w:val="00B06F7D"/>
    <w:rsid w:val="00B07184"/>
    <w:rsid w:val="00B167AF"/>
    <w:rsid w:val="00B201EC"/>
    <w:rsid w:val="00B22BCE"/>
    <w:rsid w:val="00B323E0"/>
    <w:rsid w:val="00B46FF3"/>
    <w:rsid w:val="00B7117A"/>
    <w:rsid w:val="00B72114"/>
    <w:rsid w:val="00B724C2"/>
    <w:rsid w:val="00B733D1"/>
    <w:rsid w:val="00B80CFB"/>
    <w:rsid w:val="00B84159"/>
    <w:rsid w:val="00B86D50"/>
    <w:rsid w:val="00B92CE3"/>
    <w:rsid w:val="00BA1B7A"/>
    <w:rsid w:val="00BB1CAE"/>
    <w:rsid w:val="00BB6AB9"/>
    <w:rsid w:val="00BE004B"/>
    <w:rsid w:val="00BE191B"/>
    <w:rsid w:val="00BF7E32"/>
    <w:rsid w:val="00C04BFF"/>
    <w:rsid w:val="00C12AC2"/>
    <w:rsid w:val="00C31957"/>
    <w:rsid w:val="00C37C93"/>
    <w:rsid w:val="00C42E0C"/>
    <w:rsid w:val="00C62C39"/>
    <w:rsid w:val="00C6363F"/>
    <w:rsid w:val="00C8060E"/>
    <w:rsid w:val="00C923B6"/>
    <w:rsid w:val="00CB08C3"/>
    <w:rsid w:val="00CB6FA7"/>
    <w:rsid w:val="00CC0394"/>
    <w:rsid w:val="00CC2953"/>
    <w:rsid w:val="00CC3E22"/>
    <w:rsid w:val="00CC641B"/>
    <w:rsid w:val="00CC77E3"/>
    <w:rsid w:val="00CD624E"/>
    <w:rsid w:val="00CE197F"/>
    <w:rsid w:val="00CF0C59"/>
    <w:rsid w:val="00D04374"/>
    <w:rsid w:val="00D06831"/>
    <w:rsid w:val="00D167F4"/>
    <w:rsid w:val="00D31774"/>
    <w:rsid w:val="00D3214D"/>
    <w:rsid w:val="00D430E9"/>
    <w:rsid w:val="00D45320"/>
    <w:rsid w:val="00D47DC8"/>
    <w:rsid w:val="00D64A94"/>
    <w:rsid w:val="00D66A84"/>
    <w:rsid w:val="00D66B7A"/>
    <w:rsid w:val="00D97B34"/>
    <w:rsid w:val="00DA564C"/>
    <w:rsid w:val="00DB39FE"/>
    <w:rsid w:val="00DC0049"/>
    <w:rsid w:val="00DD3799"/>
    <w:rsid w:val="00DD73B6"/>
    <w:rsid w:val="00DD742A"/>
    <w:rsid w:val="00DE45D7"/>
    <w:rsid w:val="00E0336C"/>
    <w:rsid w:val="00E11E21"/>
    <w:rsid w:val="00E177F0"/>
    <w:rsid w:val="00E26478"/>
    <w:rsid w:val="00E2760E"/>
    <w:rsid w:val="00E330F4"/>
    <w:rsid w:val="00E36757"/>
    <w:rsid w:val="00E43669"/>
    <w:rsid w:val="00E503F8"/>
    <w:rsid w:val="00E5596B"/>
    <w:rsid w:val="00E561C1"/>
    <w:rsid w:val="00E730D6"/>
    <w:rsid w:val="00E76E1B"/>
    <w:rsid w:val="00E816EE"/>
    <w:rsid w:val="00E913ED"/>
    <w:rsid w:val="00EB6B31"/>
    <w:rsid w:val="00ED243B"/>
    <w:rsid w:val="00ED56E5"/>
    <w:rsid w:val="00ED5B86"/>
    <w:rsid w:val="00EF0912"/>
    <w:rsid w:val="00EF0ED5"/>
    <w:rsid w:val="00EF317A"/>
    <w:rsid w:val="00F01418"/>
    <w:rsid w:val="00F04162"/>
    <w:rsid w:val="00F24FE3"/>
    <w:rsid w:val="00F50A37"/>
    <w:rsid w:val="00F8725D"/>
    <w:rsid w:val="00F9089A"/>
    <w:rsid w:val="00F9188C"/>
    <w:rsid w:val="00F969C3"/>
    <w:rsid w:val="00FA190F"/>
    <w:rsid w:val="00FA2375"/>
    <w:rsid w:val="00FA3D51"/>
    <w:rsid w:val="00FD666C"/>
    <w:rsid w:val="00FE1EDB"/>
    <w:rsid w:val="00FF56F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D448A2"/>
  <w15:docId w15:val="{083A8579-0DC6-4F38-A471-BEA144474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C3E"/>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Malgun Gothic" w:hAnsi="Times New Roman"/>
      <w:sz w:val="24"/>
      <w:lang w:val="en-GB" w:eastAsia="en-US"/>
    </w:rPr>
  </w:style>
  <w:style w:type="paragraph" w:styleId="Heading1">
    <w:name w:val="heading 1"/>
    <w:basedOn w:val="Normal"/>
    <w:next w:val="Normal"/>
    <w:link w:val="Heading1Char"/>
    <w:uiPriority w:val="9"/>
    <w:qFormat/>
    <w:rsid w:val="009A64BD"/>
    <w:pPr>
      <w:keepNext/>
      <w:keepLines/>
      <w:spacing w:before="360"/>
      <w:ind w:left="794" w:hanging="794"/>
      <w:outlineLvl w:val="0"/>
    </w:pPr>
    <w:rPr>
      <w:b/>
    </w:rPr>
  </w:style>
  <w:style w:type="paragraph" w:styleId="Heading2">
    <w:name w:val="heading 2"/>
    <w:basedOn w:val="Heading1"/>
    <w:next w:val="Normal"/>
    <w:link w:val="Heading2Char"/>
    <w:qFormat/>
    <w:rsid w:val="009A64BD"/>
    <w:pPr>
      <w:spacing w:before="240"/>
      <w:outlineLvl w:val="1"/>
    </w:pPr>
  </w:style>
  <w:style w:type="paragraph" w:styleId="Heading3">
    <w:name w:val="heading 3"/>
    <w:basedOn w:val="Heading1"/>
    <w:next w:val="Normal"/>
    <w:link w:val="Heading3Char"/>
    <w:qFormat/>
    <w:rsid w:val="009A64BD"/>
    <w:pPr>
      <w:spacing w:before="160"/>
      <w:outlineLvl w:val="2"/>
    </w:pPr>
  </w:style>
  <w:style w:type="paragraph" w:styleId="Heading4">
    <w:name w:val="heading 4"/>
    <w:basedOn w:val="Heading3"/>
    <w:next w:val="Normal"/>
    <w:link w:val="Heading4Char"/>
    <w:uiPriority w:val="9"/>
    <w:qFormat/>
    <w:rsid w:val="009A64BD"/>
    <w:pPr>
      <w:tabs>
        <w:tab w:val="clear" w:pos="794"/>
        <w:tab w:val="left" w:pos="1021"/>
      </w:tabs>
      <w:ind w:left="1021" w:hanging="1021"/>
      <w:outlineLvl w:val="3"/>
    </w:pPr>
  </w:style>
  <w:style w:type="paragraph" w:styleId="Heading5">
    <w:name w:val="heading 5"/>
    <w:basedOn w:val="Heading4"/>
    <w:next w:val="Normal"/>
    <w:link w:val="Heading5Char"/>
    <w:uiPriority w:val="9"/>
    <w:qFormat/>
    <w:rsid w:val="009A64BD"/>
    <w:pPr>
      <w:outlineLvl w:val="4"/>
    </w:pPr>
  </w:style>
  <w:style w:type="paragraph" w:styleId="Heading6">
    <w:name w:val="heading 6"/>
    <w:basedOn w:val="Heading4"/>
    <w:next w:val="Normal"/>
    <w:link w:val="Heading6Char"/>
    <w:uiPriority w:val="9"/>
    <w:qFormat/>
    <w:rsid w:val="009A64BD"/>
    <w:pPr>
      <w:tabs>
        <w:tab w:val="clear" w:pos="1021"/>
        <w:tab w:val="clear" w:pos="1191"/>
      </w:tabs>
      <w:ind w:left="1588" w:hanging="1588"/>
      <w:outlineLvl w:val="5"/>
    </w:pPr>
  </w:style>
  <w:style w:type="paragraph" w:styleId="Heading7">
    <w:name w:val="heading 7"/>
    <w:basedOn w:val="Heading6"/>
    <w:next w:val="Normal"/>
    <w:link w:val="Heading7Char"/>
    <w:uiPriority w:val="9"/>
    <w:qFormat/>
    <w:rsid w:val="009A64BD"/>
    <w:pPr>
      <w:outlineLvl w:val="6"/>
    </w:pPr>
  </w:style>
  <w:style w:type="paragraph" w:styleId="Heading8">
    <w:name w:val="heading 8"/>
    <w:basedOn w:val="Heading6"/>
    <w:next w:val="Normal"/>
    <w:link w:val="Heading8Char"/>
    <w:uiPriority w:val="9"/>
    <w:qFormat/>
    <w:rsid w:val="009A64BD"/>
    <w:pPr>
      <w:outlineLvl w:val="7"/>
    </w:pPr>
  </w:style>
  <w:style w:type="paragraph" w:styleId="Heading9">
    <w:name w:val="heading 9"/>
    <w:basedOn w:val="Heading6"/>
    <w:next w:val="Normal"/>
    <w:link w:val="Heading9Char"/>
    <w:uiPriority w:val="9"/>
    <w:qFormat/>
    <w:rsid w:val="009A64B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9A64BD"/>
  </w:style>
  <w:style w:type="paragraph" w:styleId="TOC4">
    <w:name w:val="toc 4"/>
    <w:basedOn w:val="TOC3"/>
    <w:semiHidden/>
    <w:rsid w:val="009A64BD"/>
  </w:style>
  <w:style w:type="paragraph" w:styleId="TOC3">
    <w:name w:val="toc 3"/>
    <w:basedOn w:val="TOC2"/>
    <w:uiPriority w:val="39"/>
    <w:qFormat/>
    <w:rsid w:val="009A64BD"/>
  </w:style>
  <w:style w:type="paragraph" w:styleId="TOC2">
    <w:name w:val="toc 2"/>
    <w:basedOn w:val="TOC1"/>
    <w:uiPriority w:val="39"/>
    <w:qFormat/>
    <w:rsid w:val="009A64BD"/>
    <w:pPr>
      <w:spacing w:before="80"/>
      <w:ind w:left="1531" w:hanging="851"/>
    </w:pPr>
  </w:style>
  <w:style w:type="paragraph" w:styleId="TOC1">
    <w:name w:val="toc 1"/>
    <w:basedOn w:val="Normal"/>
    <w:uiPriority w:val="39"/>
    <w:qFormat/>
    <w:rsid w:val="009A64BD"/>
    <w:pPr>
      <w:tabs>
        <w:tab w:val="clear" w:pos="794"/>
        <w:tab w:val="clear" w:pos="1191"/>
        <w:tab w:val="clear" w:pos="1588"/>
        <w:tab w:val="clear" w:pos="1985"/>
        <w:tab w:val="left" w:pos="964"/>
        <w:tab w:val="left" w:leader="dot" w:pos="8789"/>
        <w:tab w:val="right" w:pos="9639"/>
      </w:tabs>
      <w:ind w:left="680" w:right="851" w:hanging="680"/>
    </w:pPr>
  </w:style>
  <w:style w:type="paragraph" w:styleId="TOC7">
    <w:name w:val="toc 7"/>
    <w:basedOn w:val="TOC4"/>
    <w:semiHidden/>
    <w:rsid w:val="009A64BD"/>
  </w:style>
  <w:style w:type="paragraph" w:styleId="TOC6">
    <w:name w:val="toc 6"/>
    <w:basedOn w:val="TOC4"/>
    <w:semiHidden/>
    <w:rsid w:val="009A64BD"/>
  </w:style>
  <w:style w:type="paragraph" w:styleId="TOC5">
    <w:name w:val="toc 5"/>
    <w:basedOn w:val="TOC4"/>
    <w:semiHidden/>
    <w:rsid w:val="009A64BD"/>
  </w:style>
  <w:style w:type="paragraph" w:styleId="Footer">
    <w:name w:val="footer"/>
    <w:basedOn w:val="Normal"/>
    <w:link w:val="FooterChar"/>
    <w:uiPriority w:val="99"/>
    <w:rsid w:val="009A64BD"/>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aliases w:val="h,Header/Footer"/>
    <w:basedOn w:val="Normal"/>
    <w:link w:val="HeaderChar"/>
    <w:uiPriority w:val="99"/>
    <w:rsid w:val="009A64BD"/>
    <w:pPr>
      <w:tabs>
        <w:tab w:val="clear" w:pos="794"/>
        <w:tab w:val="clear" w:pos="1191"/>
        <w:tab w:val="clear" w:pos="1588"/>
        <w:tab w:val="clear" w:pos="1985"/>
      </w:tabs>
      <w:spacing w:before="0"/>
      <w:jc w:val="center"/>
    </w:pPr>
    <w:rPr>
      <w:sz w:val="18"/>
    </w:rPr>
  </w:style>
  <w:style w:type="character" w:styleId="FootnoteReference">
    <w:name w:val="footnote reference"/>
    <w:aliases w:val="Appel note de bas de p"/>
    <w:basedOn w:val="DefaultParagraphFont"/>
    <w:rsid w:val="009A64BD"/>
    <w:rPr>
      <w:position w:val="6"/>
      <w:sz w:val="18"/>
    </w:rPr>
  </w:style>
  <w:style w:type="paragraph" w:styleId="FootnoteText">
    <w:name w:val="footnote text"/>
    <w:basedOn w:val="Note"/>
    <w:link w:val="FootnoteTextChar"/>
    <w:rsid w:val="009A64BD"/>
    <w:pPr>
      <w:keepLines/>
      <w:tabs>
        <w:tab w:val="left" w:pos="255"/>
      </w:tabs>
      <w:ind w:left="255" w:hanging="255"/>
    </w:pPr>
  </w:style>
  <w:style w:type="paragraph" w:customStyle="1" w:styleId="Note">
    <w:name w:val="Note"/>
    <w:basedOn w:val="Normal"/>
    <w:rsid w:val="009A64BD"/>
    <w:pPr>
      <w:spacing w:before="80"/>
    </w:pPr>
    <w:rPr>
      <w:sz w:val="22"/>
    </w:rPr>
  </w:style>
  <w:style w:type="paragraph" w:customStyle="1" w:styleId="enumlev1">
    <w:name w:val="enumlev1"/>
    <w:basedOn w:val="Normal"/>
    <w:rsid w:val="009A64BD"/>
    <w:pPr>
      <w:spacing w:before="80"/>
      <w:ind w:left="794" w:hanging="794"/>
    </w:pPr>
  </w:style>
  <w:style w:type="paragraph" w:customStyle="1" w:styleId="enumlev2">
    <w:name w:val="enumlev2"/>
    <w:basedOn w:val="enumlev1"/>
    <w:rsid w:val="009A64BD"/>
    <w:pPr>
      <w:ind w:left="1191" w:hanging="397"/>
    </w:pPr>
  </w:style>
  <w:style w:type="paragraph" w:customStyle="1" w:styleId="enumlev3">
    <w:name w:val="enumlev3"/>
    <w:basedOn w:val="enumlev2"/>
    <w:rsid w:val="009A64BD"/>
    <w:pPr>
      <w:ind w:left="1588"/>
    </w:pPr>
  </w:style>
  <w:style w:type="paragraph" w:customStyle="1" w:styleId="Equation">
    <w:name w:val="Equation"/>
    <w:basedOn w:val="Normal"/>
    <w:rsid w:val="009A64BD"/>
    <w:pPr>
      <w:tabs>
        <w:tab w:val="clear" w:pos="1191"/>
        <w:tab w:val="clear" w:pos="1588"/>
        <w:tab w:val="clear" w:pos="1985"/>
        <w:tab w:val="center" w:pos="4820"/>
        <w:tab w:val="right" w:pos="9639"/>
      </w:tabs>
    </w:pPr>
  </w:style>
  <w:style w:type="paragraph" w:customStyle="1" w:styleId="toc0">
    <w:name w:val="toc 0"/>
    <w:basedOn w:val="Normal"/>
    <w:next w:val="TOC1"/>
    <w:rsid w:val="009A64BD"/>
    <w:pPr>
      <w:keepLines/>
      <w:tabs>
        <w:tab w:val="clear" w:pos="794"/>
        <w:tab w:val="clear" w:pos="1191"/>
        <w:tab w:val="clear" w:pos="1588"/>
        <w:tab w:val="clear" w:pos="1985"/>
        <w:tab w:val="right" w:pos="9639"/>
      </w:tabs>
    </w:pPr>
    <w:rPr>
      <w:b/>
    </w:rPr>
  </w:style>
  <w:style w:type="paragraph" w:customStyle="1" w:styleId="ASN1">
    <w:name w:val="ASN.1"/>
    <w:rsid w:val="009A64BD"/>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styleId="TOC9">
    <w:name w:val="toc 9"/>
    <w:basedOn w:val="TOC3"/>
    <w:semiHidden/>
    <w:rsid w:val="009A64BD"/>
  </w:style>
  <w:style w:type="paragraph" w:customStyle="1" w:styleId="Chaptitle">
    <w:name w:val="Chap_title"/>
    <w:basedOn w:val="Normal"/>
    <w:next w:val="Normalaftertitle"/>
    <w:rsid w:val="009A64BD"/>
    <w:pPr>
      <w:keepNext/>
      <w:keepLines/>
      <w:spacing w:before="240"/>
      <w:jc w:val="center"/>
    </w:pPr>
    <w:rPr>
      <w:b/>
      <w:sz w:val="28"/>
    </w:rPr>
  </w:style>
  <w:style w:type="character" w:styleId="PageNumber">
    <w:name w:val="page number"/>
    <w:basedOn w:val="DefaultParagraphFont"/>
    <w:rsid w:val="009A64BD"/>
  </w:style>
  <w:style w:type="paragraph" w:styleId="Index1">
    <w:name w:val="index 1"/>
    <w:basedOn w:val="Normal"/>
    <w:next w:val="Normal"/>
    <w:semiHidden/>
    <w:rsid w:val="009A64BD"/>
  </w:style>
  <w:style w:type="paragraph" w:customStyle="1" w:styleId="AnnexNoTitle">
    <w:name w:val="Annex_NoTitle"/>
    <w:basedOn w:val="Normal"/>
    <w:next w:val="Normalaftertitle"/>
    <w:rsid w:val="00E503F8"/>
    <w:pPr>
      <w:keepNext/>
      <w:keepLines/>
      <w:spacing w:before="720"/>
      <w:jc w:val="center"/>
      <w:outlineLvl w:val="0"/>
    </w:pPr>
    <w:rPr>
      <w:b/>
      <w:sz w:val="28"/>
    </w:rPr>
  </w:style>
  <w:style w:type="character" w:customStyle="1" w:styleId="Appdef">
    <w:name w:val="App_def"/>
    <w:basedOn w:val="DefaultParagraphFont"/>
    <w:rsid w:val="009A64BD"/>
    <w:rPr>
      <w:rFonts w:ascii="Times New Roman" w:hAnsi="Times New Roman"/>
      <w:b/>
    </w:rPr>
  </w:style>
  <w:style w:type="character" w:customStyle="1" w:styleId="Appref">
    <w:name w:val="App_ref"/>
    <w:basedOn w:val="DefaultParagraphFont"/>
    <w:rsid w:val="009A64BD"/>
  </w:style>
  <w:style w:type="paragraph" w:customStyle="1" w:styleId="AppendixNoTitle">
    <w:name w:val="Appendix_NoTitle"/>
    <w:basedOn w:val="AnnexNoTitle"/>
    <w:next w:val="Normalaftertitle"/>
    <w:rsid w:val="009A64BD"/>
  </w:style>
  <w:style w:type="character" w:customStyle="1" w:styleId="Artdef">
    <w:name w:val="Art_def"/>
    <w:basedOn w:val="DefaultParagraphFont"/>
    <w:rsid w:val="009A64BD"/>
    <w:rPr>
      <w:rFonts w:ascii="Times New Roman" w:hAnsi="Times New Roman"/>
      <w:b/>
    </w:rPr>
  </w:style>
  <w:style w:type="character" w:styleId="CommentReference">
    <w:name w:val="annotation reference"/>
    <w:basedOn w:val="DefaultParagraphFont"/>
    <w:uiPriority w:val="99"/>
    <w:rsid w:val="009A64BD"/>
    <w:rPr>
      <w:sz w:val="16"/>
      <w:szCs w:val="16"/>
    </w:rPr>
  </w:style>
  <w:style w:type="paragraph" w:customStyle="1" w:styleId="Reftitle">
    <w:name w:val="Ref_title"/>
    <w:basedOn w:val="Normal"/>
    <w:next w:val="Reftext"/>
    <w:rsid w:val="009A64BD"/>
    <w:pPr>
      <w:spacing w:before="480"/>
      <w:jc w:val="center"/>
    </w:pPr>
    <w:rPr>
      <w:b/>
    </w:rPr>
  </w:style>
  <w:style w:type="paragraph" w:customStyle="1" w:styleId="ArtNo">
    <w:name w:val="Art_No"/>
    <w:basedOn w:val="Normal"/>
    <w:next w:val="Arttitle"/>
    <w:rsid w:val="009A64BD"/>
    <w:pPr>
      <w:keepNext/>
      <w:keepLines/>
      <w:spacing w:before="480"/>
      <w:jc w:val="center"/>
    </w:pPr>
    <w:rPr>
      <w:caps/>
      <w:sz w:val="28"/>
    </w:rPr>
  </w:style>
  <w:style w:type="paragraph" w:customStyle="1" w:styleId="Arttitle">
    <w:name w:val="Art_title"/>
    <w:basedOn w:val="Normal"/>
    <w:next w:val="Normalaftertitle"/>
    <w:rsid w:val="009A64BD"/>
    <w:pPr>
      <w:keepNext/>
      <w:keepLines/>
      <w:spacing w:before="240"/>
      <w:jc w:val="center"/>
    </w:pPr>
    <w:rPr>
      <w:b/>
      <w:sz w:val="28"/>
    </w:rPr>
  </w:style>
  <w:style w:type="character" w:customStyle="1" w:styleId="Artref">
    <w:name w:val="Art_ref"/>
    <w:basedOn w:val="DefaultParagraphFont"/>
    <w:rsid w:val="009A64BD"/>
  </w:style>
  <w:style w:type="paragraph" w:customStyle="1" w:styleId="Call">
    <w:name w:val="Call"/>
    <w:basedOn w:val="Normal"/>
    <w:next w:val="Normal"/>
    <w:rsid w:val="009A64BD"/>
    <w:pPr>
      <w:keepNext/>
      <w:keepLines/>
      <w:spacing w:before="160"/>
      <w:ind w:left="794"/>
    </w:pPr>
    <w:rPr>
      <w:i/>
    </w:rPr>
  </w:style>
  <w:style w:type="paragraph" w:customStyle="1" w:styleId="ChapNo">
    <w:name w:val="Chap_No"/>
    <w:basedOn w:val="Normal"/>
    <w:next w:val="Chaptitle"/>
    <w:rsid w:val="009A64BD"/>
    <w:pPr>
      <w:keepNext/>
      <w:keepLines/>
      <w:spacing w:before="480"/>
      <w:jc w:val="center"/>
    </w:pPr>
    <w:rPr>
      <w:b/>
      <w:caps/>
      <w:sz w:val="28"/>
    </w:rPr>
  </w:style>
  <w:style w:type="paragraph" w:customStyle="1" w:styleId="Equationlegend">
    <w:name w:val="Equation_legend"/>
    <w:basedOn w:val="Normal"/>
    <w:rsid w:val="009A64BD"/>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9A64BD"/>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rsid w:val="009A64BD"/>
    <w:pPr>
      <w:keepNext/>
      <w:keepLines/>
      <w:spacing w:before="240" w:after="120"/>
      <w:jc w:val="center"/>
    </w:pPr>
  </w:style>
  <w:style w:type="paragraph" w:customStyle="1" w:styleId="FigureNoTitle">
    <w:name w:val="Figure_NoTitle"/>
    <w:basedOn w:val="Normal"/>
    <w:next w:val="Normalaftertitle"/>
    <w:rsid w:val="009A64BD"/>
    <w:pPr>
      <w:keepLines/>
      <w:spacing w:before="240" w:after="120"/>
      <w:jc w:val="center"/>
    </w:pPr>
    <w:rPr>
      <w:b/>
    </w:rPr>
  </w:style>
  <w:style w:type="paragraph" w:customStyle="1" w:styleId="Figurewithouttitle">
    <w:name w:val="Figure_without_title"/>
    <w:basedOn w:val="Normal"/>
    <w:next w:val="Normalaftertitle"/>
    <w:rsid w:val="009A64BD"/>
    <w:pPr>
      <w:keepLines/>
      <w:spacing w:before="240" w:after="120"/>
      <w:jc w:val="center"/>
    </w:pPr>
  </w:style>
  <w:style w:type="paragraph" w:customStyle="1" w:styleId="FooterQP">
    <w:name w:val="Footer_QP"/>
    <w:basedOn w:val="Normal"/>
    <w:rsid w:val="009A64BD"/>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irstFooter">
    <w:name w:val="FirstFooter"/>
    <w:basedOn w:val="Footer"/>
    <w:rsid w:val="009A64BD"/>
    <w:pPr>
      <w:tabs>
        <w:tab w:val="clear" w:pos="5954"/>
        <w:tab w:val="clear" w:pos="9639"/>
      </w:tabs>
      <w:overflowPunct/>
      <w:autoSpaceDE/>
      <w:autoSpaceDN/>
      <w:adjustRightInd/>
      <w:spacing w:before="40"/>
      <w:textAlignment w:val="auto"/>
    </w:pPr>
    <w:rPr>
      <w:caps w:val="0"/>
      <w:noProof w:val="0"/>
    </w:rPr>
  </w:style>
  <w:style w:type="paragraph" w:customStyle="1" w:styleId="Formal">
    <w:name w:val="Formal"/>
    <w:basedOn w:val="ASN1"/>
    <w:rsid w:val="009A64BD"/>
    <w:rPr>
      <w:b w:val="0"/>
    </w:rPr>
  </w:style>
  <w:style w:type="paragraph" w:customStyle="1" w:styleId="Headingb">
    <w:name w:val="Heading_b"/>
    <w:basedOn w:val="Normal"/>
    <w:next w:val="Normal"/>
    <w:rsid w:val="009A64BD"/>
    <w:pPr>
      <w:keepNext/>
      <w:spacing w:before="160"/>
    </w:pPr>
    <w:rPr>
      <w:b/>
    </w:rPr>
  </w:style>
  <w:style w:type="paragraph" w:customStyle="1" w:styleId="Headingi">
    <w:name w:val="Heading_i"/>
    <w:basedOn w:val="Normal"/>
    <w:next w:val="Normal"/>
    <w:rsid w:val="009A64BD"/>
    <w:pPr>
      <w:keepNext/>
      <w:spacing w:before="160"/>
    </w:pPr>
    <w:rPr>
      <w:i/>
    </w:rPr>
  </w:style>
  <w:style w:type="paragraph" w:styleId="Index2">
    <w:name w:val="index 2"/>
    <w:basedOn w:val="Normal"/>
    <w:next w:val="Normal"/>
    <w:semiHidden/>
    <w:rsid w:val="009A64BD"/>
    <w:pPr>
      <w:ind w:left="284"/>
    </w:pPr>
  </w:style>
  <w:style w:type="paragraph" w:styleId="Index3">
    <w:name w:val="index 3"/>
    <w:basedOn w:val="Normal"/>
    <w:next w:val="Normal"/>
    <w:semiHidden/>
    <w:rsid w:val="009A64BD"/>
    <w:pPr>
      <w:ind w:left="567"/>
    </w:pPr>
  </w:style>
  <w:style w:type="paragraph" w:customStyle="1" w:styleId="Normalaftertitle">
    <w:name w:val="Normal_after_title"/>
    <w:basedOn w:val="Normal"/>
    <w:next w:val="Normal"/>
    <w:rsid w:val="009A64BD"/>
    <w:pPr>
      <w:spacing w:before="360"/>
    </w:pPr>
  </w:style>
  <w:style w:type="paragraph" w:customStyle="1" w:styleId="PartNo">
    <w:name w:val="Part_No"/>
    <w:basedOn w:val="Normal"/>
    <w:next w:val="Partref"/>
    <w:rsid w:val="009A64BD"/>
    <w:pPr>
      <w:keepNext/>
      <w:keepLines/>
      <w:spacing w:before="480" w:after="80"/>
      <w:jc w:val="center"/>
    </w:pPr>
    <w:rPr>
      <w:caps/>
      <w:sz w:val="28"/>
    </w:rPr>
  </w:style>
  <w:style w:type="paragraph" w:customStyle="1" w:styleId="Partref">
    <w:name w:val="Part_ref"/>
    <w:basedOn w:val="Normal"/>
    <w:next w:val="Parttitle"/>
    <w:rsid w:val="009A64BD"/>
    <w:pPr>
      <w:keepNext/>
      <w:keepLines/>
      <w:spacing w:before="280"/>
      <w:jc w:val="center"/>
    </w:pPr>
  </w:style>
  <w:style w:type="paragraph" w:customStyle="1" w:styleId="Parttitle">
    <w:name w:val="Part_title"/>
    <w:basedOn w:val="Normal"/>
    <w:next w:val="Normalaftertitle"/>
    <w:rsid w:val="009A64BD"/>
    <w:pPr>
      <w:keepNext/>
      <w:keepLines/>
      <w:spacing w:before="240" w:after="280"/>
      <w:jc w:val="center"/>
    </w:pPr>
    <w:rPr>
      <w:b/>
      <w:sz w:val="28"/>
    </w:rPr>
  </w:style>
  <w:style w:type="paragraph" w:customStyle="1" w:styleId="Recdate">
    <w:name w:val="Rec_date"/>
    <w:basedOn w:val="Normal"/>
    <w:next w:val="Normalaftertitle"/>
    <w:rsid w:val="009A64BD"/>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9A64BD"/>
  </w:style>
  <w:style w:type="paragraph" w:customStyle="1" w:styleId="RecNo">
    <w:name w:val="Rec_No"/>
    <w:basedOn w:val="Normal"/>
    <w:next w:val="Rectitle"/>
    <w:rsid w:val="009A64BD"/>
    <w:pPr>
      <w:keepNext/>
      <w:keepLines/>
      <w:spacing w:before="0"/>
    </w:pPr>
    <w:rPr>
      <w:b/>
      <w:sz w:val="28"/>
    </w:rPr>
  </w:style>
  <w:style w:type="paragraph" w:customStyle="1" w:styleId="QuestionNo">
    <w:name w:val="Question_No"/>
    <w:basedOn w:val="RecNo"/>
    <w:next w:val="Questiontitle"/>
    <w:rsid w:val="009A64BD"/>
  </w:style>
  <w:style w:type="paragraph" w:customStyle="1" w:styleId="Recref">
    <w:name w:val="Rec_ref"/>
    <w:basedOn w:val="Normal"/>
    <w:next w:val="Recdate"/>
    <w:rsid w:val="009A64BD"/>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9A64BD"/>
  </w:style>
  <w:style w:type="paragraph" w:customStyle="1" w:styleId="Rectitle">
    <w:name w:val="Rec_title"/>
    <w:basedOn w:val="Normal"/>
    <w:next w:val="Normalaftertitle"/>
    <w:rsid w:val="009A64BD"/>
    <w:pPr>
      <w:keepNext/>
      <w:keepLines/>
      <w:spacing w:before="360"/>
      <w:jc w:val="center"/>
    </w:pPr>
    <w:rPr>
      <w:b/>
      <w:sz w:val="28"/>
    </w:rPr>
  </w:style>
  <w:style w:type="paragraph" w:customStyle="1" w:styleId="Questiontitle">
    <w:name w:val="Question_title"/>
    <w:basedOn w:val="Rectitle"/>
    <w:next w:val="Questionref"/>
    <w:rsid w:val="009A64BD"/>
  </w:style>
  <w:style w:type="paragraph" w:customStyle="1" w:styleId="Reftext">
    <w:name w:val="Ref_text"/>
    <w:basedOn w:val="Normal"/>
    <w:rsid w:val="009A64BD"/>
    <w:pPr>
      <w:ind w:left="794" w:hanging="794"/>
    </w:pPr>
  </w:style>
  <w:style w:type="paragraph" w:customStyle="1" w:styleId="Repdate">
    <w:name w:val="Rep_date"/>
    <w:basedOn w:val="Recdate"/>
    <w:next w:val="Normalaftertitle"/>
    <w:rsid w:val="009A64BD"/>
  </w:style>
  <w:style w:type="paragraph" w:customStyle="1" w:styleId="RepNo">
    <w:name w:val="Rep_No"/>
    <w:basedOn w:val="RecNo"/>
    <w:next w:val="Reptitle"/>
    <w:rsid w:val="009A64BD"/>
  </w:style>
  <w:style w:type="paragraph" w:customStyle="1" w:styleId="Repref">
    <w:name w:val="Rep_ref"/>
    <w:basedOn w:val="Recref"/>
    <w:next w:val="Repdate"/>
    <w:rsid w:val="009A64BD"/>
  </w:style>
  <w:style w:type="paragraph" w:customStyle="1" w:styleId="Reptitle">
    <w:name w:val="Rep_title"/>
    <w:basedOn w:val="Rectitle"/>
    <w:next w:val="Repref"/>
    <w:rsid w:val="009A64BD"/>
  </w:style>
  <w:style w:type="paragraph" w:customStyle="1" w:styleId="Resdate">
    <w:name w:val="Res_date"/>
    <w:basedOn w:val="Recdate"/>
    <w:next w:val="Normalaftertitle"/>
    <w:rsid w:val="009A64BD"/>
  </w:style>
  <w:style w:type="character" w:customStyle="1" w:styleId="Resdef">
    <w:name w:val="Res_def"/>
    <w:basedOn w:val="DefaultParagraphFont"/>
    <w:rsid w:val="009A64BD"/>
    <w:rPr>
      <w:rFonts w:ascii="Times New Roman" w:hAnsi="Times New Roman"/>
      <w:b/>
    </w:rPr>
  </w:style>
  <w:style w:type="paragraph" w:customStyle="1" w:styleId="ResNo">
    <w:name w:val="Res_No"/>
    <w:basedOn w:val="RecNo"/>
    <w:next w:val="Restitle"/>
    <w:rsid w:val="009A64BD"/>
  </w:style>
  <w:style w:type="paragraph" w:customStyle="1" w:styleId="Resref">
    <w:name w:val="Res_ref"/>
    <w:basedOn w:val="Recref"/>
    <w:next w:val="Resdate"/>
    <w:rsid w:val="009A64BD"/>
  </w:style>
  <w:style w:type="paragraph" w:customStyle="1" w:styleId="Restitle">
    <w:name w:val="Res_title"/>
    <w:basedOn w:val="Rectitle"/>
    <w:next w:val="Resref"/>
    <w:rsid w:val="009A64BD"/>
  </w:style>
  <w:style w:type="paragraph" w:customStyle="1" w:styleId="Section1">
    <w:name w:val="Section_1"/>
    <w:basedOn w:val="Normal"/>
    <w:next w:val="Normal"/>
    <w:rsid w:val="009A64B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A64BD"/>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9A64BD"/>
    <w:pPr>
      <w:keepNext/>
      <w:keepLines/>
      <w:spacing w:before="480" w:after="80"/>
      <w:jc w:val="center"/>
    </w:pPr>
    <w:rPr>
      <w:caps/>
      <w:sz w:val="28"/>
    </w:rPr>
  </w:style>
  <w:style w:type="paragraph" w:customStyle="1" w:styleId="Sectiontitle">
    <w:name w:val="Section_title"/>
    <w:basedOn w:val="Normal"/>
    <w:next w:val="Normalaftertitle"/>
    <w:rsid w:val="009A64BD"/>
    <w:pPr>
      <w:keepNext/>
      <w:keepLines/>
      <w:spacing w:before="480" w:after="280"/>
      <w:jc w:val="center"/>
    </w:pPr>
    <w:rPr>
      <w:b/>
      <w:sz w:val="28"/>
    </w:rPr>
  </w:style>
  <w:style w:type="paragraph" w:customStyle="1" w:styleId="Source">
    <w:name w:val="Source"/>
    <w:basedOn w:val="Normal"/>
    <w:next w:val="Normalaftertitle"/>
    <w:rsid w:val="009A64BD"/>
    <w:pPr>
      <w:spacing w:before="840" w:after="200"/>
      <w:jc w:val="center"/>
    </w:pPr>
    <w:rPr>
      <w:b/>
      <w:sz w:val="28"/>
    </w:rPr>
  </w:style>
  <w:style w:type="paragraph" w:customStyle="1" w:styleId="SpecialFooter">
    <w:name w:val="Special Footer"/>
    <w:basedOn w:val="Footer"/>
    <w:rsid w:val="009A64BD"/>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9A64BD"/>
    <w:rPr>
      <w:b/>
      <w:color w:val="auto"/>
    </w:rPr>
  </w:style>
  <w:style w:type="paragraph" w:customStyle="1" w:styleId="Tablehead">
    <w:name w:val="Table_head"/>
    <w:basedOn w:val="Normal"/>
    <w:next w:val="Tabletext"/>
    <w:rsid w:val="009A64B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styleId="CommentText">
    <w:name w:val="annotation text"/>
    <w:basedOn w:val="Normal"/>
    <w:link w:val="CommentTextChar1"/>
    <w:uiPriority w:val="99"/>
    <w:rsid w:val="009A64BD"/>
    <w:pPr>
      <w:tabs>
        <w:tab w:val="clear" w:pos="794"/>
        <w:tab w:val="clear" w:pos="1191"/>
        <w:tab w:val="clear" w:pos="1588"/>
        <w:tab w:val="clear" w:pos="1985"/>
      </w:tabs>
      <w:overflowPunct/>
      <w:autoSpaceDE/>
      <w:autoSpaceDN/>
      <w:adjustRightInd/>
      <w:spacing w:before="0"/>
      <w:textAlignment w:val="auto"/>
    </w:pPr>
    <w:rPr>
      <w:sz w:val="20"/>
      <w:lang w:val="en-US"/>
    </w:rPr>
  </w:style>
  <w:style w:type="paragraph" w:customStyle="1" w:styleId="Tabletext">
    <w:name w:val="Table_text"/>
    <w:basedOn w:val="Normal"/>
    <w:rsid w:val="009A64B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Title">
    <w:name w:val="Table_NoTitle"/>
    <w:basedOn w:val="Normal"/>
    <w:next w:val="Tablehead"/>
    <w:rsid w:val="009A64BD"/>
    <w:pPr>
      <w:keepNext/>
      <w:keepLines/>
      <w:spacing w:before="360" w:after="120"/>
      <w:jc w:val="center"/>
    </w:pPr>
    <w:rPr>
      <w:b/>
    </w:rPr>
  </w:style>
  <w:style w:type="paragraph" w:customStyle="1" w:styleId="Title1">
    <w:name w:val="Title 1"/>
    <w:basedOn w:val="Source"/>
    <w:next w:val="Title2"/>
    <w:rsid w:val="009A64B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A64BD"/>
  </w:style>
  <w:style w:type="paragraph" w:customStyle="1" w:styleId="Title3">
    <w:name w:val="Title 3"/>
    <w:basedOn w:val="Title2"/>
    <w:next w:val="Title4"/>
    <w:rsid w:val="009A64BD"/>
    <w:rPr>
      <w:caps w:val="0"/>
    </w:rPr>
  </w:style>
  <w:style w:type="paragraph" w:customStyle="1" w:styleId="Title4">
    <w:name w:val="Title 4"/>
    <w:basedOn w:val="Title3"/>
    <w:next w:val="Heading1"/>
    <w:rsid w:val="009A64BD"/>
    <w:rPr>
      <w:b/>
    </w:rPr>
  </w:style>
  <w:style w:type="paragraph" w:customStyle="1" w:styleId="Artheading">
    <w:name w:val="Art_heading"/>
    <w:basedOn w:val="Normal"/>
    <w:next w:val="Normalaftertitle"/>
    <w:rsid w:val="009A64BD"/>
    <w:pPr>
      <w:spacing w:before="480"/>
      <w:jc w:val="center"/>
    </w:pPr>
    <w:rPr>
      <w:b/>
      <w:sz w:val="28"/>
    </w:rPr>
  </w:style>
  <w:style w:type="character" w:styleId="Hyperlink">
    <w:name w:val="Hyperlink"/>
    <w:basedOn w:val="DefaultParagraphFont"/>
    <w:uiPriority w:val="99"/>
    <w:rsid w:val="009A64BD"/>
    <w:rPr>
      <w:color w:val="0000FF"/>
      <w:u w:val="single"/>
    </w:rPr>
  </w:style>
  <w:style w:type="paragraph" w:styleId="BalloonText">
    <w:name w:val="Balloon Text"/>
    <w:basedOn w:val="Normal"/>
    <w:link w:val="BalloonTextChar"/>
    <w:uiPriority w:val="99"/>
    <w:rsid w:val="00A9292D"/>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A9292D"/>
    <w:rPr>
      <w:rFonts w:ascii="Tahoma" w:hAnsi="Tahoma" w:cs="Tahoma"/>
      <w:sz w:val="16"/>
      <w:szCs w:val="16"/>
      <w:lang w:val="en-GB" w:eastAsia="en-US"/>
    </w:rPr>
  </w:style>
  <w:style w:type="paragraph" w:customStyle="1" w:styleId="AnnexNotitle0">
    <w:name w:val="Annex_No &amp; title"/>
    <w:basedOn w:val="Normal"/>
    <w:next w:val="Normal"/>
    <w:rsid w:val="00AA662C"/>
    <w:pPr>
      <w:keepNext/>
      <w:keepLines/>
      <w:spacing w:before="480"/>
      <w:jc w:val="center"/>
    </w:pPr>
    <w:rPr>
      <w:b/>
      <w:sz w:val="28"/>
    </w:rPr>
  </w:style>
  <w:style w:type="paragraph" w:customStyle="1" w:styleId="AppendixNotitle0">
    <w:name w:val="Appendix_No &amp; title"/>
    <w:basedOn w:val="AnnexNotitle0"/>
    <w:next w:val="Normal"/>
    <w:rsid w:val="00AA662C"/>
  </w:style>
  <w:style w:type="character" w:styleId="EndnoteReference">
    <w:name w:val="endnote reference"/>
    <w:semiHidden/>
    <w:rsid w:val="00AA662C"/>
    <w:rPr>
      <w:vertAlign w:val="superscript"/>
    </w:rPr>
  </w:style>
  <w:style w:type="paragraph" w:customStyle="1" w:styleId="FigureNotitle0">
    <w:name w:val="Figure_No &amp; title"/>
    <w:basedOn w:val="Normal"/>
    <w:next w:val="Normal"/>
    <w:rsid w:val="00AA662C"/>
    <w:pPr>
      <w:keepLines/>
      <w:spacing w:before="240" w:after="120"/>
      <w:jc w:val="center"/>
    </w:pPr>
    <w:rPr>
      <w:b/>
    </w:rPr>
  </w:style>
  <w:style w:type="paragraph" w:customStyle="1" w:styleId="FigureNoBR">
    <w:name w:val="Figure_No_BR"/>
    <w:basedOn w:val="Normal"/>
    <w:next w:val="Normal"/>
    <w:rsid w:val="00AA662C"/>
    <w:pPr>
      <w:keepNext/>
      <w:keepLines/>
      <w:spacing w:before="480" w:after="120"/>
      <w:jc w:val="center"/>
    </w:pPr>
    <w:rPr>
      <w:caps/>
    </w:rPr>
  </w:style>
  <w:style w:type="paragraph" w:customStyle="1" w:styleId="TabletitleBR">
    <w:name w:val="Table_title_BR"/>
    <w:basedOn w:val="Normal"/>
    <w:next w:val="Normal"/>
    <w:rsid w:val="00AA662C"/>
    <w:pPr>
      <w:keepNext/>
      <w:keepLines/>
      <w:spacing w:before="0" w:after="120"/>
      <w:jc w:val="center"/>
    </w:pPr>
    <w:rPr>
      <w:b/>
    </w:rPr>
  </w:style>
  <w:style w:type="paragraph" w:customStyle="1" w:styleId="FiguretitleBR">
    <w:name w:val="Figure_title_BR"/>
    <w:basedOn w:val="TabletitleBR"/>
    <w:next w:val="Normal"/>
    <w:rsid w:val="00AA662C"/>
    <w:pPr>
      <w:keepNext w:val="0"/>
      <w:spacing w:after="480"/>
    </w:pPr>
  </w:style>
  <w:style w:type="paragraph" w:customStyle="1" w:styleId="RecNoBR">
    <w:name w:val="Rec_No_BR"/>
    <w:basedOn w:val="Normal"/>
    <w:next w:val="Normal"/>
    <w:rsid w:val="00AA662C"/>
    <w:pPr>
      <w:keepNext/>
      <w:keepLines/>
      <w:spacing w:before="480"/>
      <w:jc w:val="center"/>
    </w:pPr>
    <w:rPr>
      <w:caps/>
      <w:sz w:val="28"/>
    </w:rPr>
  </w:style>
  <w:style w:type="paragraph" w:customStyle="1" w:styleId="QuestionNoBR">
    <w:name w:val="Question_No_BR"/>
    <w:basedOn w:val="RecNoBR"/>
    <w:next w:val="Normal"/>
    <w:rsid w:val="00AA662C"/>
  </w:style>
  <w:style w:type="character" w:customStyle="1" w:styleId="Recdef">
    <w:name w:val="Rec_def"/>
    <w:rsid w:val="00AA662C"/>
    <w:rPr>
      <w:b/>
    </w:rPr>
  </w:style>
  <w:style w:type="paragraph" w:customStyle="1" w:styleId="RepNoBR">
    <w:name w:val="Rep_No_BR"/>
    <w:basedOn w:val="RecNoBR"/>
    <w:next w:val="Normal"/>
    <w:rsid w:val="00AA662C"/>
  </w:style>
  <w:style w:type="paragraph" w:customStyle="1" w:styleId="ResNoBR">
    <w:name w:val="Res_No_BR"/>
    <w:basedOn w:val="RecNoBR"/>
    <w:next w:val="Normal"/>
    <w:rsid w:val="00AA662C"/>
  </w:style>
  <w:style w:type="paragraph" w:customStyle="1" w:styleId="TableNotitle0">
    <w:name w:val="Table_No &amp; title"/>
    <w:basedOn w:val="Normal"/>
    <w:next w:val="Tablehead"/>
    <w:rsid w:val="00AA662C"/>
    <w:pPr>
      <w:keepNext/>
      <w:keepLines/>
      <w:spacing w:before="360" w:after="120"/>
      <w:jc w:val="center"/>
    </w:pPr>
    <w:rPr>
      <w:b/>
    </w:rPr>
  </w:style>
  <w:style w:type="paragraph" w:customStyle="1" w:styleId="TableNoBR">
    <w:name w:val="Table_No_BR"/>
    <w:basedOn w:val="Normal"/>
    <w:next w:val="TabletitleBR"/>
    <w:rsid w:val="00AA662C"/>
    <w:pPr>
      <w:keepNext/>
      <w:spacing w:before="560" w:after="120"/>
      <w:jc w:val="center"/>
    </w:pPr>
    <w:rPr>
      <w:caps/>
    </w:rPr>
  </w:style>
  <w:style w:type="paragraph" w:customStyle="1" w:styleId="Tableref">
    <w:name w:val="Table_ref"/>
    <w:basedOn w:val="Normal"/>
    <w:next w:val="TabletitleBR"/>
    <w:rsid w:val="00AA662C"/>
    <w:pPr>
      <w:keepNext/>
      <w:spacing w:before="0" w:after="120"/>
      <w:jc w:val="center"/>
    </w:pPr>
  </w:style>
  <w:style w:type="character" w:customStyle="1" w:styleId="Heading1Char">
    <w:name w:val="Heading 1 Char"/>
    <w:link w:val="Heading1"/>
    <w:uiPriority w:val="9"/>
    <w:locked/>
    <w:rsid w:val="00AA662C"/>
    <w:rPr>
      <w:rFonts w:ascii="Times New Roman" w:hAnsi="Times New Roman"/>
      <w:b/>
      <w:sz w:val="24"/>
      <w:lang w:val="en-GB" w:eastAsia="en-US"/>
    </w:rPr>
  </w:style>
  <w:style w:type="character" w:customStyle="1" w:styleId="Heading2Char">
    <w:name w:val="Heading 2 Char"/>
    <w:link w:val="Heading2"/>
    <w:locked/>
    <w:rsid w:val="00AA662C"/>
    <w:rPr>
      <w:rFonts w:ascii="Times New Roman" w:hAnsi="Times New Roman"/>
      <w:b/>
      <w:sz w:val="24"/>
      <w:lang w:val="en-GB" w:eastAsia="en-US"/>
    </w:rPr>
  </w:style>
  <w:style w:type="table" w:styleId="TableGrid">
    <w:name w:val="Table Grid"/>
    <w:basedOn w:val="TableNormal"/>
    <w:uiPriority w:val="59"/>
    <w:rsid w:val="00AA662C"/>
    <w:rPr>
      <w:rFonts w:ascii="Times New Roman" w:eastAsia="Malgun Gothic"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662C"/>
    <w:pPr>
      <w:widowControl w:val="0"/>
      <w:autoSpaceDE w:val="0"/>
      <w:autoSpaceDN w:val="0"/>
      <w:adjustRightInd w:val="0"/>
    </w:pPr>
    <w:rPr>
      <w:rFonts w:ascii="Wingdings" w:eastAsia="Malgun Gothic" w:hAnsi="Wingdings" w:cs="Wingdings"/>
      <w:color w:val="000000"/>
      <w:sz w:val="24"/>
      <w:szCs w:val="24"/>
      <w:lang w:eastAsia="ja-JP"/>
    </w:rPr>
  </w:style>
  <w:style w:type="character" w:customStyle="1" w:styleId="CommentTextChar">
    <w:name w:val="Comment Text Char"/>
    <w:uiPriority w:val="99"/>
    <w:rsid w:val="00AA662C"/>
    <w:rPr>
      <w:sz w:val="24"/>
      <w:lang w:val="en-GB" w:eastAsia="en-US"/>
    </w:rPr>
  </w:style>
  <w:style w:type="paragraph" w:styleId="CommentSubject">
    <w:name w:val="annotation subject"/>
    <w:basedOn w:val="CommentText"/>
    <w:next w:val="CommentText"/>
    <w:link w:val="CommentSubjectChar"/>
    <w:uiPriority w:val="99"/>
    <w:rsid w:val="00AA662C"/>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TextChar1">
    <w:name w:val="Comment Text Char1"/>
    <w:basedOn w:val="DefaultParagraphFont"/>
    <w:link w:val="CommentText"/>
    <w:uiPriority w:val="99"/>
    <w:rsid w:val="00AA662C"/>
    <w:rPr>
      <w:rFonts w:ascii="Times New Roman" w:hAnsi="Times New Roman"/>
      <w:lang w:eastAsia="en-US"/>
    </w:rPr>
  </w:style>
  <w:style w:type="character" w:customStyle="1" w:styleId="CommentSubjectChar">
    <w:name w:val="Comment Subject Char"/>
    <w:basedOn w:val="CommentTextChar1"/>
    <w:link w:val="CommentSubject"/>
    <w:uiPriority w:val="99"/>
    <w:rsid w:val="00AA662C"/>
    <w:rPr>
      <w:rFonts w:ascii="Times New Roman" w:eastAsia="Malgun Gothic" w:hAnsi="Times New Roman"/>
      <w:b/>
      <w:bCs/>
      <w:sz w:val="24"/>
      <w:lang w:val="en-GB" w:eastAsia="en-US"/>
    </w:rPr>
  </w:style>
  <w:style w:type="paragraph" w:styleId="PlainText">
    <w:name w:val="Plain Text"/>
    <w:basedOn w:val="Normal"/>
    <w:link w:val="PlainTextChar"/>
    <w:uiPriority w:val="99"/>
    <w:unhideWhenUsed/>
    <w:rsid w:val="00AA662C"/>
    <w:pPr>
      <w:widowControl w:val="0"/>
      <w:tabs>
        <w:tab w:val="clear" w:pos="794"/>
        <w:tab w:val="clear" w:pos="1191"/>
        <w:tab w:val="clear" w:pos="1588"/>
        <w:tab w:val="clear" w:pos="1985"/>
      </w:tabs>
      <w:overflowPunct/>
      <w:autoSpaceDE/>
      <w:autoSpaceDN/>
      <w:adjustRightInd/>
      <w:spacing w:before="0"/>
      <w:textAlignment w:val="auto"/>
    </w:pPr>
    <w:rPr>
      <w:rFonts w:ascii="MS Gothic" w:eastAsia="MS Gothic" w:hAnsi="Courier New"/>
      <w:kern w:val="2"/>
      <w:sz w:val="20"/>
      <w:szCs w:val="21"/>
    </w:rPr>
  </w:style>
  <w:style w:type="character" w:customStyle="1" w:styleId="PlainTextChar">
    <w:name w:val="Plain Text Char"/>
    <w:basedOn w:val="DefaultParagraphFont"/>
    <w:link w:val="PlainText"/>
    <w:uiPriority w:val="99"/>
    <w:rsid w:val="00AA662C"/>
    <w:rPr>
      <w:rFonts w:ascii="MS Gothic" w:eastAsia="MS Gothic" w:hAnsi="Courier New"/>
      <w:kern w:val="2"/>
      <w:szCs w:val="21"/>
    </w:rPr>
  </w:style>
  <w:style w:type="paragraph" w:customStyle="1" w:styleId="kgkreflist">
    <w:name w:val="kgkreflist"/>
    <w:basedOn w:val="Normal"/>
    <w:rsid w:val="00AA662C"/>
    <w:pPr>
      <w:numPr>
        <w:numId w:val="2"/>
      </w:numPr>
    </w:pPr>
    <w:rPr>
      <w:rFonts w:eastAsia="Batang"/>
    </w:rPr>
  </w:style>
  <w:style w:type="paragraph" w:customStyle="1" w:styleId="NormalBlack">
    <w:name w:val="Normal + Black"/>
    <w:basedOn w:val="Normal"/>
    <w:rsid w:val="00AA662C"/>
    <w:pPr>
      <w:tabs>
        <w:tab w:val="clear" w:pos="794"/>
        <w:tab w:val="clear" w:pos="1191"/>
        <w:tab w:val="clear" w:pos="1588"/>
        <w:tab w:val="clear" w:pos="1985"/>
      </w:tabs>
      <w:overflowPunct/>
      <w:autoSpaceDE/>
      <w:autoSpaceDN/>
      <w:adjustRightInd/>
      <w:spacing w:before="0"/>
      <w:textAlignment w:val="auto"/>
      <w:outlineLvl w:val="0"/>
    </w:pPr>
    <w:rPr>
      <w:rFonts w:eastAsia="MS Mincho"/>
      <w:szCs w:val="24"/>
      <w:lang w:val="en-US" w:eastAsia="ja-JP"/>
    </w:rPr>
  </w:style>
  <w:style w:type="paragraph" w:styleId="Caption">
    <w:name w:val="caption"/>
    <w:basedOn w:val="Normal"/>
    <w:next w:val="Normal"/>
    <w:qFormat/>
    <w:rsid w:val="00AA662C"/>
    <w:pPr>
      <w:widowControl w:val="0"/>
      <w:tabs>
        <w:tab w:val="clear" w:pos="794"/>
        <w:tab w:val="clear" w:pos="1191"/>
        <w:tab w:val="clear" w:pos="1588"/>
        <w:tab w:val="clear" w:pos="1985"/>
      </w:tabs>
      <w:overflowPunct/>
      <w:autoSpaceDE/>
      <w:autoSpaceDN/>
      <w:adjustRightInd/>
      <w:spacing w:before="0"/>
      <w:textAlignment w:val="auto"/>
    </w:pPr>
    <w:rPr>
      <w:rFonts w:ascii="Cambria" w:eastAsia="SimHei" w:hAnsi="Cambria"/>
      <w:kern w:val="2"/>
      <w:sz w:val="20"/>
      <w:lang w:val="en-US" w:eastAsia="zh-CN"/>
    </w:rPr>
  </w:style>
  <w:style w:type="paragraph" w:customStyle="1" w:styleId="FreeForm">
    <w:name w:val="Free Form"/>
    <w:rsid w:val="00AA662C"/>
    <w:rPr>
      <w:rFonts w:ascii="Times New Roman" w:eastAsia="ヒラギノ角ゴ Pro W3" w:hAnsi="Times New Roman"/>
      <w:color w:val="000000"/>
    </w:rPr>
  </w:style>
  <w:style w:type="paragraph" w:styleId="ListParagraph">
    <w:name w:val="List Paragraph"/>
    <w:basedOn w:val="Normal"/>
    <w:link w:val="ListParagraphChar"/>
    <w:uiPriority w:val="34"/>
    <w:qFormat/>
    <w:rsid w:val="00AA662C"/>
    <w:pPr>
      <w:tabs>
        <w:tab w:val="clear" w:pos="794"/>
        <w:tab w:val="clear" w:pos="1191"/>
        <w:tab w:val="clear" w:pos="1588"/>
        <w:tab w:val="clear" w:pos="1985"/>
      </w:tabs>
      <w:overflowPunct/>
      <w:autoSpaceDE/>
      <w:autoSpaceDN/>
      <w:adjustRightInd/>
      <w:spacing w:before="0" w:after="200" w:line="276" w:lineRule="auto"/>
      <w:ind w:left="720"/>
      <w:contextualSpacing/>
      <w:textAlignment w:val="auto"/>
    </w:pPr>
    <w:rPr>
      <w:rFonts w:ascii="Calibri" w:eastAsia="MS Mincho" w:hAnsi="Calibri" w:cs="Arial"/>
      <w:sz w:val="22"/>
      <w:szCs w:val="22"/>
      <w:lang w:val="en-US" w:eastAsia="zh-CN"/>
    </w:rPr>
  </w:style>
  <w:style w:type="character" w:customStyle="1" w:styleId="apple-style-span">
    <w:name w:val="apple-style-span"/>
    <w:rsid w:val="00AA662C"/>
    <w:rPr>
      <w:rFonts w:cs="Times New Roman"/>
    </w:rPr>
  </w:style>
  <w:style w:type="character" w:styleId="FollowedHyperlink">
    <w:name w:val="FollowedHyperlink"/>
    <w:rsid w:val="00AA662C"/>
    <w:rPr>
      <w:color w:val="800080"/>
      <w:u w:val="single"/>
    </w:rPr>
  </w:style>
  <w:style w:type="character" w:customStyle="1" w:styleId="hps">
    <w:name w:val="hps"/>
    <w:rsid w:val="00AA662C"/>
  </w:style>
  <w:style w:type="paragraph" w:customStyle="1" w:styleId="Docnumber">
    <w:name w:val="Docnumber"/>
    <w:basedOn w:val="Normal"/>
    <w:link w:val="DocnumberChar"/>
    <w:rsid w:val="00AA662C"/>
    <w:pPr>
      <w:jc w:val="right"/>
    </w:pPr>
    <w:rPr>
      <w:rFonts w:eastAsia="MS Mincho"/>
      <w:b/>
      <w:bCs/>
      <w:sz w:val="40"/>
    </w:rPr>
  </w:style>
  <w:style w:type="character" w:customStyle="1" w:styleId="DocnumberChar">
    <w:name w:val="Docnumber Char"/>
    <w:link w:val="Docnumber"/>
    <w:rsid w:val="00AA662C"/>
    <w:rPr>
      <w:rFonts w:ascii="Times New Roman" w:eastAsia="MS Mincho" w:hAnsi="Times New Roman"/>
      <w:b/>
      <w:bCs/>
      <w:sz w:val="40"/>
      <w:lang w:val="en-GB" w:eastAsia="en-US"/>
    </w:rPr>
  </w:style>
  <w:style w:type="paragraph" w:styleId="Revision">
    <w:name w:val="Revision"/>
    <w:hidden/>
    <w:uiPriority w:val="99"/>
    <w:semiHidden/>
    <w:rsid w:val="00AA662C"/>
    <w:rPr>
      <w:rFonts w:ascii="Times New Roman" w:eastAsia="Malgun Gothic" w:hAnsi="Times New Roman"/>
      <w:sz w:val="24"/>
      <w:lang w:val="en-GB" w:eastAsia="en-US"/>
    </w:rPr>
  </w:style>
  <w:style w:type="character" w:customStyle="1" w:styleId="HeaderChar">
    <w:name w:val="Header Char"/>
    <w:aliases w:val="h Char,Header/Footer Char"/>
    <w:link w:val="Header"/>
    <w:uiPriority w:val="99"/>
    <w:rsid w:val="00AA662C"/>
    <w:rPr>
      <w:rFonts w:ascii="Times New Roman" w:hAnsi="Times New Roman"/>
      <w:sz w:val="18"/>
      <w:lang w:val="en-GB" w:eastAsia="en-US"/>
    </w:rPr>
  </w:style>
  <w:style w:type="character" w:customStyle="1" w:styleId="FooterChar">
    <w:name w:val="Footer Char"/>
    <w:basedOn w:val="DefaultParagraphFont"/>
    <w:link w:val="Footer"/>
    <w:uiPriority w:val="99"/>
    <w:rsid w:val="00AA662C"/>
    <w:rPr>
      <w:rFonts w:ascii="Times New Roman" w:hAnsi="Times New Roman"/>
      <w:caps/>
      <w:noProof/>
      <w:sz w:val="16"/>
      <w:lang w:val="en-GB" w:eastAsia="en-US"/>
    </w:rPr>
  </w:style>
  <w:style w:type="numbering" w:customStyle="1" w:styleId="NoList1">
    <w:name w:val="No List1"/>
    <w:next w:val="NoList"/>
    <w:uiPriority w:val="99"/>
    <w:semiHidden/>
    <w:unhideWhenUsed/>
    <w:rsid w:val="00AA662C"/>
  </w:style>
  <w:style w:type="character" w:customStyle="1" w:styleId="Heading3Char">
    <w:name w:val="Heading 3 Char"/>
    <w:basedOn w:val="DefaultParagraphFont"/>
    <w:link w:val="Heading3"/>
    <w:rsid w:val="00AA662C"/>
    <w:rPr>
      <w:rFonts w:ascii="Times New Roman" w:hAnsi="Times New Roman"/>
      <w:b/>
      <w:sz w:val="24"/>
      <w:lang w:val="en-GB" w:eastAsia="en-US"/>
    </w:rPr>
  </w:style>
  <w:style w:type="paragraph" w:styleId="NormalWeb">
    <w:name w:val="Normal (Web)"/>
    <w:basedOn w:val="Normal"/>
    <w:uiPriority w:val="99"/>
    <w:unhideWhenUsed/>
    <w:rsid w:val="00AA662C"/>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zh-CN"/>
    </w:rPr>
  </w:style>
  <w:style w:type="character" w:customStyle="1" w:styleId="apple-converted-space">
    <w:name w:val="apple-converted-space"/>
    <w:basedOn w:val="DefaultParagraphFont"/>
    <w:rsid w:val="00AA662C"/>
  </w:style>
  <w:style w:type="character" w:styleId="Strong">
    <w:name w:val="Strong"/>
    <w:basedOn w:val="DefaultParagraphFont"/>
    <w:uiPriority w:val="22"/>
    <w:qFormat/>
    <w:rsid w:val="00AA662C"/>
    <w:rPr>
      <w:b/>
      <w:bCs/>
    </w:rPr>
  </w:style>
  <w:style w:type="character" w:styleId="Emphasis">
    <w:name w:val="Emphasis"/>
    <w:basedOn w:val="DefaultParagraphFont"/>
    <w:uiPriority w:val="20"/>
    <w:qFormat/>
    <w:rsid w:val="00AA662C"/>
    <w:rPr>
      <w:i/>
      <w:iCs/>
    </w:rPr>
  </w:style>
  <w:style w:type="character" w:customStyle="1" w:styleId="ListParagraphChar">
    <w:name w:val="List Paragraph Char"/>
    <w:link w:val="ListParagraph"/>
    <w:uiPriority w:val="34"/>
    <w:rsid w:val="00AA662C"/>
    <w:rPr>
      <w:rFonts w:ascii="Calibri" w:eastAsia="MS Mincho" w:hAnsi="Calibri" w:cs="Arial"/>
      <w:sz w:val="22"/>
      <w:szCs w:val="22"/>
    </w:rPr>
  </w:style>
  <w:style w:type="character" w:customStyle="1" w:styleId="EndnoteTextChar">
    <w:name w:val="Endnote Text Char"/>
    <w:link w:val="EndnoteText"/>
    <w:uiPriority w:val="99"/>
    <w:rsid w:val="00AA662C"/>
    <w:rPr>
      <w:rFonts w:eastAsia="Calibri"/>
      <w:lang w:val="en-AU" w:eastAsia="en-US"/>
    </w:rPr>
  </w:style>
  <w:style w:type="paragraph" w:styleId="EndnoteText">
    <w:name w:val="endnote text"/>
    <w:basedOn w:val="Normal"/>
    <w:link w:val="EndnoteTextChar"/>
    <w:uiPriority w:val="99"/>
    <w:rsid w:val="00AA662C"/>
    <w:rPr>
      <w:rFonts w:ascii="CG Times" w:eastAsia="Calibri" w:hAnsi="CG Times"/>
      <w:sz w:val="20"/>
      <w:lang w:val="en-AU"/>
    </w:rPr>
  </w:style>
  <w:style w:type="character" w:customStyle="1" w:styleId="EndnoteTextChar1">
    <w:name w:val="Endnote Text Char1"/>
    <w:basedOn w:val="DefaultParagraphFont"/>
    <w:uiPriority w:val="99"/>
    <w:semiHidden/>
    <w:rsid w:val="00AA662C"/>
    <w:rPr>
      <w:rFonts w:ascii="Times New Roman" w:eastAsia="Malgun Gothic" w:hAnsi="Times New Roman"/>
      <w:lang w:val="en-GB" w:eastAsia="en-US"/>
    </w:rPr>
  </w:style>
  <w:style w:type="paragraph" w:styleId="TOCHeading">
    <w:name w:val="TOC Heading"/>
    <w:basedOn w:val="Heading1"/>
    <w:next w:val="Normal"/>
    <w:uiPriority w:val="39"/>
    <w:unhideWhenUsed/>
    <w:qFormat/>
    <w:rsid w:val="00AA662C"/>
    <w:pPr>
      <w:tabs>
        <w:tab w:val="clear" w:pos="794"/>
        <w:tab w:val="clear" w:pos="1191"/>
        <w:tab w:val="clear" w:pos="1588"/>
        <w:tab w:val="clear" w:pos="1985"/>
        <w:tab w:val="num" w:pos="432"/>
      </w:tabs>
      <w:overflowPunct/>
      <w:autoSpaceDE/>
      <w:autoSpaceDN/>
      <w:adjustRightInd/>
      <w:spacing w:before="480" w:line="276" w:lineRule="auto"/>
      <w:ind w:left="432" w:hanging="432"/>
      <w:textAlignment w:val="auto"/>
      <w:outlineLvl w:val="9"/>
    </w:pPr>
    <w:rPr>
      <w:rFonts w:ascii="Cambria" w:eastAsia="SimSun" w:hAnsi="Cambria"/>
      <w:bCs/>
      <w:color w:val="365F91"/>
      <w:sz w:val="28"/>
      <w:szCs w:val="28"/>
      <w:lang w:val="en-US"/>
    </w:rPr>
  </w:style>
  <w:style w:type="table" w:customStyle="1" w:styleId="TableGrid1">
    <w:name w:val="Table Grid1"/>
    <w:basedOn w:val="TableNormal"/>
    <w:next w:val="TableGrid"/>
    <w:uiPriority w:val="59"/>
    <w:rsid w:val="00AA662C"/>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rsid w:val="00AA662C"/>
    <w:rPr>
      <w:rFonts w:ascii="Times New Roman" w:hAnsi="Times New Roman"/>
      <w:sz w:val="22"/>
      <w:lang w:val="en-GB" w:eastAsia="en-US"/>
    </w:rPr>
  </w:style>
  <w:style w:type="character" w:customStyle="1" w:styleId="Heading4Char">
    <w:name w:val="Heading 4 Char"/>
    <w:basedOn w:val="DefaultParagraphFont"/>
    <w:link w:val="Heading4"/>
    <w:uiPriority w:val="9"/>
    <w:rsid w:val="00AA662C"/>
    <w:rPr>
      <w:rFonts w:ascii="Times New Roman" w:hAnsi="Times New Roman"/>
      <w:b/>
      <w:sz w:val="24"/>
      <w:lang w:val="en-GB" w:eastAsia="en-US"/>
    </w:rPr>
  </w:style>
  <w:style w:type="character" w:customStyle="1" w:styleId="Heading5Char">
    <w:name w:val="Heading 5 Char"/>
    <w:basedOn w:val="DefaultParagraphFont"/>
    <w:link w:val="Heading5"/>
    <w:uiPriority w:val="9"/>
    <w:rsid w:val="00AA662C"/>
    <w:rPr>
      <w:rFonts w:ascii="Times New Roman" w:hAnsi="Times New Roman"/>
      <w:b/>
      <w:sz w:val="24"/>
      <w:lang w:val="en-GB" w:eastAsia="en-US"/>
    </w:rPr>
  </w:style>
  <w:style w:type="character" w:customStyle="1" w:styleId="Heading6Char">
    <w:name w:val="Heading 6 Char"/>
    <w:basedOn w:val="DefaultParagraphFont"/>
    <w:link w:val="Heading6"/>
    <w:uiPriority w:val="9"/>
    <w:rsid w:val="00AA662C"/>
    <w:rPr>
      <w:rFonts w:ascii="Times New Roman" w:hAnsi="Times New Roman"/>
      <w:b/>
      <w:sz w:val="24"/>
      <w:lang w:val="en-GB" w:eastAsia="en-US"/>
    </w:rPr>
  </w:style>
  <w:style w:type="character" w:customStyle="1" w:styleId="Heading7Char">
    <w:name w:val="Heading 7 Char"/>
    <w:basedOn w:val="DefaultParagraphFont"/>
    <w:link w:val="Heading7"/>
    <w:uiPriority w:val="9"/>
    <w:rsid w:val="00AA662C"/>
    <w:rPr>
      <w:rFonts w:ascii="Times New Roman" w:hAnsi="Times New Roman"/>
      <w:b/>
      <w:sz w:val="24"/>
      <w:lang w:val="en-GB" w:eastAsia="en-US"/>
    </w:rPr>
  </w:style>
  <w:style w:type="character" w:customStyle="1" w:styleId="Heading8Char">
    <w:name w:val="Heading 8 Char"/>
    <w:basedOn w:val="DefaultParagraphFont"/>
    <w:link w:val="Heading8"/>
    <w:uiPriority w:val="9"/>
    <w:rsid w:val="00AA662C"/>
    <w:rPr>
      <w:rFonts w:ascii="Times New Roman" w:hAnsi="Times New Roman"/>
      <w:b/>
      <w:sz w:val="24"/>
      <w:lang w:val="en-GB" w:eastAsia="en-US"/>
    </w:rPr>
  </w:style>
  <w:style w:type="character" w:customStyle="1" w:styleId="Heading9Char">
    <w:name w:val="Heading 9 Char"/>
    <w:basedOn w:val="DefaultParagraphFont"/>
    <w:link w:val="Heading9"/>
    <w:uiPriority w:val="9"/>
    <w:rsid w:val="00AA662C"/>
    <w:rPr>
      <w:rFonts w:ascii="Times New Roman" w:hAnsi="Times New Roman"/>
      <w:b/>
      <w:sz w:val="24"/>
      <w:lang w:val="en-GB" w:eastAsia="en-US"/>
    </w:rPr>
  </w:style>
  <w:style w:type="paragraph" w:customStyle="1" w:styleId="Quote1">
    <w:name w:val="Quote1"/>
    <w:basedOn w:val="Normal"/>
    <w:next w:val="Normal"/>
    <w:uiPriority w:val="29"/>
    <w:qFormat/>
    <w:rsid w:val="00AA662C"/>
    <w:pPr>
      <w:tabs>
        <w:tab w:val="clear" w:pos="794"/>
        <w:tab w:val="clear" w:pos="1191"/>
        <w:tab w:val="clear" w:pos="1588"/>
        <w:tab w:val="clear" w:pos="1985"/>
      </w:tabs>
      <w:overflowPunct/>
      <w:autoSpaceDE/>
      <w:autoSpaceDN/>
      <w:adjustRightInd/>
      <w:spacing w:before="0" w:after="200" w:line="276" w:lineRule="auto"/>
      <w:textAlignment w:val="auto"/>
    </w:pPr>
    <w:rPr>
      <w:rFonts w:ascii="Calibri" w:eastAsia="SimSun" w:hAnsi="Calibri" w:cs="Arial"/>
      <w:i/>
      <w:iCs/>
      <w:color w:val="000000"/>
      <w:sz w:val="22"/>
      <w:szCs w:val="22"/>
      <w:lang w:val="en-US" w:eastAsia="zh-CN"/>
    </w:rPr>
  </w:style>
  <w:style w:type="character" w:customStyle="1" w:styleId="QuoteChar">
    <w:name w:val="Quote Char"/>
    <w:basedOn w:val="DefaultParagraphFont"/>
    <w:link w:val="Quote"/>
    <w:uiPriority w:val="29"/>
    <w:rsid w:val="00AA662C"/>
    <w:rPr>
      <w:i/>
      <w:iCs/>
      <w:color w:val="000000"/>
    </w:rPr>
  </w:style>
  <w:style w:type="table" w:customStyle="1" w:styleId="LightShading-Accent11">
    <w:name w:val="Light Shading - Accent 11"/>
    <w:basedOn w:val="TableNormal"/>
    <w:uiPriority w:val="60"/>
    <w:rsid w:val="00AA662C"/>
    <w:rPr>
      <w:rFonts w:ascii="Calibri" w:eastAsia="Calibri" w:hAnsi="Calibri" w:cs="Arial"/>
      <w:color w:val="365F91"/>
      <w:sz w:val="22"/>
      <w:szCs w:val="22"/>
      <w:lang w:val="en-GB"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ody">
    <w:name w:val="Body"/>
    <w:rsid w:val="00AA662C"/>
    <w:pPr>
      <w:spacing w:after="120"/>
    </w:pPr>
    <w:rPr>
      <w:rFonts w:ascii="Calibri" w:eastAsia="Calibri" w:hAnsi="Calibri" w:cs="Calibri"/>
      <w:color w:val="000000"/>
      <w:sz w:val="24"/>
      <w:szCs w:val="24"/>
      <w:u w:color="000000"/>
    </w:rPr>
  </w:style>
  <w:style w:type="paragraph" w:styleId="Quote">
    <w:name w:val="Quote"/>
    <w:basedOn w:val="Normal"/>
    <w:next w:val="Normal"/>
    <w:link w:val="QuoteChar"/>
    <w:uiPriority w:val="29"/>
    <w:qFormat/>
    <w:rsid w:val="00AA662C"/>
    <w:pPr>
      <w:spacing w:before="200" w:after="160"/>
      <w:ind w:left="864" w:right="864"/>
      <w:jc w:val="center"/>
    </w:pPr>
    <w:rPr>
      <w:rFonts w:ascii="CG Times" w:eastAsia="Times New Roman" w:hAnsi="CG Times"/>
      <w:i/>
      <w:iCs/>
      <w:color w:val="000000"/>
      <w:sz w:val="20"/>
      <w:lang w:val="en-US" w:eastAsia="zh-CN"/>
    </w:rPr>
  </w:style>
  <w:style w:type="character" w:customStyle="1" w:styleId="QuoteChar1">
    <w:name w:val="Quote Char1"/>
    <w:basedOn w:val="DefaultParagraphFont"/>
    <w:uiPriority w:val="29"/>
    <w:rsid w:val="00AA662C"/>
    <w:rPr>
      <w:rFonts w:ascii="Times New Roman" w:eastAsia="Malgun Gothic" w:hAnsi="Times New Roman"/>
      <w:i/>
      <w:iCs/>
      <w:color w:val="404040" w:themeColor="text1" w:themeTint="BF"/>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446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42" Type="http://schemas.openxmlformats.org/officeDocument/2006/relationships/image" Target="media/image24.png"/><Relationship Id="rId47" Type="http://schemas.openxmlformats.org/officeDocument/2006/relationships/hyperlink" Target="http://www.itu.int/en/ITU-T/emf/Pages/default.aspx" TargetMode="External"/><Relationship Id="rId63" Type="http://schemas.openxmlformats.org/officeDocument/2006/relationships/image" Target="media/image36.png"/><Relationship Id="rId68" Type="http://schemas.openxmlformats.org/officeDocument/2006/relationships/image" Target="media/image39.jpeg"/><Relationship Id="rId84" Type="http://schemas.openxmlformats.org/officeDocument/2006/relationships/hyperlink" Target="http://www.ncbi.nlm.nih.gov/pmc/articles/PMC3347802" TargetMode="External"/><Relationship Id="rId89" Type="http://schemas.openxmlformats.org/officeDocument/2006/relationships/header" Target="header4.xml"/><Relationship Id="rId16" Type="http://schemas.openxmlformats.org/officeDocument/2006/relationships/image" Target="media/image4.png"/><Relationship Id="rId11" Type="http://schemas.openxmlformats.org/officeDocument/2006/relationships/hyperlink" Target="http://www.itu.int/itu-t/climatechange" TargetMode="External"/><Relationship Id="rId32" Type="http://schemas.openxmlformats.org/officeDocument/2006/relationships/hyperlink" Target="http://www.who.int/emf" TargetMode="External"/><Relationship Id="rId37" Type="http://schemas.openxmlformats.org/officeDocument/2006/relationships/image" Target="media/image19.png"/><Relationship Id="rId53" Type="http://schemas.openxmlformats.org/officeDocument/2006/relationships/hyperlink" Target="http://www.gsma.com/publicpolicy/new-gsma-animation-and-infographic-highlight-the-importance-of-mobile-networks-in-the-connected-world" TargetMode="External"/><Relationship Id="rId58" Type="http://schemas.openxmlformats.org/officeDocument/2006/relationships/image" Target="media/image31.png"/><Relationship Id="rId74" Type="http://schemas.openxmlformats.org/officeDocument/2006/relationships/hyperlink" Target="http://www.emfexplained.info/" TargetMode="External"/><Relationship Id="rId79" Type="http://schemas.openxmlformats.org/officeDocument/2006/relationships/hyperlink" Target="http://www.gsma.com/publicpolicy/mobile-and-health/risk-communications" TargetMode="External"/><Relationship Id="rId5" Type="http://schemas.openxmlformats.org/officeDocument/2006/relationships/webSettings" Target="webSettings.xml"/><Relationship Id="rId90" Type="http://schemas.openxmlformats.org/officeDocument/2006/relationships/header" Target="header5.xml"/><Relationship Id="rId95" Type="http://schemas.openxmlformats.org/officeDocument/2006/relationships/customXml" Target="../customXml/item3.xml"/><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5.jpeg"/><Relationship Id="rId48" Type="http://schemas.openxmlformats.org/officeDocument/2006/relationships/hyperlink" Target="http://www.emfexplained.info" TargetMode="External"/><Relationship Id="rId64" Type="http://schemas.openxmlformats.org/officeDocument/2006/relationships/image" Target="media/image37.jpeg"/><Relationship Id="rId69" Type="http://schemas.openxmlformats.org/officeDocument/2006/relationships/hyperlink" Target="http://www.emfexplained.info/?Page=24788" TargetMode="External"/><Relationship Id="rId8" Type="http://schemas.openxmlformats.org/officeDocument/2006/relationships/image" Target="media/image1.png"/><Relationship Id="rId51" Type="http://schemas.openxmlformats.org/officeDocument/2006/relationships/hyperlink" Target="http://www.gsma.com/publicpolicy/mobile-and-health/mobile-networks" TargetMode="External"/><Relationship Id="rId72" Type="http://schemas.openxmlformats.org/officeDocument/2006/relationships/image" Target="media/image41.jpeg"/><Relationship Id="rId80" Type="http://schemas.openxmlformats.org/officeDocument/2006/relationships/hyperlink" Target="http://www.itu.int/dms_pub/itu-d/opb/stg/D-STG-SG01.23-2014-PDF-E.pdf" TargetMode="External"/><Relationship Id="rId85" Type="http://schemas.openxmlformats.org/officeDocument/2006/relationships/hyperlink" Target="http://www.who.int/peh-emf/publications/risk_hand/en/"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tsbsg5@itu.int"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hyperlink" Target="http://www.icnirp.org/PubEMF.htm" TargetMode="External"/><Relationship Id="rId59" Type="http://schemas.openxmlformats.org/officeDocument/2006/relationships/image" Target="media/image32.png"/><Relationship Id="rId67" Type="http://schemas.openxmlformats.org/officeDocument/2006/relationships/hyperlink" Target="http://www.emfexplained.info/?ID=25133" TargetMode="External"/><Relationship Id="rId20" Type="http://schemas.openxmlformats.org/officeDocument/2006/relationships/hyperlink" Target="http://www.itu.int/en/fnc/2014/Documents/S5P3_St%c3%a9phane_Petti.ppt" TargetMode="External"/><Relationship Id="rId41" Type="http://schemas.openxmlformats.org/officeDocument/2006/relationships/image" Target="media/image23.png"/><Relationship Id="rId54" Type="http://schemas.openxmlformats.org/officeDocument/2006/relationships/image" Target="media/image28.jpeg"/><Relationship Id="rId62" Type="http://schemas.openxmlformats.org/officeDocument/2006/relationships/image" Target="media/image35.wmf"/><Relationship Id="rId70" Type="http://schemas.openxmlformats.org/officeDocument/2006/relationships/image" Target="media/image40.jpeg"/><Relationship Id="rId75" Type="http://schemas.openxmlformats.org/officeDocument/2006/relationships/hyperlink" Target="http://www.ericsson.com/res/thecompany/docs/corporate-responsibility/2012/smart-metering.pdf" TargetMode="External"/><Relationship Id="rId83" Type="http://schemas.openxmlformats.org/officeDocument/2006/relationships/hyperlink" Target="http://www.itu.int/rec/R-REC-BS.1698/en" TargetMode="External"/><Relationship Id="rId88" Type="http://schemas.openxmlformats.org/officeDocument/2006/relationships/header" Target="header3.xml"/><Relationship Id="rId91" Type="http://schemas.openxmlformats.org/officeDocument/2006/relationships/header" Target="header6.xml"/><Relationship Id="rId9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mfexplained.info/?ID=25186"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chart" Target="charts/chart1.xml"/><Relationship Id="rId49" Type="http://schemas.openxmlformats.org/officeDocument/2006/relationships/hyperlink" Target="http://www.sar-tick.com" TargetMode="External"/><Relationship Id="rId57" Type="http://schemas.openxmlformats.org/officeDocument/2006/relationships/image" Target="media/image30.png"/><Relationship Id="rId10" Type="http://schemas.openxmlformats.org/officeDocument/2006/relationships/header" Target="header1.xml"/><Relationship Id="rId31" Type="http://schemas.openxmlformats.org/officeDocument/2006/relationships/hyperlink" Target="http://www.who.int/emf" TargetMode="External"/><Relationship Id="rId44" Type="http://schemas.microsoft.com/office/2007/relationships/hdphoto" Target="media/hdphoto1.wdp"/><Relationship Id="rId52" Type="http://schemas.openxmlformats.org/officeDocument/2006/relationships/image" Target="media/image27.jpeg"/><Relationship Id="rId60" Type="http://schemas.openxmlformats.org/officeDocument/2006/relationships/image" Target="media/image33.png"/><Relationship Id="rId65" Type="http://schemas.openxmlformats.org/officeDocument/2006/relationships/hyperlink" Target="http://www.emfexplained.info/?Page=25196" TargetMode="External"/><Relationship Id="rId73" Type="http://schemas.openxmlformats.org/officeDocument/2006/relationships/hyperlink" Target="http://www.emfexplained.info/?Page=25533" TargetMode="External"/><Relationship Id="rId78" Type="http://schemas.openxmlformats.org/officeDocument/2006/relationships/hyperlink" Target="http://www.gsma.com/publicpolicy/gsma-joint-brochure-rf-safety-at-base-station-sites" TargetMode="External"/><Relationship Id="rId81" Type="http://schemas.openxmlformats.org/officeDocument/2006/relationships/hyperlink" Target="http://rpd.oxfordjournals.org/content/158/3/251" TargetMode="External"/><Relationship Id="rId86" Type="http://schemas.openxmlformats.org/officeDocument/2006/relationships/hyperlink" Target="http://www.who.int/peh-emf/publications/facts/fs304/en" TargetMode="External"/><Relationship Id="rId9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www.itu.int/en/ITU-D/ICT-Applications/eHEALTH/Pages/Be_Healthy.aspx" TargetMode="External"/><Relationship Id="rId39" Type="http://schemas.openxmlformats.org/officeDocument/2006/relationships/image" Target="media/image21.png"/><Relationship Id="rId34" Type="http://schemas.openxmlformats.org/officeDocument/2006/relationships/hyperlink" Target="http://emfguide.itu.int/pdfs/ITU-EMF-Workshop-Turin2013-ICNIRP-Matthes.pdf" TargetMode="External"/><Relationship Id="rId50" Type="http://schemas.openxmlformats.org/officeDocument/2006/relationships/image" Target="media/image26.jpeg"/><Relationship Id="rId55" Type="http://schemas.openxmlformats.org/officeDocument/2006/relationships/hyperlink" Target="http://www.mcf.amta.org.au/pages/Fact.Sheets" TargetMode="External"/><Relationship Id="rId76" Type="http://schemas.openxmlformats.org/officeDocument/2006/relationships/hyperlink" Target="http://www.ericsson.com" TargetMode="External"/><Relationship Id="rId7" Type="http://schemas.openxmlformats.org/officeDocument/2006/relationships/endnotes" Target="endnotes.xml"/><Relationship Id="rId71" Type="http://schemas.openxmlformats.org/officeDocument/2006/relationships/hyperlink" Target="http://www.emfexplained.info/?Page=25530"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2.png"/><Relationship Id="rId45" Type="http://schemas.openxmlformats.org/officeDocument/2006/relationships/hyperlink" Target="http://www.who.int/peh-emf/en/" TargetMode="External"/><Relationship Id="rId66" Type="http://schemas.openxmlformats.org/officeDocument/2006/relationships/image" Target="media/image38.jpeg"/><Relationship Id="rId87" Type="http://schemas.openxmlformats.org/officeDocument/2006/relationships/image" Target="media/image42.emf"/><Relationship Id="rId61" Type="http://schemas.openxmlformats.org/officeDocument/2006/relationships/image" Target="media/image34.png"/><Relationship Id="rId82" Type="http://schemas.openxmlformats.org/officeDocument/2006/relationships/hyperlink" Target="http://www.hpa.org.uk" TargetMode="External"/><Relationship Id="rId19" Type="http://schemas.openxmlformats.org/officeDocument/2006/relationships/image" Target="media/image6.jpeg"/><Relationship Id="rId14" Type="http://schemas.openxmlformats.org/officeDocument/2006/relationships/image" Target="media/image3.jpeg"/><Relationship Id="rId30" Type="http://schemas.openxmlformats.org/officeDocument/2006/relationships/image" Target="media/image16.jpeg"/><Relationship Id="rId35" Type="http://schemas.openxmlformats.org/officeDocument/2006/relationships/image" Target="media/image18.png"/><Relationship Id="rId56" Type="http://schemas.openxmlformats.org/officeDocument/2006/relationships/image" Target="media/image29.jpeg"/><Relationship Id="rId77" Type="http://schemas.openxmlformats.org/officeDocument/2006/relationships/hyperlink" Target="http://www.gsma.com/publicpolicy/public-policy-resources/mobiles-green-manifesto"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who.int/mediacentre/factsheets/fs193/en" TargetMode="External"/><Relationship Id="rId13" Type="http://schemas.openxmlformats.org/officeDocument/2006/relationships/hyperlink" Target="http://www.who.int/peh-emf/publications/facts/fs304/en/" TargetMode="External"/><Relationship Id="rId3" Type="http://schemas.openxmlformats.org/officeDocument/2006/relationships/hyperlink" Target="http://www.gsma.com/publicpolicy/mobile-and-health/science-overview/reports-and-statements-index" TargetMode="External"/><Relationship Id="rId7" Type="http://schemas.openxmlformats.org/officeDocument/2006/relationships/hyperlink" Target="http://monographs.iarc.fr/ENG/Monographs/vol102" TargetMode="External"/><Relationship Id="rId12" Type="http://schemas.openxmlformats.org/officeDocument/2006/relationships/hyperlink" Target="http://www.emfexplained.info" TargetMode="External"/><Relationship Id="rId2" Type="http://schemas.openxmlformats.org/officeDocument/2006/relationships/hyperlink" Target="http://www.who.int" TargetMode="External"/><Relationship Id="rId16" Type="http://schemas.openxmlformats.org/officeDocument/2006/relationships/hyperlink" Target="http://www.icnirp.org/cms/upload/publications/ICNIRPemfgdl.pdf" TargetMode="External"/><Relationship Id="rId1" Type="http://schemas.openxmlformats.org/officeDocument/2006/relationships/hyperlink" Target="https://www.waze.com/" TargetMode="External"/><Relationship Id="rId6" Type="http://schemas.openxmlformats.org/officeDocument/2006/relationships/hyperlink" Target="http://www.iarc.fr/en/media-centre/pr/2011/index.php" TargetMode="External"/><Relationship Id="rId11" Type="http://schemas.openxmlformats.org/officeDocument/2006/relationships/hyperlink" Target="http://www.who.int/peh-emf/standards/en/" TargetMode="External"/><Relationship Id="rId5" Type="http://schemas.openxmlformats.org/officeDocument/2006/relationships/hyperlink" Target="http://www.who.int/peh-emf/research/en/" TargetMode="External"/><Relationship Id="rId15" Type="http://schemas.openxmlformats.org/officeDocument/2006/relationships/hyperlink" Target="http://www.whitehouse.gov/the-press-office/2012/06/14/executive-order-accelerating-broadband-infrastructure-deployment" TargetMode="External"/><Relationship Id="rId10" Type="http://schemas.openxmlformats.org/officeDocument/2006/relationships/hyperlink" Target="http://www.who.int/peh-emf/publications/facts/fs304/en" TargetMode="External"/><Relationship Id="rId4" Type="http://schemas.openxmlformats.org/officeDocument/2006/relationships/hyperlink" Target="http://www.icnirp.org/cms/upload/publications/ICNIRPemfgdl.pdf" TargetMode="External"/><Relationship Id="rId9" Type="http://schemas.openxmlformats.org/officeDocument/2006/relationships/hyperlink" Target="http://www.who.int/features/qa/30/en" TargetMode="External"/><Relationship Id="rId14" Type="http://schemas.openxmlformats.org/officeDocument/2006/relationships/hyperlink" Target="http://www.gsma.com/publicpolicy/mobile-and-health/base-station-planning-permission-in-euro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QPUBE.dotm"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My%20Documents\BOOK\Agregate5_3Yuva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531787693205007E-2"/>
          <c:y val="7.9445462041989892E-2"/>
          <c:w val="0.88026372344245729"/>
          <c:h val="0.71391842420871365"/>
        </c:manualLayout>
      </c:layout>
      <c:scatterChart>
        <c:scatterStyle val="lineMarker"/>
        <c:varyColors val="0"/>
        <c:ser>
          <c:idx val="1"/>
          <c:order val="0"/>
          <c:tx>
            <c:strRef>
              <c:f>'ICNIRP levels'!$E$68</c:f>
              <c:strCache>
                <c:ptCount val="1"/>
                <c:pt idx="0">
                  <c:v>general public exposure</c:v>
                </c:pt>
              </c:strCache>
            </c:strRef>
          </c:tx>
          <c:spPr>
            <a:ln w="19050">
              <a:solidFill>
                <a:srgbClr val="006600"/>
              </a:solidFill>
              <a:prstDash val="dash"/>
            </a:ln>
          </c:spPr>
          <c:dLbls>
            <c:dLbl>
              <c:idx val="0"/>
              <c:tx>
                <c:rich>
                  <a:bodyPr/>
                  <a:lstStyle/>
                  <a:p>
                    <a:r>
                      <a:rPr lang="en-US"/>
                      <a:t>2 </a:t>
                    </a:r>
                  </a:p>
                </c:rich>
              </c:tx>
              <c:dLblPos val="b"/>
              <c:showLegendKey val="0"/>
              <c:showVal val="1"/>
              <c:showCatName val="1"/>
              <c:showSerName val="0"/>
              <c:showPercent val="0"/>
              <c:showBubbleSize val="0"/>
              <c:extLst>
                <c:ext xmlns:c15="http://schemas.microsoft.com/office/drawing/2012/chart" uri="{CE6537A1-D6FC-4f65-9D91-7224C49458BB}"/>
              </c:extLst>
            </c:dLbl>
            <c:dLbl>
              <c:idx val="1"/>
              <c:tx>
                <c:rich>
                  <a:bodyPr/>
                  <a:lstStyle/>
                  <a:p>
                    <a:r>
                      <a:rPr lang="en-US"/>
                      <a:t> 2 </a:t>
                    </a:r>
                  </a:p>
                </c:rich>
              </c:tx>
              <c:dLblPos val="b"/>
              <c:showLegendKey val="0"/>
              <c:showVal val="1"/>
              <c:showCatName val="1"/>
              <c:showSerName val="0"/>
              <c:showPercent val="0"/>
              <c:showBubbleSize val="0"/>
              <c:extLst>
                <c:ext xmlns:c15="http://schemas.microsoft.com/office/drawing/2012/chart" uri="{CE6537A1-D6FC-4f65-9D91-7224C49458BB}"/>
              </c:extLst>
            </c:dLbl>
            <c:dLbl>
              <c:idx val="2"/>
              <c:tx>
                <c:rich>
                  <a:bodyPr/>
                  <a:lstStyle/>
                  <a:p>
                    <a:r>
                      <a:rPr lang="en-US"/>
                      <a:t> 10</a:t>
                    </a:r>
                  </a:p>
                </c:rich>
              </c:tx>
              <c:dLblPos val="b"/>
              <c:showLegendKey val="0"/>
              <c:showVal val="1"/>
              <c:showCatName val="1"/>
              <c:showSerName val="0"/>
              <c:showPercent val="0"/>
              <c:showBubbleSize val="0"/>
              <c:extLst>
                <c:ext xmlns:c15="http://schemas.microsoft.com/office/drawing/2012/chart" uri="{CE6537A1-D6FC-4f65-9D91-7224C49458BB}"/>
              </c:extLst>
            </c:dLbl>
            <c:dLbl>
              <c:idx val="3"/>
              <c:tx>
                <c:rich>
                  <a:bodyPr/>
                  <a:lstStyle/>
                  <a:p>
                    <a:r>
                      <a:rPr lang="en-US"/>
                      <a:t>10</a:t>
                    </a:r>
                  </a:p>
                </c:rich>
              </c:tx>
              <c:dLblPos val="b"/>
              <c:showLegendKey val="0"/>
              <c:showVal val="1"/>
              <c:showCatName val="1"/>
              <c:showSerName val="0"/>
              <c:showPercent val="0"/>
              <c:showBubbleSize val="0"/>
              <c:extLst>
                <c:ext xmlns:c15="http://schemas.microsoft.com/office/drawing/2012/chart" uri="{CE6537A1-D6FC-4f65-9D91-7224C49458BB}"/>
              </c:extLst>
            </c:dLbl>
            <c:spPr>
              <a:noFill/>
              <a:ln w="25400">
                <a:noFill/>
              </a:ln>
            </c:spPr>
            <c:dLblPos val="b"/>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xVal>
            <c:numRef>
              <c:f>'ICNIRP levels'!$C$35:$F$35</c:f>
              <c:numCache>
                <c:formatCode>General</c:formatCode>
                <c:ptCount val="4"/>
                <c:pt idx="0">
                  <c:v>10</c:v>
                </c:pt>
                <c:pt idx="1">
                  <c:v>400</c:v>
                </c:pt>
                <c:pt idx="2" formatCode="_(* #,##0_);_(* \(#,##0\);_(* &quot;-&quot;??_);_(@_)">
                  <c:v>2000</c:v>
                </c:pt>
                <c:pt idx="3" formatCode="_(* #,##0_);_(* \(#,##0\);_(* &quot;-&quot;??_);_(@_)">
                  <c:v>300000</c:v>
                </c:pt>
              </c:numCache>
            </c:numRef>
          </c:xVal>
          <c:yVal>
            <c:numRef>
              <c:f>'ICNIRP levels'!$C$36:$F$36</c:f>
              <c:numCache>
                <c:formatCode>_(* #,##0_);_(* \(#,##0\);_(* "-"_);_(@_)</c:formatCode>
                <c:ptCount val="4"/>
                <c:pt idx="0">
                  <c:v>2</c:v>
                </c:pt>
                <c:pt idx="1">
                  <c:v>2</c:v>
                </c:pt>
                <c:pt idx="2" formatCode="General">
                  <c:v>10</c:v>
                </c:pt>
                <c:pt idx="3" formatCode="General">
                  <c:v>10</c:v>
                </c:pt>
              </c:numCache>
            </c:numRef>
          </c:yVal>
          <c:smooth val="0"/>
        </c:ser>
        <c:ser>
          <c:idx val="0"/>
          <c:order val="1"/>
          <c:tx>
            <c:strRef>
              <c:f>'ICNIRP levels'!$E$69</c:f>
              <c:strCache>
                <c:ptCount val="1"/>
                <c:pt idx="0">
                  <c:v>occupational  exposure</c:v>
                </c:pt>
              </c:strCache>
            </c:strRef>
          </c:tx>
          <c:spPr>
            <a:ln w="19050">
              <a:solidFill>
                <a:srgbClr val="FF0000"/>
              </a:solidFill>
            </a:ln>
          </c:spPr>
          <c:dLbls>
            <c:spPr>
              <a:noFill/>
              <a:ln w="25400">
                <a:noFill/>
              </a:ln>
            </c:spPr>
            <c:dLblPos val="b"/>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xVal>
            <c:numRef>
              <c:f>'ICNIRP levels'!$C$35:$F$35</c:f>
              <c:numCache>
                <c:formatCode>General</c:formatCode>
                <c:ptCount val="4"/>
                <c:pt idx="0">
                  <c:v>10</c:v>
                </c:pt>
                <c:pt idx="1">
                  <c:v>400</c:v>
                </c:pt>
                <c:pt idx="2" formatCode="_(* #,##0_);_(* \(#,##0\);_(* &quot;-&quot;??_);_(@_)">
                  <c:v>2000</c:v>
                </c:pt>
                <c:pt idx="3" formatCode="_(* #,##0_);_(* \(#,##0\);_(* &quot;-&quot;??_);_(@_)">
                  <c:v>300000</c:v>
                </c:pt>
              </c:numCache>
            </c:numRef>
          </c:xVal>
          <c:yVal>
            <c:numRef>
              <c:f>'ICNIRP levels'!$C$37:$F$37</c:f>
              <c:numCache>
                <c:formatCode>General</c:formatCode>
                <c:ptCount val="4"/>
                <c:pt idx="0">
                  <c:v>10</c:v>
                </c:pt>
                <c:pt idx="1">
                  <c:v>10</c:v>
                </c:pt>
                <c:pt idx="2">
                  <c:v>50</c:v>
                </c:pt>
                <c:pt idx="3">
                  <c:v>50</c:v>
                </c:pt>
              </c:numCache>
            </c:numRef>
          </c:yVal>
          <c:smooth val="0"/>
        </c:ser>
        <c:dLbls>
          <c:showLegendKey val="0"/>
          <c:showVal val="0"/>
          <c:showCatName val="0"/>
          <c:showSerName val="0"/>
          <c:showPercent val="0"/>
          <c:showBubbleSize val="0"/>
        </c:dLbls>
        <c:axId val="355392808"/>
        <c:axId val="355393592"/>
      </c:scatterChart>
      <c:valAx>
        <c:axId val="355392808"/>
        <c:scaling>
          <c:logBase val="10"/>
          <c:orientation val="minMax"/>
          <c:min val="10"/>
        </c:scaling>
        <c:delete val="0"/>
        <c:axPos val="b"/>
        <c:majorGridlines>
          <c:spPr>
            <a:ln w="3175">
              <a:solidFill>
                <a:srgbClr val="000000"/>
              </a:solidFill>
              <a:prstDash val="sysDash"/>
            </a:ln>
          </c:spPr>
        </c:majorGridlines>
        <c:title>
          <c:tx>
            <c:rich>
              <a:bodyPr/>
              <a:lstStyle/>
              <a:p>
                <a:pPr>
                  <a:defRPr/>
                </a:pPr>
                <a:r>
                  <a:rPr lang="en-US"/>
                  <a:t>Frequency (MHz)</a:t>
                </a:r>
              </a:p>
            </c:rich>
          </c:tx>
          <c:layout>
            <c:manualLayout>
              <c:xMode val="edge"/>
              <c:yMode val="edge"/>
              <c:x val="0.43831205967675396"/>
              <c:y val="0.88656721251745851"/>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355393592"/>
        <c:crosses val="autoZero"/>
        <c:crossBetween val="midCat"/>
        <c:minorUnit val="10"/>
      </c:valAx>
      <c:valAx>
        <c:axId val="355393592"/>
        <c:scaling>
          <c:logBase val="10"/>
          <c:orientation val="minMax"/>
          <c:max val="100"/>
        </c:scaling>
        <c:delete val="0"/>
        <c:axPos val="l"/>
        <c:title>
          <c:tx>
            <c:rich>
              <a:bodyPr/>
              <a:lstStyle/>
              <a:p>
                <a:pPr>
                  <a:defRPr sz="1000"/>
                </a:pPr>
                <a:r>
                  <a:rPr lang="en-US" sz="1000"/>
                  <a:t>Power</a:t>
                </a:r>
                <a:r>
                  <a:rPr lang="en-US" sz="1000" b="0" i="0" u="none" strike="noStrike" kern="1200" baseline="0">
                    <a:solidFill>
                      <a:srgbClr val="000000"/>
                    </a:solidFill>
                    <a:latin typeface="Times New Roman" pitchFamily="18" charset="0"/>
                    <a:cs typeface="Arial"/>
                  </a:rPr>
                  <a:t>  </a:t>
                </a:r>
                <a:r>
                  <a:rPr lang="en-US" sz="1000"/>
                  <a:t>Density (W/m</a:t>
                </a:r>
                <a:r>
                  <a:rPr lang="en-US" sz="1000" baseline="30000"/>
                  <a:t>2</a:t>
                </a:r>
                <a:r>
                  <a:rPr lang="en-US" sz="1000"/>
                  <a:t>)</a:t>
                </a:r>
              </a:p>
            </c:rich>
          </c:tx>
          <c:layout>
            <c:manualLayout>
              <c:xMode val="edge"/>
              <c:yMode val="edge"/>
              <c:x val="2.1021070282881481E-3"/>
              <c:y val="0.11093714652674917"/>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sz="800"/>
            </a:pPr>
            <a:endParaRPr lang="en-US"/>
          </a:p>
        </c:txPr>
        <c:crossAx val="355392808"/>
        <c:crosses val="autoZero"/>
        <c:crossBetween val="midCat"/>
        <c:majorUnit val="10"/>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Times New Roman" pitchFamily="18" charset="0"/>
          <a:ea typeface="Arial"/>
          <a:cs typeface="Arial"/>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0.74672</cdr:x>
      <cdr:y>0.53846</cdr:y>
    </cdr:from>
    <cdr:to>
      <cdr:x>0.94572</cdr:x>
      <cdr:y>0.69783</cdr:y>
    </cdr:to>
    <cdr:sp macro="" textlink="">
      <cdr:nvSpPr>
        <cdr:cNvPr id="2" name="Text Box 1"/>
        <cdr:cNvSpPr txBox="1"/>
      </cdr:nvSpPr>
      <cdr:spPr>
        <a:xfrm xmlns:a="http://schemas.openxmlformats.org/drawingml/2006/main">
          <a:off x="4096811" y="1475740"/>
          <a:ext cx="1091774" cy="436786"/>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solidFill>
                <a:srgbClr val="006600"/>
              </a:solidFill>
              <a:effectLst/>
              <a:latin typeface="+mn-lt"/>
              <a:ea typeface="+mn-ea"/>
              <a:cs typeface="+mn-cs"/>
            </a:rPr>
            <a:t>public</a:t>
          </a:r>
          <a:r>
            <a:rPr lang="en-US" sz="1100">
              <a:effectLst/>
              <a:latin typeface="+mn-lt"/>
              <a:ea typeface="+mn-ea"/>
              <a:cs typeface="+mn-cs"/>
            </a:rPr>
            <a:t> </a:t>
          </a:r>
          <a:r>
            <a:rPr lang="en-US" sz="1100">
              <a:solidFill>
                <a:srgbClr val="006600"/>
              </a:solidFill>
              <a:effectLst/>
              <a:latin typeface="+mn-lt"/>
              <a:ea typeface="+mn-ea"/>
              <a:cs typeface="+mn-cs"/>
            </a:rPr>
            <a:t>exposure</a:t>
          </a:r>
        </a:p>
        <a:p xmlns:a="http://schemas.openxmlformats.org/drawingml/2006/main">
          <a:endParaRPr lang="en-US" sz="1100"/>
        </a:p>
      </cdr:txBody>
    </cdr:sp>
  </cdr:relSizeAnchor>
  <cdr:relSizeAnchor xmlns:cdr="http://schemas.openxmlformats.org/drawingml/2006/chartDrawing">
    <cdr:from>
      <cdr:x>0.67098</cdr:x>
      <cdr:y>0.0797</cdr:y>
    </cdr:from>
    <cdr:to>
      <cdr:x>0.94637</cdr:x>
      <cdr:y>0.18396</cdr:y>
    </cdr:to>
    <cdr:sp macro="" textlink="">
      <cdr:nvSpPr>
        <cdr:cNvPr id="3" name="Text Box 2"/>
        <cdr:cNvSpPr txBox="1"/>
      </cdr:nvSpPr>
      <cdr:spPr>
        <a:xfrm xmlns:a="http://schemas.openxmlformats.org/drawingml/2006/main">
          <a:off x="3612226" y="202236"/>
          <a:ext cx="1482585" cy="264560"/>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pPr algn="r"/>
          <a:r>
            <a:rPr lang="en-US" sz="1100">
              <a:solidFill>
                <a:srgbClr val="FF0000"/>
              </a:solidFill>
              <a:effectLst/>
              <a:latin typeface="+mn-lt"/>
              <a:ea typeface="+mn-ea"/>
              <a:cs typeface="+mn-cs"/>
            </a:rPr>
            <a:t>occupational exposure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680306B6171D4680FBF36C637FE72B" ma:contentTypeVersion="3" ma:contentTypeDescription="Create a new document." ma:contentTypeScope="" ma:versionID="fade3fa90dab5f79237b93c1166f0134">
  <xsd:schema xmlns:xsd="http://www.w3.org/2001/XMLSchema" xmlns:xs="http://www.w3.org/2001/XMLSchema" xmlns:p="http://schemas.microsoft.com/office/2006/metadata/properties" xmlns:ns1="http://schemas.microsoft.com/sharepoint/v3" targetNamespace="http://schemas.microsoft.com/office/2006/metadata/properties" ma:root="true" ma:fieldsID="49dd530e3df1f86ebe7020055b57088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E8A4B08-4515-4318-9B20-41D2F399D018}"/>
</file>

<file path=customXml/itemProps2.xml><?xml version="1.0" encoding="utf-8"?>
<ds:datastoreItem xmlns:ds="http://schemas.openxmlformats.org/officeDocument/2006/customXml" ds:itemID="{3AFF25E1-822B-4608-94EE-AA2F002D1CCB}"/>
</file>

<file path=customXml/itemProps3.xml><?xml version="1.0" encoding="utf-8"?>
<ds:datastoreItem xmlns:ds="http://schemas.openxmlformats.org/officeDocument/2006/customXml" ds:itemID="{842CFE56-FEBC-4A18-85C9-A0AF5C6BD3FF}"/>
</file>

<file path=customXml/itemProps4.xml><?xml version="1.0" encoding="utf-8"?>
<ds:datastoreItem xmlns:ds="http://schemas.openxmlformats.org/officeDocument/2006/customXml" ds:itemID="{FF53F0DA-39CD-4C53-A168-90DB9421B9E1}"/>
</file>

<file path=docProps/app.xml><?xml version="1.0" encoding="utf-8"?>
<Properties xmlns="http://schemas.openxmlformats.org/officeDocument/2006/extended-properties" xmlns:vt="http://schemas.openxmlformats.org/officeDocument/2006/docPropsVTypes">
  <Template>QPUBE.dotm</Template>
  <TotalTime>1</TotalTime>
  <Pages>1</Pages>
  <Words>18586</Words>
  <Characters>105945</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124283</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Gachet, Christelle</dc:creator>
  <dc:description>Technical-Report-EMF_final version.docx  For: _x000d_Document date: _x000d_Saved by ITU51009145 at 11:51:15 on 03.10.2014</dc:description>
  <cp:lastModifiedBy>Paolo Gemma </cp:lastModifiedBy>
  <cp:revision>4</cp:revision>
  <cp:lastPrinted>2014-11-10T14:27:00Z</cp:lastPrinted>
  <dcterms:created xsi:type="dcterms:W3CDTF">2014-12-12T11:10:00Z</dcterms:created>
  <dcterms:modified xsi:type="dcterms:W3CDTF">2014-12-12T11:41:00Z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Technical-Report-EMF_final version.docx</vt:lpwstr>
  </property>
  <property fmtid="{D5CDD505-2E9C-101B-9397-08002B2CF9AE}" pid="3" name="docdate">
    <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Docorlang">
    <vt:lpwstr/>
  </property>
  <property fmtid="{D5CDD505-2E9C-101B-9397-08002B2CF9AE}" pid="7" name="Docbluepink">
    <vt:lpwstr/>
  </property>
  <property fmtid="{D5CDD505-2E9C-101B-9397-08002B2CF9AE}" pid="8" name="Docdest">
    <vt:lpwstr/>
  </property>
  <property fmtid="{D5CDD505-2E9C-101B-9397-08002B2CF9AE}" pid="9" name="Docauthor">
    <vt:lpwstr/>
  </property>
  <property fmtid="{D5CDD505-2E9C-101B-9397-08002B2CF9AE}" pid="10" name="ContentTypeId">
    <vt:lpwstr>0x01010017680306B6171D4680FBF36C637FE72B</vt:lpwstr>
  </property>
</Properties>
</file>