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02B94DAF"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9E5F3FD" wp14:editId="25CDFA5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3500EA66"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7651FBE5" w14:textId="60773427" w:rsidR="00E03557" w:rsidRPr="00852AAD" w:rsidRDefault="00BC1D31" w:rsidP="002E6647">
            <w:pPr>
              <w:pStyle w:val="Docnumber"/>
            </w:pPr>
            <w:r>
              <w:t>FG-AI4H</w:t>
            </w:r>
            <w:r w:rsidR="00E03557">
              <w:t>-</w:t>
            </w:r>
            <w:r w:rsidR="00044AD8">
              <w:t>P</w:t>
            </w:r>
            <w:r>
              <w:t>-</w:t>
            </w:r>
            <w:r w:rsidR="008D548A">
              <w:t>036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018589DD" w:rsidR="00BC1D31" w:rsidRPr="008D548A" w:rsidRDefault="006D0644" w:rsidP="002E6647">
            <w:r w:rsidRPr="008D548A">
              <w:t>Plenary</w:t>
            </w:r>
          </w:p>
        </w:tc>
        <w:tc>
          <w:tcPr>
            <w:tcW w:w="4678" w:type="dxa"/>
            <w:gridSpan w:val="2"/>
          </w:tcPr>
          <w:p w14:paraId="4ADB1E42" w14:textId="7660B701"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B6C3CF5" w:rsidR="00BC1D31" w:rsidRPr="008D548A" w:rsidRDefault="008D548A" w:rsidP="002E6647">
            <w:r>
              <w:t>University of Belgrade</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930323E" w:rsidR="00BC1D31" w:rsidRPr="008D548A" w:rsidRDefault="008D548A" w:rsidP="008D548A">
            <w:r w:rsidRPr="008D548A">
              <w:t>Ethical Concept of Prudence in Artificial Intelligence – The Current Standing</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121D4393" w:rsidR="00E03557" w:rsidRPr="008D548A" w:rsidRDefault="00BC1D31" w:rsidP="002E6647">
            <w:r w:rsidRPr="008D548A">
              <w:rPr>
                <w:lang w:val="en-US"/>
              </w:rPr>
              <w:t>Discussion</w:t>
            </w:r>
          </w:p>
        </w:tc>
      </w:tr>
      <w:bookmarkEnd w:id="10"/>
      <w:tr w:rsidR="008D548A"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6153097D" w:rsidR="008D548A" w:rsidRPr="00E03557" w:rsidRDefault="008D548A" w:rsidP="008D548A">
            <w:pPr>
              <w:rPr>
                <w:b/>
                <w:bCs/>
              </w:rPr>
            </w:pPr>
            <w:r w:rsidRPr="00E03557">
              <w:rPr>
                <w:b/>
                <w:bCs/>
              </w:rPr>
              <w:t>Contact:</w:t>
            </w:r>
          </w:p>
        </w:tc>
        <w:tc>
          <w:tcPr>
            <w:tcW w:w="4353" w:type="dxa"/>
            <w:gridSpan w:val="2"/>
            <w:tcBorders>
              <w:top w:val="single" w:sz="6" w:space="0" w:color="auto"/>
              <w:bottom w:val="single" w:sz="6" w:space="0" w:color="auto"/>
            </w:tcBorders>
          </w:tcPr>
          <w:p w14:paraId="5D1C7C66" w14:textId="145C5CBC" w:rsidR="008D548A" w:rsidRPr="00BC1D31" w:rsidRDefault="008D548A" w:rsidP="008D548A">
            <w:pPr>
              <w:rPr>
                <w:highlight w:val="yellow"/>
              </w:rPr>
            </w:pPr>
            <w:r>
              <w:t>Prof. Miroslav Radenkovic, MD, MS, PhD</w:t>
            </w:r>
            <w:r w:rsidRPr="007107CC">
              <w:br/>
            </w:r>
            <w:r>
              <w:t>Faculty of Medicine- University of Belgrade</w:t>
            </w:r>
            <w:r w:rsidRPr="007107CC">
              <w:t xml:space="preserve"> </w:t>
            </w:r>
            <w:r w:rsidRPr="007107CC">
              <w:br/>
            </w:r>
            <w:r>
              <w:t>Serbia</w:t>
            </w:r>
          </w:p>
        </w:tc>
        <w:tc>
          <w:tcPr>
            <w:tcW w:w="3587" w:type="dxa"/>
            <w:tcBorders>
              <w:top w:val="single" w:sz="6" w:space="0" w:color="auto"/>
              <w:bottom w:val="single" w:sz="6" w:space="0" w:color="auto"/>
            </w:tcBorders>
          </w:tcPr>
          <w:p w14:paraId="28DD2FCB" w14:textId="5D621C03" w:rsidR="008D548A" w:rsidRPr="00BC1D31" w:rsidRDefault="008D548A" w:rsidP="008D548A">
            <w:pPr>
              <w:rPr>
                <w:highlight w:val="yellow"/>
              </w:rPr>
            </w:pPr>
            <w:r w:rsidRPr="007107CC">
              <w:t xml:space="preserve">Tel: </w:t>
            </w:r>
            <w:r w:rsidRPr="007107CC">
              <w:tab/>
              <w:t>+</w:t>
            </w:r>
            <w:r>
              <w:t>381 11 3643 404</w:t>
            </w:r>
            <w:r w:rsidRPr="007107CC">
              <w:br/>
              <w:t xml:space="preserve">Fax: </w:t>
            </w:r>
            <w:r w:rsidRPr="007107CC">
              <w:tab/>
              <w:t>+</w:t>
            </w:r>
            <w:r>
              <w:t>381 11 3643 397</w:t>
            </w:r>
            <w:r w:rsidRPr="007107CC">
              <w:br/>
            </w:r>
            <w:r>
              <w:t>Email: miroslav.radenkovic</w:t>
            </w:r>
            <w:r w:rsidRPr="007107CC">
              <w:t>@</w:t>
            </w:r>
            <w:r>
              <w:t>med.bg.ac.rs</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6890A60" w:rsidR="00E03557" w:rsidRPr="008D548A" w:rsidRDefault="008D548A" w:rsidP="008D548A">
            <w:r w:rsidRPr="008D548A">
              <w:t xml:space="preserve">According to the Montréal Declaration the prudence principle states that “when the misuse of AI systems endangers public health or safety and has a high probability of occurrence, it is prudent to restrict open access and public dissemination”. Organizations that expand legal and morally justifiable AI still find themselves stressed with whether their inventions are wise, continuously establishing what are the ethical limitations of digital life forever. Moreover, the still existing inadequate diagnostic accuracy with AI requires a prudent approach. Hence, we need to be prudent about three adoptability issues of AI technologies: (1) Machine learning limitations, (2) </w:t>
            </w:r>
            <w:proofErr w:type="spellStart"/>
            <w:r w:rsidRPr="008D548A">
              <w:t>Ethico</w:t>
            </w:r>
            <w:proofErr w:type="spellEnd"/>
            <w:r w:rsidRPr="008D548A">
              <w:t xml:space="preserve">-legal challenges related to </w:t>
            </w:r>
            <w:proofErr w:type="spellStart"/>
            <w:r w:rsidRPr="008D548A">
              <w:t>explainability</w:t>
            </w:r>
            <w:proofErr w:type="spellEnd"/>
            <w:r w:rsidRPr="008D548A">
              <w:t xml:space="preserve">, responsibility and empathy; and (3) Issues of acceptability and adoptability. The uniqueness of new diseases resulted in growth of AI models designed to close various clinical knowledge cracks, especially </w:t>
            </w:r>
            <w:proofErr w:type="gramStart"/>
            <w:r w:rsidRPr="008D548A">
              <w:t>with regard to</w:t>
            </w:r>
            <w:proofErr w:type="gramEnd"/>
            <w:r w:rsidRPr="008D548A">
              <w:t xml:space="preserve"> diagnosis and prognosis, where the model commonly overestimates or underestimates risks of poor outcomes. In that context, we need to be prudent especially about models developed within one focus of geographic space and time, thus leading to extrapolation biases. This requires from the AI models to be consistently challenged against new incoming data.</w:t>
            </w:r>
          </w:p>
        </w:tc>
      </w:tr>
    </w:tbl>
    <w:p w14:paraId="2AEBBEA2" w14:textId="77777777" w:rsidR="00E03557" w:rsidRDefault="00E03557" w:rsidP="00E03557"/>
    <w:p w14:paraId="6E9573DA" w14:textId="11648745" w:rsidR="00BC1D31" w:rsidRDefault="00BC1D31" w:rsidP="008D548A">
      <w:pPr>
        <w:spacing w:after="20"/>
        <w:jc w:val="center"/>
      </w:pPr>
      <w:r>
        <w:t>____________________________</w:t>
      </w:r>
    </w:p>
    <w:sectPr w:rsidR="00BC1D31"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6087" w14:textId="77777777" w:rsidR="002B0BF3" w:rsidRDefault="002B0BF3" w:rsidP="007B7733">
      <w:pPr>
        <w:spacing w:before="0"/>
      </w:pPr>
      <w:r>
        <w:separator/>
      </w:r>
    </w:p>
  </w:endnote>
  <w:endnote w:type="continuationSeparator" w:id="0">
    <w:p w14:paraId="095FDBBE" w14:textId="77777777" w:rsidR="002B0BF3" w:rsidRDefault="002B0BF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E692" w14:textId="77777777" w:rsidR="002B0BF3" w:rsidRDefault="002B0BF3" w:rsidP="007B7733">
      <w:pPr>
        <w:spacing w:before="0"/>
      </w:pPr>
      <w:r>
        <w:separator/>
      </w:r>
    </w:p>
  </w:footnote>
  <w:footnote w:type="continuationSeparator" w:id="0">
    <w:p w14:paraId="18B9F9E4" w14:textId="77777777" w:rsidR="002B0BF3" w:rsidRDefault="002B0BF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777777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Pr>
        <w:noProof/>
      </w:rPr>
      <w:t>FG-AI4H-A-#</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1AC"/>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3229"/>
    <w:rsid w:val="0027462B"/>
    <w:rsid w:val="00281AC7"/>
    <w:rsid w:val="0028651A"/>
    <w:rsid w:val="00287355"/>
    <w:rsid w:val="0029294C"/>
    <w:rsid w:val="002A6E11"/>
    <w:rsid w:val="002B0BF3"/>
    <w:rsid w:val="002B27EF"/>
    <w:rsid w:val="002B4844"/>
    <w:rsid w:val="002B49FE"/>
    <w:rsid w:val="002B4C67"/>
    <w:rsid w:val="002C2370"/>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548A"/>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41E596-7288-470E-986B-CF0442109A7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1641</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Ethical Concept of Prudence in Artificial Intelligence – The Current Standing</vt:lpstr>
    </vt:vector>
  </TitlesOfParts>
  <Manager>ITU-T</Manager>
  <Company>International Telecommunication Union (ITU)</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Concept of Prudence in Artificial Intelligence – The Current Standing</dc:title>
  <dc:subject/>
  <dc:creator>University of Belgrade</dc:creator>
  <cp:keywords/>
  <dc:description>FG-AI4H-P-036  For: Helsinki, 20-22 September 2022_x000d_Document date: ITU-T Focus Group on AI for Health_x000d_Saved by ITU51014266 at 14:46:07 on 15.09.2022</dc:description>
  <cp:lastModifiedBy>TSB (HT)</cp:lastModifiedBy>
  <cp:revision>4</cp:revision>
  <cp:lastPrinted>2011-04-05T14:28:00Z</cp:lastPrinted>
  <dcterms:created xsi:type="dcterms:W3CDTF">2022-09-15T12:46:00Z</dcterms:created>
  <dcterms:modified xsi:type="dcterms:W3CDTF">2022-09-15T12:47:00Z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FG-AI4H-P-036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University of Belgrade</vt:lpwstr>
  </property>
</Properties>
</file>