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823C9D5" w:rsidR="00E03557" w:rsidRPr="00852AAD" w:rsidRDefault="00BC1D31" w:rsidP="002E6647">
            <w:pPr>
              <w:pStyle w:val="Docnumber"/>
            </w:pPr>
            <w:r>
              <w:t>FG-AI4H</w:t>
            </w:r>
            <w:r w:rsidR="00E03557">
              <w:t>-</w:t>
            </w:r>
            <w:r w:rsidR="00ED046B">
              <w:t>N</w:t>
            </w:r>
            <w:r>
              <w:t>-</w:t>
            </w:r>
            <w:r w:rsidR="00980076">
              <w:t>044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1F916814" w:rsidR="00BC1D31" w:rsidRPr="00123B21" w:rsidRDefault="00980076"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Start w:id="8" w:name="_GoBack"/>
            <w:bookmarkEnd w:id="5"/>
            <w:bookmarkEnd w:id="6"/>
            <w:bookmarkEnd w:id="8"/>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7"/>
            <w:r w:rsidRPr="00E03557">
              <w:rPr>
                <w:b/>
                <w:bCs/>
              </w:rPr>
              <w:t>Source:</w:t>
            </w:r>
          </w:p>
        </w:tc>
        <w:tc>
          <w:tcPr>
            <w:tcW w:w="7940" w:type="dxa"/>
            <w:gridSpan w:val="3"/>
          </w:tcPr>
          <w:p w14:paraId="0612CABC" w14:textId="397B1D75" w:rsidR="00BC1D31" w:rsidRPr="00123B21" w:rsidRDefault="00980076" w:rsidP="002E6647">
            <w:r>
              <w:t>WG-CO</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6C094F5B" w:rsidR="00BC1D31" w:rsidRPr="00123B21" w:rsidRDefault="00AA7D63" w:rsidP="002E6647">
            <w:r w:rsidRPr="00AA7D63">
              <w:t>WG-CO: Catalysing Innovation in Global Health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17DC23D6" w:rsidR="00E03557" w:rsidRPr="00BC1D31" w:rsidRDefault="00AA7D63" w:rsidP="002E6647">
            <w:pPr>
              <w:rPr>
                <w:highlight w:val="yellow"/>
              </w:rPr>
            </w:pPr>
            <w:r w:rsidRPr="00AA7D63">
              <w:rPr>
                <w:lang w:val="en-US"/>
              </w:rPr>
              <w:t>Discussion</w:t>
            </w:r>
          </w:p>
        </w:tc>
      </w:tr>
      <w:bookmarkEnd w:id="0"/>
      <w:bookmarkEnd w:id="11"/>
      <w:tr w:rsidR="004E04FB" w:rsidRPr="004E04FB" w14:paraId="487F5750" w14:textId="77777777" w:rsidTr="004E04FB">
        <w:trPr>
          <w:cantSplit/>
          <w:jc w:val="center"/>
        </w:trPr>
        <w:tc>
          <w:tcPr>
            <w:tcW w:w="1700" w:type="dxa"/>
            <w:gridSpan w:val="2"/>
            <w:tcBorders>
              <w:top w:val="single" w:sz="6" w:space="0" w:color="auto"/>
              <w:bottom w:val="single" w:sz="6" w:space="0" w:color="auto"/>
            </w:tcBorders>
          </w:tcPr>
          <w:p w14:paraId="70A3F5E0" w14:textId="77777777" w:rsidR="004E04FB" w:rsidRPr="00E03557" w:rsidRDefault="004E04FB" w:rsidP="004E04FB">
            <w:pPr>
              <w:rPr>
                <w:b/>
                <w:bCs/>
              </w:rPr>
            </w:pPr>
            <w:r w:rsidRPr="00E03557">
              <w:rPr>
                <w:b/>
                <w:bCs/>
              </w:rPr>
              <w:t>Contact:</w:t>
            </w:r>
          </w:p>
        </w:tc>
        <w:tc>
          <w:tcPr>
            <w:tcW w:w="3970" w:type="dxa"/>
            <w:gridSpan w:val="2"/>
            <w:tcBorders>
              <w:top w:val="single" w:sz="6" w:space="0" w:color="auto"/>
              <w:bottom w:val="single" w:sz="6" w:space="0" w:color="auto"/>
            </w:tcBorders>
          </w:tcPr>
          <w:p w14:paraId="5D1C7C66" w14:textId="6110CCDC" w:rsidR="004E04FB" w:rsidRPr="00BC1D31" w:rsidRDefault="004E04FB" w:rsidP="004E04FB">
            <w:pPr>
              <w:rPr>
                <w:highlight w:val="yellow"/>
              </w:rPr>
            </w:pPr>
            <w:r w:rsidRPr="081C6897">
              <w:rPr>
                <w:rFonts w:eastAsia="Calibri"/>
                <w:color w:val="000000" w:themeColor="text1"/>
                <w:lang w:val="en-US"/>
              </w:rPr>
              <w:t>Andrew Farlow</w:t>
            </w:r>
            <w:r>
              <w:br/>
            </w:r>
            <w:r w:rsidRPr="081C6897">
              <w:rPr>
                <w:rFonts w:eastAsia="Calibri"/>
                <w:color w:val="000000" w:themeColor="text1"/>
                <w:lang w:val="en-US"/>
              </w:rPr>
              <w:t>Oxford University</w:t>
            </w:r>
          </w:p>
        </w:tc>
        <w:tc>
          <w:tcPr>
            <w:tcW w:w="3970" w:type="dxa"/>
            <w:tcBorders>
              <w:top w:val="single" w:sz="6" w:space="0" w:color="auto"/>
              <w:bottom w:val="single" w:sz="6" w:space="0" w:color="auto"/>
            </w:tcBorders>
          </w:tcPr>
          <w:p w14:paraId="28DD2FCB" w14:textId="18C0C218" w:rsidR="004E04FB" w:rsidRPr="004E04FB" w:rsidRDefault="004E04FB" w:rsidP="004E04FB">
            <w:pPr>
              <w:rPr>
                <w:highlight w:val="yellow"/>
                <w:lang w:val="fr-CH"/>
              </w:rPr>
            </w:pPr>
            <w:r w:rsidRPr="081C6897">
              <w:rPr>
                <w:rFonts w:eastAsia="Calibri"/>
                <w:lang w:val="de-DE"/>
              </w:rPr>
              <w:t xml:space="preserve">E-mail: </w:t>
            </w:r>
            <w:r>
              <w:fldChar w:fldCharType="begin"/>
            </w:r>
            <w:r w:rsidRPr="004E04FB">
              <w:rPr>
                <w:lang w:val="fr-CH"/>
              </w:rPr>
              <w:instrText xml:space="preserve"> HYPERLINK "mailto:andrew.farlow@oriel.ox.ac.uk" </w:instrText>
            </w:r>
            <w:r>
              <w:fldChar w:fldCharType="separate"/>
            </w:r>
            <w:r w:rsidRPr="007C5AC8">
              <w:rPr>
                <w:rStyle w:val="Hyperlink"/>
                <w:rFonts w:eastAsia="Calibri"/>
                <w:lang w:val="de-DE"/>
              </w:rPr>
              <w:t>andrew.farlow@oriel.ox.ac.uk</w:t>
            </w:r>
            <w:r>
              <w:rPr>
                <w:rStyle w:val="Hyperlink"/>
                <w:rFonts w:eastAsia="Calibri"/>
                <w:lang w:val="de-DE"/>
              </w:rPr>
              <w:fldChar w:fldCharType="end"/>
            </w:r>
            <w:r w:rsidRPr="081C6897">
              <w:rPr>
                <w:rFonts w:eastAsia="Calibri"/>
                <w:lang w:val="de-DE"/>
              </w:rPr>
              <w:t xml:space="preserve"> </w:t>
            </w:r>
          </w:p>
        </w:tc>
      </w:tr>
      <w:tr w:rsidR="004E04FB" w:rsidRPr="004E04FB" w14:paraId="0A01ADF7" w14:textId="77777777" w:rsidTr="004E04FB">
        <w:trPr>
          <w:cantSplit/>
          <w:jc w:val="center"/>
        </w:trPr>
        <w:tc>
          <w:tcPr>
            <w:tcW w:w="1700" w:type="dxa"/>
            <w:gridSpan w:val="2"/>
            <w:tcBorders>
              <w:top w:val="single" w:sz="6" w:space="0" w:color="auto"/>
              <w:bottom w:val="single" w:sz="6" w:space="0" w:color="auto"/>
            </w:tcBorders>
          </w:tcPr>
          <w:p w14:paraId="5845665D" w14:textId="77777777" w:rsidR="004E04FB" w:rsidRPr="00E03557" w:rsidRDefault="004E04FB" w:rsidP="004E04FB">
            <w:pPr>
              <w:rPr>
                <w:b/>
                <w:bCs/>
              </w:rPr>
            </w:pPr>
            <w:r w:rsidRPr="00E03557">
              <w:rPr>
                <w:b/>
                <w:bCs/>
              </w:rPr>
              <w:t>Contact:</w:t>
            </w:r>
          </w:p>
        </w:tc>
        <w:tc>
          <w:tcPr>
            <w:tcW w:w="3970" w:type="dxa"/>
            <w:gridSpan w:val="2"/>
            <w:tcBorders>
              <w:top w:val="single" w:sz="6" w:space="0" w:color="auto"/>
              <w:bottom w:val="single" w:sz="6" w:space="0" w:color="auto"/>
            </w:tcBorders>
          </w:tcPr>
          <w:p w14:paraId="7974D081" w14:textId="35CB6046" w:rsidR="004E04FB" w:rsidRPr="004E04FB" w:rsidRDefault="004E04FB" w:rsidP="004E04FB">
            <w:pPr>
              <w:rPr>
                <w:rFonts w:eastAsia="Calibri"/>
                <w:color w:val="000000" w:themeColor="text1"/>
                <w:lang w:val="en-US"/>
              </w:rPr>
            </w:pPr>
            <w:r w:rsidRPr="081C6897">
              <w:rPr>
                <w:rFonts w:eastAsia="Calibri"/>
                <w:color w:val="000000" w:themeColor="text1"/>
                <w:lang w:val="en-US"/>
              </w:rPr>
              <w:t xml:space="preserve">Matthias </w:t>
            </w:r>
            <w:proofErr w:type="spellStart"/>
            <w:r w:rsidRPr="081C6897">
              <w:rPr>
                <w:rFonts w:eastAsia="Calibri"/>
                <w:color w:val="000000" w:themeColor="text1"/>
                <w:lang w:val="en-US"/>
              </w:rPr>
              <w:t>Gröschel</w:t>
            </w:r>
            <w:proofErr w:type="spellEnd"/>
            <w:r>
              <w:rPr>
                <w:rFonts w:eastAsia="Calibri"/>
                <w:color w:val="000000" w:themeColor="text1"/>
                <w:lang w:val="en-US"/>
              </w:rPr>
              <w:br/>
            </w:r>
            <w:r w:rsidRPr="081C6897">
              <w:rPr>
                <w:rFonts w:eastAsia="Calibri"/>
                <w:color w:val="000000" w:themeColor="text1"/>
                <w:lang w:val="en-US"/>
              </w:rPr>
              <w:t>ITU, Fraunhofer HHI,</w:t>
            </w:r>
            <w:r>
              <w:br/>
            </w:r>
            <w:r w:rsidRPr="081C6897">
              <w:rPr>
                <w:rFonts w:eastAsia="Calibri"/>
                <w:color w:val="000000" w:themeColor="text1"/>
                <w:lang w:val="en-US"/>
              </w:rPr>
              <w:t>Harvard University</w:t>
            </w:r>
          </w:p>
        </w:tc>
        <w:tc>
          <w:tcPr>
            <w:tcW w:w="3970" w:type="dxa"/>
            <w:tcBorders>
              <w:top w:val="single" w:sz="6" w:space="0" w:color="auto"/>
              <w:bottom w:val="single" w:sz="6" w:space="0" w:color="auto"/>
            </w:tcBorders>
          </w:tcPr>
          <w:p w14:paraId="116FD316" w14:textId="5B42F1FC" w:rsidR="004E04FB" w:rsidRPr="004E04FB" w:rsidRDefault="004E04FB" w:rsidP="004E04FB">
            <w:pPr>
              <w:rPr>
                <w:highlight w:val="yellow"/>
                <w:lang w:val="fr-CH"/>
              </w:rPr>
            </w:pPr>
            <w:r w:rsidRPr="261866A8">
              <w:rPr>
                <w:rFonts w:eastAsia="Calibri"/>
                <w:lang w:val="de-DE"/>
              </w:rPr>
              <w:t xml:space="preserve">E-mail: </w:t>
            </w:r>
            <w:hyperlink r:id="rId11">
              <w:r w:rsidRPr="261866A8">
                <w:rPr>
                  <w:rStyle w:val="Hyperlink"/>
                  <w:rFonts w:eastAsia="Calibri"/>
                  <w:lang w:val="de-DE"/>
                </w:rPr>
                <w:t>matthias.groeschel@itu.int</w:t>
              </w:r>
            </w:hyperlink>
            <w:r w:rsidRPr="261866A8">
              <w:rPr>
                <w:rFonts w:eastAsia="Calibri"/>
                <w:lang w:val="de-DE"/>
              </w:rPr>
              <w:t xml:space="preserve"> </w:t>
            </w:r>
          </w:p>
        </w:tc>
      </w:tr>
    </w:tbl>
    <w:p w14:paraId="7D7B8E54" w14:textId="77777777" w:rsidR="00E03557" w:rsidRPr="004E04FB"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DAC3E90" w14:textId="77777777" w:rsidR="005C1C5D" w:rsidRPr="00366C2D" w:rsidRDefault="005C1C5D" w:rsidP="005C1C5D">
            <w:pPr>
              <w:rPr>
                <w:lang w:val="en-US"/>
              </w:rPr>
            </w:pPr>
            <w:r>
              <w:t xml:space="preserve">The ITU/WHO Focus Group on "Artificial Intelligence for Health" Working Group on Collaboration and Outreach, along with the </w:t>
            </w:r>
            <w:r w:rsidRPr="081C6897">
              <w:rPr>
                <w:rFonts w:eastAsia="Times New Roman"/>
              </w:rPr>
              <w:t xml:space="preserve">Global Health Strategy Group for Digital Health and AI for Health </w:t>
            </w:r>
            <w:r>
              <w:t xml:space="preserve">will discuss how current digital tools can be leveraged to catalyse innovation in Global Health. </w:t>
            </w:r>
          </w:p>
          <w:p w14:paraId="70FA904B" w14:textId="74257FFF" w:rsidR="00E03557" w:rsidRPr="005C1C5D" w:rsidRDefault="00E03557" w:rsidP="002E6647">
            <w:pPr>
              <w:rPr>
                <w:highlight w:val="yellow"/>
                <w:lang w:val="en-US"/>
              </w:rPr>
            </w:pPr>
          </w:p>
        </w:tc>
      </w:tr>
    </w:tbl>
    <w:p w14:paraId="2AEBBEA2" w14:textId="51C803B3" w:rsidR="009359C8" w:rsidRDefault="009359C8" w:rsidP="00E03557"/>
    <w:p w14:paraId="0142C3A5" w14:textId="77777777" w:rsidR="009359C8" w:rsidRDefault="009359C8">
      <w:pPr>
        <w:spacing w:before="0"/>
      </w:pPr>
      <w:r>
        <w:br w:type="page"/>
      </w:r>
    </w:p>
    <w:p w14:paraId="3F7C87B0" w14:textId="77777777" w:rsidR="009359C8" w:rsidRDefault="009359C8" w:rsidP="009359C8">
      <w:pPr>
        <w:spacing w:after="20"/>
        <w:rPr>
          <w:rFonts w:eastAsia="MS Mincho" w:cs="Arial"/>
          <w:kern w:val="32"/>
          <w:szCs w:val="32"/>
          <w:lang w:val="en-US"/>
        </w:rPr>
      </w:pPr>
      <w:r w:rsidRPr="00095A04">
        <w:rPr>
          <w:rFonts w:eastAsia="MS Mincho" w:cs="Arial"/>
          <w:b/>
          <w:bCs/>
          <w:kern w:val="32"/>
          <w:szCs w:val="32"/>
          <w:lang w:val="en-US"/>
        </w:rPr>
        <w:lastRenderedPageBreak/>
        <w:t>1 Motivation</w:t>
      </w:r>
      <w:r w:rsidRPr="00095A04">
        <w:rPr>
          <w:rFonts w:eastAsia="MS Mincho" w:cs="Arial"/>
          <w:kern w:val="32"/>
          <w:szCs w:val="32"/>
          <w:lang w:val="en-US"/>
        </w:rPr>
        <w:t xml:space="preserve"> </w:t>
      </w:r>
    </w:p>
    <w:p w14:paraId="276E48AD" w14:textId="77777777" w:rsidR="009359C8" w:rsidRPr="00095A04" w:rsidRDefault="009359C8" w:rsidP="009359C8">
      <w:pPr>
        <w:spacing w:after="200"/>
      </w:pPr>
      <w:r>
        <w:t xml:space="preserve">The ITU/WHO Focus Group on “Artificial Intelligence for Health” (FG-AI4H; </w:t>
      </w:r>
      <w:hyperlink r:id="rId12">
        <w:r w:rsidRPr="081C6897">
          <w:rPr>
            <w:rStyle w:val="Hyperlink"/>
          </w:rPr>
          <w:t>https://itu.int/go/fgai4h</w:t>
        </w:r>
      </w:hyperlink>
      <w:r>
        <w:t xml:space="preserve">), along with the Global Health Strategy Group for Digital Health and AI for Health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Global Public Health. Here, we seek discussion on topics around innovation in Global Health, such as using a Challenge format. </w:t>
      </w:r>
    </w:p>
    <w:p w14:paraId="4CE6D13D" w14:textId="77777777" w:rsidR="009359C8" w:rsidRDefault="009359C8" w:rsidP="009359C8">
      <w:pPr>
        <w:spacing w:after="20"/>
        <w:rPr>
          <w:rFonts w:eastAsia="MS Mincho" w:cs="Arial"/>
          <w:kern w:val="32"/>
          <w:lang w:val="en-US"/>
        </w:rPr>
      </w:pPr>
      <w:bookmarkStart w:id="12" w:name="_z704iagnrhv2" w:colFirst="0" w:colLast="0"/>
      <w:bookmarkEnd w:id="12"/>
      <w:r w:rsidRPr="081C6897">
        <w:rPr>
          <w:rFonts w:eastAsia="MS Mincho" w:cs="Arial"/>
          <w:kern w:val="32"/>
          <w:lang w:val="en-US"/>
        </w:rPr>
        <w:t xml:space="preserve">There is a large global shortfall of quality healthcare coverage and health professionals. </w:t>
      </w:r>
      <w:r w:rsidRPr="081C6897">
        <w:rPr>
          <w:rFonts w:eastAsia="MS Mincho" w:cs="Arial"/>
          <w:lang w:val="en-US"/>
        </w:rPr>
        <w:t>Digital technologies, big data, and statistical algorithms</w:t>
      </w:r>
      <w:r>
        <w:rPr>
          <w:rFonts w:eastAsia="MS Mincho" w:cs="Arial"/>
          <w:lang w:val="en-US"/>
        </w:rPr>
        <w:t xml:space="preserve"> are gradually changing the landscape of healthcare and biomedical research. No compendium of challenges / problem statements in global public health that can be mitigated or solved by digital technologies and AI exists. This compendium can serve as a resource for future hackathons or computational scientists and corporations interested in helping solve problems relevant to Global Health.</w:t>
      </w:r>
      <w:r w:rsidRPr="00095A04">
        <w:rPr>
          <w:rFonts w:eastAsia="MS Mincho" w:cs="Arial"/>
          <w:kern w:val="32"/>
          <w:szCs w:val="32"/>
          <w:lang w:val="en-US"/>
        </w:rPr>
        <w:br/>
      </w:r>
      <w:r>
        <w:br/>
      </w:r>
      <w:r w:rsidRPr="605C4536">
        <w:rPr>
          <w:rFonts w:eastAsia="MS Mincho" w:cs="Arial"/>
          <w:b/>
          <w:bCs/>
          <w:lang w:val="en-US"/>
        </w:rPr>
        <w:t xml:space="preserve">2 AI and Health Webinars </w:t>
      </w:r>
    </w:p>
    <w:p w14:paraId="4DF5FA6F" w14:textId="77777777" w:rsidR="009359C8" w:rsidRDefault="009359C8" w:rsidP="009359C8">
      <w:pPr>
        <w:spacing w:after="20"/>
        <w:rPr>
          <w:rFonts w:eastAsia="Calibri"/>
          <w:lang w:val="en-US"/>
        </w:rPr>
      </w:pPr>
      <w:r w:rsidRPr="605C4536">
        <w:rPr>
          <w:rFonts w:eastAsia="Calibri"/>
          <w:lang w:val="en-US"/>
        </w:rPr>
        <w:t>The Working Group Collaboration and Outreach has so far organized 12 AI and Health webinars on ITU’s AI for Good platform. These webinars have reached more than 3,000 views and dealt with topics relevant to the use of AI in global public health, such as bias in data and models or unexpected consequences of using algorithms for marginalized populations. The Working Group will continue to organize an engaging webinar program in 2022.</w:t>
      </w:r>
    </w:p>
    <w:p w14:paraId="70955607" w14:textId="77777777" w:rsidR="009359C8" w:rsidRDefault="009359C8" w:rsidP="009359C8">
      <w:pPr>
        <w:spacing w:after="20"/>
        <w:rPr>
          <w:rFonts w:eastAsia="Calibri"/>
          <w:b/>
          <w:bCs/>
          <w:lang w:val="en-US"/>
        </w:rPr>
      </w:pPr>
    </w:p>
    <w:p w14:paraId="2C12455A" w14:textId="77777777" w:rsidR="009359C8" w:rsidRPr="00095A04" w:rsidRDefault="009359C8" w:rsidP="009359C8">
      <w:pPr>
        <w:spacing w:after="20"/>
        <w:rPr>
          <w:rFonts w:eastAsia="MS Mincho" w:cs="Arial"/>
          <w:b/>
          <w:bCs/>
          <w:kern w:val="32"/>
          <w:lang w:val="en-US"/>
        </w:rPr>
      </w:pPr>
      <w:r w:rsidRPr="605C4536">
        <w:rPr>
          <w:rFonts w:eastAsia="MS Mincho" w:cs="Arial"/>
          <w:b/>
          <w:bCs/>
          <w:kern w:val="32"/>
          <w:lang w:val="en-US"/>
        </w:rPr>
        <w:t xml:space="preserve">3 White Paper  </w:t>
      </w:r>
    </w:p>
    <w:p w14:paraId="53FB5C72" w14:textId="77777777" w:rsidR="009359C8" w:rsidRDefault="009359C8" w:rsidP="009359C8">
      <w:r>
        <w:t xml:space="preserve">As Working Group, we have drafted a White Paper to rethink how the Challenge format can be leveraged for innovation in Global Health. Please see the working draft below. </w:t>
      </w:r>
    </w:p>
    <w:p w14:paraId="6D165794" w14:textId="77777777" w:rsidR="009359C8" w:rsidRDefault="009359C8" w:rsidP="009359C8">
      <w:r>
        <w:br w:type="page"/>
      </w:r>
    </w:p>
    <w:bookmarkStart w:id="13" w:name="_MON_1705926295"/>
    <w:bookmarkEnd w:id="13"/>
    <w:p w14:paraId="0D2AC4A0" w14:textId="77777777" w:rsidR="009359C8" w:rsidRDefault="009359C8" w:rsidP="009359C8">
      <w:pPr>
        <w:rPr>
          <w:rFonts w:eastAsia="Calibri"/>
        </w:rPr>
      </w:pPr>
      <w:r>
        <w:rPr>
          <w:rFonts w:eastAsia="Calibri"/>
          <w:noProof/>
        </w:rPr>
        <w:object w:dxaOrig="9540" w:dyaOrig="11820" w14:anchorId="0C0F3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15pt;height:591.7pt;mso-width-percent:0;mso-height-percent:0;mso-width-percent:0;mso-height-percent:0" o:ole="">
            <v:imagedata r:id="rId13" o:title=""/>
          </v:shape>
          <o:OLEObject Type="Embed" ProgID="Word.Document.12" ShapeID="_x0000_i1025" DrawAspect="Content" ObjectID="_1706102573" r:id="rId14">
            <o:FieldCodes>\s</o:FieldCodes>
          </o:OLEObject>
        </w:object>
      </w:r>
    </w:p>
    <w:p w14:paraId="21FBBE80"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CA1E39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50D1F">
      <w:rPr>
        <w:noProof/>
      </w:rPr>
      <w:t>FG-AI4H-N-044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0D1F"/>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06D"/>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04FB"/>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1C5D"/>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59C8"/>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076"/>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A7D63"/>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ias.groeschel@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220161-98BF-4B19-88B1-314686125A0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14</TotalTime>
  <Pages>3</Pages>
  <Words>400</Words>
  <Characters>2483</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WG-CO: Catalysing Innovation in Global Health</vt:lpstr>
    </vt:vector>
  </TitlesOfParts>
  <Manager>ITU-T</Manager>
  <Company>International Telecommunication Union (ITU)</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WG-CO: Catalysing Innovation in Global Health</dc:title>
  <dc:subject/>
  <dc:creator>WG-CO</dc:creator>
  <cp:keywords/>
  <dc:description>FG-AI4H-N-044  For: E-meeting, 15-17 February 2022_x000d_Document date: ITU-T Focus Group on AI for Health_x000d_Saved by ITU51013830 at 4:35:10 PM on 2/11/2022</dc:description>
  <cp:lastModifiedBy>Dabiri, Ayda</cp:lastModifiedBy>
  <cp:revision>28</cp:revision>
  <cp:lastPrinted>2011-04-05T14:28:00Z</cp:lastPrinted>
  <dcterms:created xsi:type="dcterms:W3CDTF">2020-01-27T16:33:00Z</dcterms:created>
  <dcterms:modified xsi:type="dcterms:W3CDTF">2022-02-11T15:36:00Z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FG-AI4H-N-044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WG-CO</vt:lpwstr>
  </property>
</Properties>
</file>