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460"/>
        <w:gridCol w:w="280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2DA1EB9" w:rsidR="00E03557" w:rsidRPr="00852AAD" w:rsidRDefault="00BC1D31" w:rsidP="002E6647">
            <w:pPr>
              <w:pStyle w:val="Docnumber"/>
            </w:pPr>
            <w:r>
              <w:t>FG-AI4H</w:t>
            </w:r>
            <w:r w:rsidR="00E03557">
              <w:t>-</w:t>
            </w:r>
            <w:r w:rsidR="0026004B">
              <w:t>L</w:t>
            </w:r>
            <w:r>
              <w:t>-</w:t>
            </w:r>
            <w:r w:rsidR="00AD17B9">
              <w:t>0</w:t>
            </w:r>
            <w:r w:rsidR="0026004B">
              <w:t>2</w:t>
            </w:r>
            <w:r w:rsidR="00780882">
              <w:t>9</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3"/>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3"/>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gridSpan w:val="2"/>
          </w:tcPr>
          <w:p w14:paraId="6A90AA1E" w14:textId="19E14417" w:rsidR="00BC1D31" w:rsidRPr="00123B21" w:rsidRDefault="006D0644" w:rsidP="002E6647">
            <w:r w:rsidRPr="00AD17B9">
              <w:t>Plenary</w:t>
            </w:r>
          </w:p>
        </w:tc>
        <w:tc>
          <w:tcPr>
            <w:tcW w:w="4678" w:type="dxa"/>
            <w:gridSpan w:val="2"/>
          </w:tcPr>
          <w:p w14:paraId="4ADB1E42" w14:textId="6A06FAB2" w:rsidR="00BC1D31" w:rsidRPr="00123B21" w:rsidRDefault="00F743A6" w:rsidP="00007288">
            <w:pPr>
              <w:jc w:val="right"/>
            </w:pPr>
            <w:r>
              <w:t xml:space="preserve">E-meeting, </w:t>
            </w:r>
            <w:r w:rsidR="0026004B">
              <w:t>19-21 May 2021</w:t>
            </w:r>
          </w:p>
        </w:tc>
      </w:tr>
      <w:tr w:rsidR="00E03557" w:rsidRPr="00E03557" w14:paraId="7A2222D1" w14:textId="77777777" w:rsidTr="00E03557">
        <w:trPr>
          <w:cantSplit/>
          <w:jc w:val="center"/>
        </w:trPr>
        <w:tc>
          <w:tcPr>
            <w:tcW w:w="9640" w:type="dxa"/>
            <w:gridSpan w:val="6"/>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4"/>
          </w:tcPr>
          <w:p w14:paraId="0612CABC" w14:textId="7999B4CA" w:rsidR="00BC1D31" w:rsidRPr="00123B21" w:rsidRDefault="00780882" w:rsidP="002E6647">
            <w:r>
              <w:t>FG-AI4EE</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4"/>
          </w:tcPr>
          <w:p w14:paraId="0EC1DE32" w14:textId="710BF6D4" w:rsidR="00BC1D31" w:rsidRPr="00123B21" w:rsidRDefault="00780882" w:rsidP="002E6647">
            <w:r w:rsidRPr="001C0604">
              <w:rPr>
                <w:lang w:val="en-US"/>
              </w:rPr>
              <w:t xml:space="preserve">LS on invitation to review Artificial Intelligence Standardization Roadmap and provide missing or updated information </w:t>
            </w:r>
            <w:r w:rsidR="00ED60F4" w:rsidRPr="00434EC8">
              <w:t xml:space="preserve">(reply </w:t>
            </w:r>
            <w:bookmarkStart w:id="10" w:name="_Hlk51858059"/>
            <w:r w:rsidR="00ED60F4" w:rsidRPr="00434EC8">
              <w:t xml:space="preserve">to </w:t>
            </w:r>
            <w:hyperlink r:id="rId11" w:history="1">
              <w:r w:rsidR="00ED60F4" w:rsidRPr="00434EC8">
                <w:rPr>
                  <w:rStyle w:val="Hyperlink"/>
                </w:rPr>
                <w:t>SG13-LS174</w:t>
              </w:r>
            </w:hyperlink>
            <w:bookmarkEnd w:id="10"/>
            <w:r w:rsidR="00ED60F4" w:rsidRPr="00434EC8">
              <w:t>)</w:t>
            </w:r>
            <w:r w:rsidR="00ED60F4" w:rsidRPr="001C0604">
              <w:rPr>
                <w:lang w:val="en-US"/>
              </w:rPr>
              <w:t xml:space="preserve"> </w:t>
            </w:r>
            <w:r w:rsidRPr="001C0604">
              <w:rPr>
                <w:lang w:val="en-US"/>
              </w:rPr>
              <w:t>[</w:t>
            </w:r>
            <w:r>
              <w:rPr>
                <w:lang w:val="en-US"/>
              </w:rPr>
              <w:t>from FG-AI4EE</w:t>
            </w:r>
            <w:r w:rsidR="00C37A5D">
              <w:rPr>
                <w:lang w:val="en-US"/>
              </w:rPr>
              <w:t xml:space="preserve"> to SG13</w:t>
            </w:r>
            <w:r w:rsidRPr="001C0604">
              <w:rPr>
                <w:lang w:val="en-US"/>
              </w:rPr>
              <w:t>]</w:t>
            </w:r>
          </w:p>
        </w:tc>
      </w:tr>
      <w:tr w:rsidR="00E03557" w:rsidRPr="00E03557" w14:paraId="6CCF8811" w14:textId="77777777" w:rsidTr="004B72CC">
        <w:trPr>
          <w:cantSplit/>
          <w:jc w:val="center"/>
        </w:trPr>
        <w:tc>
          <w:tcPr>
            <w:tcW w:w="1700" w:type="dxa"/>
            <w:gridSpan w:val="2"/>
            <w:tcBorders>
              <w:bottom w:val="single" w:sz="12" w:space="0" w:color="auto"/>
            </w:tcBorders>
          </w:tcPr>
          <w:p w14:paraId="49548675" w14:textId="77777777" w:rsidR="00E03557" w:rsidRPr="00E03557" w:rsidRDefault="00E03557" w:rsidP="002E6647">
            <w:pPr>
              <w:rPr>
                <w:b/>
                <w:bCs/>
              </w:rPr>
            </w:pPr>
            <w:bookmarkStart w:id="11" w:name="dpurpose" w:colFirst="1" w:colLast="1"/>
            <w:bookmarkEnd w:id="9"/>
            <w:r w:rsidRPr="00E03557">
              <w:rPr>
                <w:b/>
                <w:bCs/>
              </w:rPr>
              <w:t>Purpose:</w:t>
            </w:r>
          </w:p>
        </w:tc>
        <w:tc>
          <w:tcPr>
            <w:tcW w:w="7940" w:type="dxa"/>
            <w:gridSpan w:val="4"/>
            <w:tcBorders>
              <w:bottom w:val="single" w:sz="12" w:space="0" w:color="auto"/>
            </w:tcBorders>
          </w:tcPr>
          <w:p w14:paraId="4AB715E3" w14:textId="20DE9C5C" w:rsidR="00E03557" w:rsidRPr="00BC1D31" w:rsidRDefault="00780882" w:rsidP="002E6647">
            <w:pPr>
              <w:rPr>
                <w:highlight w:val="yellow"/>
              </w:rPr>
            </w:pPr>
            <w:r w:rsidRPr="00292B22">
              <w:t>Information</w:t>
            </w:r>
          </w:p>
        </w:tc>
      </w:tr>
      <w:bookmarkEnd w:id="0"/>
      <w:bookmarkEnd w:id="11"/>
      <w:tr w:rsidR="004B72CC" w:rsidRPr="003B549C" w14:paraId="6C7CBD1F" w14:textId="77777777" w:rsidTr="003B7D50">
        <w:trPr>
          <w:cantSplit/>
          <w:jc w:val="center"/>
        </w:trPr>
        <w:tc>
          <w:tcPr>
            <w:tcW w:w="9640" w:type="dxa"/>
            <w:gridSpan w:val="6"/>
            <w:tcBorders>
              <w:bottom w:val="single" w:sz="6" w:space="0" w:color="auto"/>
            </w:tcBorders>
          </w:tcPr>
          <w:p w14:paraId="564D7002" w14:textId="77777777" w:rsidR="004B72CC" w:rsidRPr="004B72CC" w:rsidRDefault="004B72CC" w:rsidP="004B72CC">
            <w:pPr>
              <w:jc w:val="center"/>
              <w:rPr>
                <w:b/>
                <w:lang w:val="fr-FR"/>
              </w:rPr>
            </w:pPr>
            <w:r w:rsidRPr="004B72CC">
              <w:rPr>
                <w:b/>
                <w:lang w:val="fr-FR"/>
              </w:rPr>
              <w:t>LIAISON STATEMENT</w:t>
            </w:r>
          </w:p>
          <w:p w14:paraId="5AE05DD6" w14:textId="4820D392" w:rsidR="004B72CC" w:rsidRPr="004B72CC" w:rsidRDefault="004B72CC" w:rsidP="004B72CC">
            <w:pPr>
              <w:jc w:val="center"/>
              <w:rPr>
                <w:lang w:val="fr-FR"/>
              </w:rPr>
            </w:pPr>
            <w:r w:rsidRPr="004B72CC">
              <w:rPr>
                <w:b/>
                <w:lang w:val="fr-FR"/>
              </w:rPr>
              <w:t>(Ref:</w:t>
            </w:r>
            <w:hyperlink r:id="rId12" w:history="1">
              <w:r w:rsidR="00780882">
                <w:rPr>
                  <w:rStyle w:val="Hyperlink"/>
                  <w:b/>
                  <w:lang w:val="fr-FR"/>
                </w:rPr>
                <w:t>FG AI4EE-LS3</w:t>
              </w:r>
            </w:hyperlink>
            <w:r w:rsidR="00780882" w:rsidRPr="004B72CC">
              <w:rPr>
                <w:b/>
                <w:bCs/>
                <w:lang w:val="fr-FR"/>
              </w:rPr>
              <w:t>)</w:t>
            </w:r>
          </w:p>
        </w:tc>
      </w:tr>
      <w:tr w:rsidR="004B72CC" w:rsidRPr="004B72CC" w14:paraId="3148FFB4" w14:textId="77777777" w:rsidTr="002742C3">
        <w:trPr>
          <w:cantSplit/>
          <w:jc w:val="center"/>
        </w:trPr>
        <w:tc>
          <w:tcPr>
            <w:tcW w:w="2160" w:type="dxa"/>
            <w:gridSpan w:val="3"/>
            <w:tcBorders>
              <w:bottom w:val="single" w:sz="6" w:space="0" w:color="auto"/>
            </w:tcBorders>
          </w:tcPr>
          <w:p w14:paraId="72603EA6" w14:textId="378439B6" w:rsidR="004B72CC" w:rsidRPr="004B72CC" w:rsidRDefault="006C01C4" w:rsidP="004B72CC">
            <w:pPr>
              <w:rPr>
                <w:b/>
                <w:bCs/>
                <w:lang w:val="fr-FR"/>
              </w:rPr>
            </w:pPr>
            <w:r w:rsidRPr="003869CD">
              <w:rPr>
                <w:b/>
                <w:bCs/>
              </w:rPr>
              <w:t>For action to:</w:t>
            </w:r>
          </w:p>
        </w:tc>
        <w:tc>
          <w:tcPr>
            <w:tcW w:w="7480" w:type="dxa"/>
            <w:gridSpan w:val="3"/>
            <w:tcBorders>
              <w:bottom w:val="single" w:sz="6" w:space="0" w:color="auto"/>
            </w:tcBorders>
          </w:tcPr>
          <w:p w14:paraId="7150513A" w14:textId="22FDA6ED" w:rsidR="004B72CC" w:rsidRPr="0026004B" w:rsidRDefault="00780882" w:rsidP="004B72CC">
            <w:r w:rsidRPr="005D35E1">
              <w:t>ITU-T Study Group 13</w:t>
            </w:r>
          </w:p>
        </w:tc>
      </w:tr>
      <w:tr w:rsidR="006C01C4" w:rsidRPr="004B72CC" w14:paraId="23F2A12D" w14:textId="77777777" w:rsidTr="002742C3">
        <w:trPr>
          <w:cantSplit/>
          <w:jc w:val="center"/>
        </w:trPr>
        <w:tc>
          <w:tcPr>
            <w:tcW w:w="2160" w:type="dxa"/>
            <w:gridSpan w:val="3"/>
            <w:tcBorders>
              <w:bottom w:val="single" w:sz="6" w:space="0" w:color="auto"/>
            </w:tcBorders>
          </w:tcPr>
          <w:p w14:paraId="73FBB5AB" w14:textId="79C3AA26" w:rsidR="006C01C4" w:rsidRPr="003869CD" w:rsidRDefault="006C01C4" w:rsidP="004B72CC">
            <w:pPr>
              <w:rPr>
                <w:b/>
                <w:bCs/>
              </w:rPr>
            </w:pPr>
            <w:r>
              <w:rPr>
                <w:b/>
                <w:bCs/>
              </w:rPr>
              <w:t>For comment to:</w:t>
            </w:r>
          </w:p>
        </w:tc>
        <w:tc>
          <w:tcPr>
            <w:tcW w:w="7480" w:type="dxa"/>
            <w:gridSpan w:val="3"/>
            <w:tcBorders>
              <w:bottom w:val="single" w:sz="6" w:space="0" w:color="auto"/>
            </w:tcBorders>
          </w:tcPr>
          <w:p w14:paraId="1A75600D" w14:textId="0EC9A0EA" w:rsidR="006C01C4" w:rsidRPr="00FC5A2D" w:rsidRDefault="006C01C4" w:rsidP="004B72CC">
            <w:r w:rsidRPr="00FC5A2D">
              <w:t>-</w:t>
            </w:r>
          </w:p>
        </w:tc>
      </w:tr>
      <w:tr w:rsidR="006C01C4" w:rsidRPr="00C37A5D" w14:paraId="116ED630" w14:textId="77777777" w:rsidTr="002742C3">
        <w:trPr>
          <w:cantSplit/>
          <w:jc w:val="center"/>
        </w:trPr>
        <w:tc>
          <w:tcPr>
            <w:tcW w:w="2160" w:type="dxa"/>
            <w:gridSpan w:val="3"/>
            <w:tcBorders>
              <w:bottom w:val="single" w:sz="6" w:space="0" w:color="auto"/>
            </w:tcBorders>
          </w:tcPr>
          <w:p w14:paraId="20B11EAF" w14:textId="449A32D3" w:rsidR="006C01C4" w:rsidRPr="004B72CC" w:rsidRDefault="006C01C4" w:rsidP="006C01C4">
            <w:pPr>
              <w:rPr>
                <w:b/>
                <w:bCs/>
                <w:lang w:val="fr-FR"/>
              </w:rPr>
            </w:pPr>
            <w:r w:rsidRPr="003869CD">
              <w:rPr>
                <w:b/>
                <w:bCs/>
              </w:rPr>
              <w:t>For information to:</w:t>
            </w:r>
          </w:p>
        </w:tc>
        <w:tc>
          <w:tcPr>
            <w:tcW w:w="7480" w:type="dxa"/>
            <w:gridSpan w:val="3"/>
            <w:tcBorders>
              <w:bottom w:val="single" w:sz="6" w:space="0" w:color="auto"/>
            </w:tcBorders>
          </w:tcPr>
          <w:p w14:paraId="45F2DF57" w14:textId="46B3A817" w:rsidR="006C01C4" w:rsidRPr="00780882" w:rsidRDefault="00780882" w:rsidP="006C01C4">
            <w:pPr>
              <w:rPr>
                <w:lang w:val="fr-FR"/>
              </w:rPr>
            </w:pPr>
            <w:r w:rsidRPr="00780882">
              <w:rPr>
                <w:lang w:val="fr-FR"/>
              </w:rPr>
              <w:t xml:space="preserve">IEEE, Khronous Group, ISO/IEC JTC1/SC42, SC29, ITU-R SG6, W3C, DMG, FG-AI4H, </w:t>
            </w:r>
            <w:r w:rsidRPr="0099445B">
              <w:rPr>
                <w:bCs/>
                <w:lang w:val="it-IT"/>
              </w:rPr>
              <w:t>FG-AI4AD</w:t>
            </w:r>
          </w:p>
        </w:tc>
      </w:tr>
      <w:tr w:rsidR="006C01C4" w:rsidRPr="006C01C4" w14:paraId="27104DD9" w14:textId="77777777" w:rsidTr="002742C3">
        <w:trPr>
          <w:cantSplit/>
          <w:jc w:val="center"/>
        </w:trPr>
        <w:tc>
          <w:tcPr>
            <w:tcW w:w="2160" w:type="dxa"/>
            <w:gridSpan w:val="3"/>
            <w:tcBorders>
              <w:bottom w:val="single" w:sz="6" w:space="0" w:color="auto"/>
            </w:tcBorders>
          </w:tcPr>
          <w:p w14:paraId="4DA6CFD3" w14:textId="1360AC7D" w:rsidR="006C01C4" w:rsidRPr="004B72CC" w:rsidRDefault="006C01C4" w:rsidP="006C01C4">
            <w:pPr>
              <w:rPr>
                <w:b/>
                <w:bCs/>
                <w:lang w:val="fr-FR"/>
              </w:rPr>
            </w:pPr>
            <w:r>
              <w:rPr>
                <w:b/>
                <w:bCs/>
              </w:rPr>
              <w:t>Approval:</w:t>
            </w:r>
          </w:p>
        </w:tc>
        <w:tc>
          <w:tcPr>
            <w:tcW w:w="7480" w:type="dxa"/>
            <w:gridSpan w:val="3"/>
            <w:tcBorders>
              <w:bottom w:val="single" w:sz="6" w:space="0" w:color="auto"/>
            </w:tcBorders>
          </w:tcPr>
          <w:p w14:paraId="137FC0B3" w14:textId="21BB3BE5" w:rsidR="006C01C4" w:rsidRPr="008053D2" w:rsidRDefault="00780882" w:rsidP="006C01C4">
            <w:pPr>
              <w:rPr>
                <w:b/>
                <w:bCs/>
              </w:rPr>
            </w:pPr>
            <w:r>
              <w:t>Approved by correspondence by FG-AI4EE Co-Chairmen on 29 January 2021</w:t>
            </w:r>
          </w:p>
        </w:tc>
      </w:tr>
      <w:tr w:rsidR="006C01C4" w:rsidRPr="004B72CC" w14:paraId="40A949FB" w14:textId="77777777" w:rsidTr="00831526">
        <w:trPr>
          <w:cantSplit/>
          <w:jc w:val="center"/>
        </w:trPr>
        <w:tc>
          <w:tcPr>
            <w:tcW w:w="2160" w:type="dxa"/>
            <w:gridSpan w:val="3"/>
            <w:tcBorders>
              <w:bottom w:val="single" w:sz="12" w:space="0" w:color="auto"/>
            </w:tcBorders>
          </w:tcPr>
          <w:p w14:paraId="432E372D" w14:textId="4927217B" w:rsidR="006C01C4" w:rsidRPr="004B72CC" w:rsidRDefault="006C01C4" w:rsidP="006C01C4">
            <w:pPr>
              <w:rPr>
                <w:b/>
                <w:bCs/>
                <w:lang w:val="fr-FR"/>
              </w:rPr>
            </w:pPr>
            <w:r>
              <w:rPr>
                <w:b/>
                <w:bCs/>
              </w:rPr>
              <w:t>Deadline:</w:t>
            </w:r>
          </w:p>
        </w:tc>
        <w:tc>
          <w:tcPr>
            <w:tcW w:w="7480" w:type="dxa"/>
            <w:gridSpan w:val="3"/>
            <w:tcBorders>
              <w:bottom w:val="single" w:sz="12" w:space="0" w:color="auto"/>
            </w:tcBorders>
          </w:tcPr>
          <w:p w14:paraId="5F079343" w14:textId="51DEB6DD" w:rsidR="006C01C4" w:rsidRPr="004B72CC" w:rsidRDefault="00780882" w:rsidP="006C01C4">
            <w:pPr>
              <w:rPr>
                <w:lang w:val="fr-FR"/>
              </w:rPr>
            </w:pPr>
            <w:r>
              <w:t>N/A</w:t>
            </w:r>
          </w:p>
        </w:tc>
      </w:tr>
      <w:tr w:rsidR="006C01C4" w:rsidRPr="00C37A5D" w14:paraId="487F5750" w14:textId="77777777" w:rsidTr="00780882">
        <w:trPr>
          <w:cantSplit/>
          <w:jc w:val="center"/>
        </w:trPr>
        <w:tc>
          <w:tcPr>
            <w:tcW w:w="1700" w:type="dxa"/>
            <w:gridSpan w:val="2"/>
            <w:tcBorders>
              <w:top w:val="single" w:sz="12" w:space="0" w:color="auto"/>
              <w:bottom w:val="single" w:sz="12" w:space="0" w:color="auto"/>
            </w:tcBorders>
          </w:tcPr>
          <w:p w14:paraId="70A3F5E0" w14:textId="77777777" w:rsidR="006C01C4" w:rsidRPr="00E03557" w:rsidRDefault="006C01C4" w:rsidP="006C01C4">
            <w:pPr>
              <w:rPr>
                <w:b/>
                <w:bCs/>
              </w:rPr>
            </w:pPr>
            <w:r w:rsidRPr="00E03557">
              <w:rPr>
                <w:b/>
                <w:bCs/>
              </w:rPr>
              <w:t>Contact:</w:t>
            </w:r>
          </w:p>
        </w:tc>
        <w:tc>
          <w:tcPr>
            <w:tcW w:w="4353" w:type="dxa"/>
            <w:gridSpan w:val="3"/>
            <w:tcBorders>
              <w:top w:val="single" w:sz="12" w:space="0" w:color="auto"/>
              <w:bottom w:val="single" w:sz="12" w:space="0" w:color="auto"/>
            </w:tcBorders>
          </w:tcPr>
          <w:p w14:paraId="5D1C7C66" w14:textId="7A639EA3" w:rsidR="006C01C4" w:rsidRPr="00BC1D31" w:rsidRDefault="00333C7C" w:rsidP="00780882">
            <w:pPr>
              <w:rPr>
                <w:highlight w:val="yellow"/>
              </w:rPr>
            </w:pPr>
            <w:sdt>
              <w:sdtPr>
                <w:rPr>
                  <w:color w:val="000000"/>
                </w:rPr>
                <w:alias w:val="ContactNameOrgCountry"/>
                <w:tag w:val="ContactNameOrgCountry"/>
                <w:id w:val="1078634859"/>
                <w:placeholder>
                  <w:docPart w:val="4CD06AD098E64A9D9E5253F653CC5ABE"/>
                </w:placeholder>
                <w:text w:multiLine="1"/>
              </w:sdtPr>
              <w:sdtEndPr/>
              <w:sdtContent>
                <w:r w:rsidR="003B549C">
                  <w:rPr>
                    <w:color w:val="000000"/>
                  </w:rPr>
                  <w:t xml:space="preserve">Paolo Gemma </w:t>
                </w:r>
                <w:r w:rsidR="003B549C">
                  <w:rPr>
                    <w:color w:val="000000"/>
                  </w:rPr>
                  <w:br/>
                  <w:t>Co-chairman</w:t>
                </w:r>
                <w:r w:rsidR="003B549C">
                  <w:rPr>
                    <w:color w:val="000000"/>
                  </w:rPr>
                  <w:br/>
                  <w:t>FG-AI4EE</w:t>
                </w:r>
              </w:sdtContent>
            </w:sdt>
          </w:p>
        </w:tc>
        <w:sdt>
          <w:sdtPr>
            <w:alias w:val="ContactTelFaxEmail"/>
            <w:tag w:val="ContactTelFaxEmail"/>
            <w:id w:val="-490714410"/>
            <w:placeholder>
              <w:docPart w:val="586074ABF292486E9445FC398519C679"/>
            </w:placeholder>
          </w:sdtPr>
          <w:sdtEndPr/>
          <w:sdtContent>
            <w:sdt>
              <w:sdtPr>
                <w:alias w:val="ContactTelFaxEmail"/>
                <w:tag w:val="ContactTelFaxEmail"/>
                <w:id w:val="-75828400"/>
                <w:placeholder>
                  <w:docPart w:val="AA1252C01552468DAAD11E7CA98668CE"/>
                </w:placeholder>
              </w:sdtPr>
              <w:sdtEndPr/>
              <w:sdtContent>
                <w:tc>
                  <w:tcPr>
                    <w:tcW w:w="3587" w:type="dxa"/>
                    <w:tcBorders>
                      <w:top w:val="single" w:sz="12" w:space="0" w:color="auto"/>
                      <w:bottom w:val="single" w:sz="12" w:space="0" w:color="auto"/>
                    </w:tcBorders>
                  </w:tcPr>
                  <w:p w14:paraId="28DD2FCB" w14:textId="3A832056" w:rsidR="006C01C4" w:rsidRPr="00780882" w:rsidRDefault="00780882" w:rsidP="006C01C4">
                    <w:pPr>
                      <w:rPr>
                        <w:highlight w:val="yellow"/>
                        <w:lang w:val="fr-FR"/>
                      </w:rPr>
                    </w:pPr>
                    <w:r w:rsidRPr="00E37B3A">
                      <w:rPr>
                        <w:color w:val="000000"/>
                        <w:lang w:val="fr-FR"/>
                      </w:rPr>
                      <w:t xml:space="preserve">Tel: +393483690185 </w:t>
                    </w:r>
                    <w:r w:rsidRPr="00E37B3A">
                      <w:rPr>
                        <w:color w:val="000000"/>
                        <w:lang w:val="fr-FR"/>
                      </w:rPr>
                      <w:br/>
                      <w:t xml:space="preserve">E-mail: </w:t>
                    </w:r>
                    <w:hyperlink r:id="rId13" w:history="1">
                      <w:r w:rsidRPr="00E37B3A">
                        <w:rPr>
                          <w:rStyle w:val="Hyperlink"/>
                          <w:lang w:val="fr-FR"/>
                        </w:rPr>
                        <w:t>paolo.gemma@huawei.com</w:t>
                      </w:r>
                    </w:hyperlink>
                    <w:r>
                      <w:rPr>
                        <w:color w:val="000000"/>
                        <w:sz w:val="27"/>
                        <w:szCs w:val="27"/>
                        <w:lang w:val="fr-FR"/>
                      </w:rPr>
                      <w:t xml:space="preserve"> </w:t>
                    </w:r>
                    <w:r w:rsidRPr="00C55EAF">
                      <w:rPr>
                        <w:color w:val="000000"/>
                        <w:sz w:val="27"/>
                        <w:szCs w:val="27"/>
                        <w:lang w:val="fr-FR"/>
                      </w:rPr>
                      <w:t xml:space="preserve"> </w:t>
                    </w:r>
                  </w:p>
                </w:tc>
              </w:sdtContent>
            </w:sdt>
          </w:sdtContent>
        </w:sdt>
      </w:tr>
      <w:tr w:rsidR="00780882" w:rsidRPr="00C37A5D" w14:paraId="410609A1" w14:textId="77777777" w:rsidTr="00831526">
        <w:trPr>
          <w:cantSplit/>
          <w:jc w:val="center"/>
        </w:trPr>
        <w:tc>
          <w:tcPr>
            <w:tcW w:w="1700" w:type="dxa"/>
            <w:gridSpan w:val="2"/>
            <w:tcBorders>
              <w:top w:val="single" w:sz="12" w:space="0" w:color="auto"/>
              <w:bottom w:val="single" w:sz="6" w:space="0" w:color="auto"/>
            </w:tcBorders>
          </w:tcPr>
          <w:p w14:paraId="7E3B135B" w14:textId="3C4E2935" w:rsidR="00780882" w:rsidRPr="00E03557" w:rsidRDefault="00780882" w:rsidP="006C01C4">
            <w:pPr>
              <w:rPr>
                <w:b/>
                <w:bCs/>
              </w:rPr>
            </w:pPr>
            <w:r w:rsidRPr="00E03557">
              <w:rPr>
                <w:b/>
                <w:bCs/>
              </w:rPr>
              <w:t>Contact:</w:t>
            </w:r>
          </w:p>
        </w:tc>
        <w:tc>
          <w:tcPr>
            <w:tcW w:w="4353" w:type="dxa"/>
            <w:gridSpan w:val="3"/>
            <w:tcBorders>
              <w:top w:val="single" w:sz="12" w:space="0" w:color="auto"/>
              <w:bottom w:val="single" w:sz="6" w:space="0" w:color="auto"/>
            </w:tcBorders>
          </w:tcPr>
          <w:p w14:paraId="3B628803" w14:textId="4F2C43E5" w:rsidR="00780882" w:rsidRPr="00780882" w:rsidRDefault="00333C7C" w:rsidP="00780882">
            <w:pPr>
              <w:rPr>
                <w:color w:val="000000"/>
              </w:rPr>
            </w:pPr>
            <w:sdt>
              <w:sdtPr>
                <w:rPr>
                  <w:rFonts w:eastAsia="SimSun"/>
                </w:rPr>
                <w:alias w:val="ContactNameOrgCountry"/>
                <w:tag w:val="ContactNameOrgCountry"/>
                <w:id w:val="1639759673"/>
                <w:placeholder>
                  <w:docPart w:val="AC9AA0C433A04541AA12D725C88561DB"/>
                </w:placeholder>
                <w:text w:multiLine="1"/>
              </w:sdtPr>
              <w:sdtEndPr/>
              <w:sdtContent>
                <w:r w:rsidR="003B549C">
                  <w:rPr>
                    <w:rFonts w:eastAsia="SimSun"/>
                  </w:rPr>
                  <w:t>Neil Sahota</w:t>
                </w:r>
                <w:r w:rsidR="003B549C">
                  <w:rPr>
                    <w:rFonts w:eastAsia="SimSun"/>
                  </w:rPr>
                  <w:br/>
                  <w:t xml:space="preserve">Co-chairman </w:t>
                </w:r>
                <w:r w:rsidR="003B549C">
                  <w:rPr>
                    <w:rFonts w:eastAsia="SimSun"/>
                  </w:rPr>
                  <w:br/>
                  <w:t>FG-AI4EE</w:t>
                </w:r>
              </w:sdtContent>
            </w:sdt>
          </w:p>
        </w:tc>
        <w:sdt>
          <w:sdtPr>
            <w:alias w:val="ContactTelFaxEmail"/>
            <w:tag w:val="ContactTelFaxEmail"/>
            <w:id w:val="1937089556"/>
            <w:placeholder>
              <w:docPart w:val="8678BA5498D64338B25D3A027BAB7E65"/>
            </w:placeholder>
          </w:sdtPr>
          <w:sdtEndPr/>
          <w:sdtContent>
            <w:sdt>
              <w:sdtPr>
                <w:alias w:val="ContactTelFaxEmail"/>
                <w:tag w:val="ContactTelFaxEmail"/>
                <w:id w:val="-210963694"/>
                <w:placeholder>
                  <w:docPart w:val="16A1E82A8B5E48009CBBB5D668FE195A"/>
                </w:placeholder>
              </w:sdtPr>
              <w:sdtEndPr/>
              <w:sdtContent>
                <w:tc>
                  <w:tcPr>
                    <w:tcW w:w="3587" w:type="dxa"/>
                    <w:tcBorders>
                      <w:top w:val="single" w:sz="12" w:space="0" w:color="auto"/>
                      <w:bottom w:val="single" w:sz="6" w:space="0" w:color="auto"/>
                    </w:tcBorders>
                  </w:tcPr>
                  <w:p w14:paraId="4E08C1F7" w14:textId="5C5E9149" w:rsidR="00780882" w:rsidRPr="00ED60F4" w:rsidRDefault="00ED60F4" w:rsidP="006C01C4">
                    <w:pPr>
                      <w:rPr>
                        <w:lang w:val="fr-FR"/>
                      </w:rPr>
                    </w:pPr>
                    <w:r w:rsidRPr="0039133B">
                      <w:rPr>
                        <w:lang w:val="fr-CH"/>
                      </w:rPr>
                      <w:t xml:space="preserve">E-mail: </w:t>
                    </w:r>
                    <w:hyperlink r:id="rId14" w:history="1">
                      <w:r w:rsidRPr="0039133B">
                        <w:rPr>
                          <w:rStyle w:val="Hyperlink"/>
                          <w:lang w:val="fr-CH"/>
                        </w:rPr>
                        <w:t>nsahota@law.uci.edu</w:t>
                      </w:r>
                    </w:hyperlink>
                    <w:r>
                      <w:rPr>
                        <w:color w:val="000000"/>
                        <w:sz w:val="27"/>
                        <w:szCs w:val="27"/>
                        <w:lang w:val="fr-FR"/>
                      </w:rPr>
                      <w:t xml:space="preserve"> </w:t>
                    </w:r>
                    <w:r w:rsidRPr="00C55EAF">
                      <w:rPr>
                        <w:color w:val="000000"/>
                        <w:sz w:val="27"/>
                        <w:szCs w:val="27"/>
                        <w:lang w:val="fr-FR"/>
                      </w:rPr>
                      <w:t xml:space="preserve"> </w:t>
                    </w:r>
                  </w:p>
                </w:tc>
              </w:sdtContent>
            </w:sdt>
          </w:sdtContent>
        </w:sdt>
      </w:tr>
    </w:tbl>
    <w:p w14:paraId="7D7B8E54" w14:textId="77777777" w:rsidR="00E03557" w:rsidRPr="00ED60F4" w:rsidRDefault="00E03557" w:rsidP="00E03557">
      <w:pPr>
        <w:rPr>
          <w:lang w:val="fr-FR"/>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11DC36C" w:rsidR="00E03557" w:rsidRPr="00ED60F4" w:rsidRDefault="00ED60F4" w:rsidP="002E6647">
            <w:pPr>
              <w:rPr>
                <w:highlight w:val="yellow"/>
              </w:rPr>
            </w:pPr>
            <w:r w:rsidRPr="00ED60F4">
              <w:t xml:space="preserve">This liaison statement informs ITU-T SG13 on the work being carried in </w:t>
            </w:r>
            <w:r w:rsidRPr="00ED60F4">
              <w:rPr>
                <w:color w:val="000000"/>
              </w:rPr>
              <w:t>FG</w:t>
            </w:r>
            <w:r w:rsidRPr="00ED60F4">
              <w:rPr>
                <w:color w:val="000000"/>
              </w:rPr>
              <w:noBreakHyphen/>
              <w:t>AI4EE.</w:t>
            </w:r>
          </w:p>
        </w:tc>
      </w:tr>
    </w:tbl>
    <w:p w14:paraId="2B77EE6C" w14:textId="15898A9C" w:rsidR="00ED60F4" w:rsidRPr="00ED60F4" w:rsidRDefault="00ED60F4" w:rsidP="00ED60F4">
      <w:pPr>
        <w:spacing w:before="240"/>
        <w:rPr>
          <w:lang w:eastAsia="zh-CN"/>
        </w:rPr>
      </w:pPr>
      <w:r w:rsidRPr="00E37B3A">
        <w:t>Focus Group on Environmental Efficiency for Artificial Intelligence and other Emerging Technologies</w:t>
      </w:r>
      <w:r>
        <w:t xml:space="preserve"> (</w:t>
      </w:r>
      <w:r w:rsidRPr="00ED60F4">
        <w:rPr>
          <w:color w:val="000000"/>
        </w:rPr>
        <w:t>FG-AI4EE</w:t>
      </w:r>
      <w:r>
        <w:rPr>
          <w:color w:val="000000"/>
        </w:rPr>
        <w:t>)</w:t>
      </w:r>
      <w:r w:rsidRPr="00ED60F4">
        <w:rPr>
          <w:color w:val="000000"/>
        </w:rPr>
        <w:t xml:space="preserve"> </w:t>
      </w:r>
      <w:r w:rsidRPr="00ED60F4">
        <w:rPr>
          <w:bCs/>
        </w:rPr>
        <w:t xml:space="preserve">thanks ITU-T Study Group 13 for the Liaison Statement </w:t>
      </w:r>
      <w:hyperlink r:id="rId15" w:history="1">
        <w:r w:rsidRPr="00ED60F4">
          <w:rPr>
            <w:rStyle w:val="Hyperlink"/>
          </w:rPr>
          <w:t>SG13-LS174</w:t>
        </w:r>
      </w:hyperlink>
      <w:r w:rsidRPr="00ED60F4">
        <w:t>.</w:t>
      </w:r>
    </w:p>
    <w:p w14:paraId="330273E9" w14:textId="77777777" w:rsidR="00ED60F4" w:rsidRPr="00ED60F4" w:rsidRDefault="00ED60F4" w:rsidP="00ED60F4">
      <w:r w:rsidRPr="00ED60F4">
        <w:rPr>
          <w:color w:val="000000"/>
        </w:rPr>
        <w:t xml:space="preserve">FG-AI4EE </w:t>
      </w:r>
      <w:r w:rsidRPr="00ED60F4">
        <w:rPr>
          <w:bCs/>
        </w:rPr>
        <w:t xml:space="preserve">would like to update SG13 on its current work items, with the aim to possibly include them in the draft supplement </w:t>
      </w:r>
      <w:r w:rsidRPr="00ED60F4">
        <w:rPr>
          <w:lang w:eastAsia="zh-CN"/>
        </w:rPr>
        <w:t xml:space="preserve">ITU-T </w:t>
      </w:r>
      <w:r w:rsidRPr="00ED60F4">
        <w:t>Y.sup.aisr. Please see below the scope of the Technical Reports and Technical Specifications under study.</w:t>
      </w:r>
    </w:p>
    <w:p w14:paraId="002580D9" w14:textId="77777777" w:rsidR="00ED60F4" w:rsidRPr="00ED60F4" w:rsidRDefault="00ED60F4" w:rsidP="00ED60F4">
      <w:pPr>
        <w:rPr>
          <w:bCs/>
        </w:rPr>
      </w:pPr>
      <w:r w:rsidRPr="00ED60F4">
        <w:rPr>
          <w:color w:val="000000"/>
        </w:rPr>
        <w:t xml:space="preserve">FG-AI4EE </w:t>
      </w:r>
      <w:r w:rsidRPr="00ED60F4">
        <w:t xml:space="preserve">stands ready to offer more information as necessary and </w:t>
      </w:r>
      <w:r w:rsidRPr="00ED60F4">
        <w:rPr>
          <w:bCs/>
        </w:rPr>
        <w:t>looks forward to collaborating closely with SG13.</w:t>
      </w:r>
    </w:p>
    <w:p w14:paraId="39CCB815" w14:textId="77777777" w:rsidR="00ED60F4" w:rsidRPr="00292B22" w:rsidRDefault="00ED60F4" w:rsidP="00ED60F4"/>
    <w:p w14:paraId="7DBEE0C2" w14:textId="77777777" w:rsidR="00ED60F4" w:rsidRPr="009E3C0A" w:rsidRDefault="00ED60F4" w:rsidP="00ED60F4">
      <w:pPr>
        <w:spacing w:before="360"/>
        <w:jc w:val="center"/>
        <w:rPr>
          <w:b/>
          <w:bCs/>
          <w:color w:val="000000"/>
          <w:u w:val="single"/>
        </w:rPr>
      </w:pPr>
      <w:r w:rsidRPr="009E3C0A">
        <w:rPr>
          <w:b/>
          <w:bCs/>
          <w:color w:val="000000"/>
          <w:u w:val="single"/>
        </w:rPr>
        <w:t xml:space="preserve">Initial agreed </w:t>
      </w:r>
      <w:bookmarkStart w:id="12" w:name="_Hlk61513556"/>
      <w:r w:rsidRPr="009E3C0A">
        <w:rPr>
          <w:b/>
          <w:bCs/>
          <w:color w:val="000000"/>
          <w:u w:val="single"/>
        </w:rPr>
        <w:t xml:space="preserve">work programme </w:t>
      </w:r>
      <w:bookmarkEnd w:id="12"/>
      <w:r w:rsidRPr="009E3C0A">
        <w:rPr>
          <w:b/>
          <w:bCs/>
          <w:color w:val="000000"/>
          <w:u w:val="single"/>
        </w:rPr>
        <w:t>(deliverables) of FG-AI4EE</w:t>
      </w:r>
    </w:p>
    <w:p w14:paraId="1EC1669E" w14:textId="77777777" w:rsidR="00ED60F4" w:rsidRDefault="00ED60F4" w:rsidP="00ED60F4">
      <w:pPr>
        <w:ind w:left="-142"/>
        <w:rPr>
          <w:lang w:eastAsia="ko-KR"/>
        </w:rPr>
      </w:pPr>
      <w:r>
        <w:rPr>
          <w:lang w:eastAsia="ko-KR"/>
        </w:rPr>
        <w:t xml:space="preserve">The list of all three FG-AI4EE Working Groups deliverables can be found online on </w:t>
      </w:r>
      <w:hyperlink r:id="rId16" w:history="1">
        <w:r>
          <w:rPr>
            <w:rStyle w:val="Hyperlink"/>
            <w:lang w:eastAsia="ko-KR"/>
          </w:rPr>
          <w:t>Focus Group homepage</w:t>
        </w:r>
      </w:hyperlink>
      <w:r>
        <w:rPr>
          <w:lang w:eastAsia="ko-KR"/>
        </w:rPr>
        <w:t>:</w:t>
      </w:r>
    </w:p>
    <w:p w14:paraId="7C8A83DA" w14:textId="77777777" w:rsidR="00ED60F4" w:rsidRDefault="00ED60F4" w:rsidP="00ED60F4">
      <w:pPr>
        <w:pStyle w:val="ListParagraph"/>
        <w:numPr>
          <w:ilvl w:val="0"/>
          <w:numId w:val="26"/>
        </w:numPr>
        <w:tabs>
          <w:tab w:val="left" w:pos="794"/>
          <w:tab w:val="left" w:pos="1191"/>
          <w:tab w:val="left" w:pos="1588"/>
          <w:tab w:val="left" w:pos="1985"/>
        </w:tabs>
        <w:overflowPunct w:val="0"/>
        <w:autoSpaceDE w:val="0"/>
        <w:autoSpaceDN w:val="0"/>
        <w:adjustRightInd w:val="0"/>
        <w:ind w:right="-709"/>
        <w:rPr>
          <w:lang w:eastAsia="ko-KR"/>
        </w:rPr>
      </w:pPr>
      <w:r>
        <w:rPr>
          <w:lang w:eastAsia="ko-KR"/>
        </w:rPr>
        <w:lastRenderedPageBreak/>
        <w:t xml:space="preserve">Working Group 1 deliverables: </w:t>
      </w:r>
    </w:p>
    <w:p w14:paraId="68F134D5" w14:textId="77777777" w:rsidR="00ED60F4" w:rsidRDefault="00333C7C" w:rsidP="00ED60F4">
      <w:pPr>
        <w:pStyle w:val="ListParagraph"/>
        <w:numPr>
          <w:ilvl w:val="0"/>
          <w:numId w:val="26"/>
        </w:numPr>
        <w:tabs>
          <w:tab w:val="left" w:pos="794"/>
          <w:tab w:val="left" w:pos="1191"/>
          <w:tab w:val="left" w:pos="1588"/>
          <w:tab w:val="left" w:pos="1985"/>
        </w:tabs>
        <w:overflowPunct w:val="0"/>
        <w:autoSpaceDE w:val="0"/>
        <w:autoSpaceDN w:val="0"/>
        <w:adjustRightInd w:val="0"/>
        <w:ind w:right="-709"/>
        <w:rPr>
          <w:rStyle w:val="Hyperlink"/>
        </w:rPr>
      </w:pPr>
      <w:hyperlink r:id="rId17" w:history="1">
        <w:r w:rsidR="00ED60F4">
          <w:rPr>
            <w:rStyle w:val="Hyperlink"/>
            <w:lang w:eastAsia="ko-KR"/>
          </w:rPr>
          <w:t>https://www.itu.int/en/ITU-T/focusgroups/ai4ee/Pages/WG1deliverables.aspx</w:t>
        </w:r>
      </w:hyperlink>
    </w:p>
    <w:p w14:paraId="0884CC4A" w14:textId="77777777" w:rsidR="00ED60F4" w:rsidRDefault="00ED60F4" w:rsidP="00ED60F4">
      <w:pPr>
        <w:pStyle w:val="ListParagraph"/>
        <w:numPr>
          <w:ilvl w:val="0"/>
          <w:numId w:val="26"/>
        </w:numPr>
        <w:tabs>
          <w:tab w:val="left" w:pos="794"/>
          <w:tab w:val="left" w:pos="1191"/>
          <w:tab w:val="left" w:pos="1588"/>
          <w:tab w:val="left" w:pos="1985"/>
        </w:tabs>
        <w:overflowPunct w:val="0"/>
        <w:autoSpaceDE w:val="0"/>
        <w:autoSpaceDN w:val="0"/>
        <w:adjustRightInd w:val="0"/>
        <w:ind w:right="-709"/>
        <w:rPr>
          <w:lang w:eastAsia="ko-KR"/>
        </w:rPr>
      </w:pPr>
      <w:r w:rsidRPr="009E3C0A">
        <w:t>Working Group 2 deliverables</w:t>
      </w:r>
      <w:r>
        <w:rPr>
          <w:lang w:eastAsia="ko-KR"/>
        </w:rPr>
        <w:t xml:space="preserve">: </w:t>
      </w:r>
    </w:p>
    <w:p w14:paraId="699DDE7D" w14:textId="77777777" w:rsidR="00ED60F4" w:rsidRDefault="00333C7C" w:rsidP="00ED60F4">
      <w:pPr>
        <w:pStyle w:val="ListParagraph"/>
        <w:numPr>
          <w:ilvl w:val="0"/>
          <w:numId w:val="26"/>
        </w:numPr>
        <w:tabs>
          <w:tab w:val="left" w:pos="794"/>
          <w:tab w:val="left" w:pos="1191"/>
          <w:tab w:val="left" w:pos="1588"/>
          <w:tab w:val="left" w:pos="1985"/>
        </w:tabs>
        <w:overflowPunct w:val="0"/>
        <w:autoSpaceDE w:val="0"/>
        <w:autoSpaceDN w:val="0"/>
        <w:adjustRightInd w:val="0"/>
        <w:ind w:right="283"/>
        <w:rPr>
          <w:lang w:eastAsia="ko-KR"/>
        </w:rPr>
      </w:pPr>
      <w:hyperlink r:id="rId18" w:history="1">
        <w:r w:rsidR="00ED60F4">
          <w:rPr>
            <w:rStyle w:val="Hyperlink"/>
            <w:lang w:eastAsia="ko-KR"/>
          </w:rPr>
          <w:t>https://www.itu.int/en/ITU-T/focusgroups/ai4ee/Pages/WG2deliverables.aspx</w:t>
        </w:r>
      </w:hyperlink>
      <w:r w:rsidR="00ED60F4">
        <w:rPr>
          <w:lang w:eastAsia="ko-KR"/>
        </w:rPr>
        <w:t xml:space="preserve"> </w:t>
      </w:r>
    </w:p>
    <w:p w14:paraId="686D56AC" w14:textId="77777777" w:rsidR="00ED60F4" w:rsidRDefault="00ED60F4" w:rsidP="00ED60F4">
      <w:pPr>
        <w:pStyle w:val="ListParagraph"/>
        <w:numPr>
          <w:ilvl w:val="0"/>
          <w:numId w:val="26"/>
        </w:numPr>
        <w:tabs>
          <w:tab w:val="left" w:pos="794"/>
          <w:tab w:val="left" w:pos="1191"/>
          <w:tab w:val="left" w:pos="1588"/>
          <w:tab w:val="left" w:pos="1985"/>
        </w:tabs>
        <w:overflowPunct w:val="0"/>
        <w:autoSpaceDE w:val="0"/>
        <w:autoSpaceDN w:val="0"/>
        <w:adjustRightInd w:val="0"/>
        <w:ind w:right="283"/>
        <w:rPr>
          <w:rStyle w:val="Hyperlink"/>
        </w:rPr>
      </w:pPr>
      <w:r>
        <w:rPr>
          <w:lang w:eastAsia="ko-KR"/>
        </w:rPr>
        <w:t>Working Group 3 deliverables</w:t>
      </w:r>
      <w:r>
        <w:rPr>
          <w:rStyle w:val="Hyperlink"/>
        </w:rPr>
        <w:t>:</w:t>
      </w:r>
    </w:p>
    <w:p w14:paraId="45A2E897" w14:textId="77777777" w:rsidR="00ED60F4" w:rsidRDefault="00ED60F4" w:rsidP="00ED60F4">
      <w:pPr>
        <w:pStyle w:val="ListParagraph"/>
        <w:numPr>
          <w:ilvl w:val="0"/>
          <w:numId w:val="26"/>
        </w:numPr>
        <w:tabs>
          <w:tab w:val="left" w:pos="794"/>
          <w:tab w:val="left" w:pos="1191"/>
          <w:tab w:val="left" w:pos="1588"/>
          <w:tab w:val="left" w:pos="1985"/>
        </w:tabs>
        <w:overflowPunct w:val="0"/>
        <w:autoSpaceDE w:val="0"/>
        <w:autoSpaceDN w:val="0"/>
        <w:adjustRightInd w:val="0"/>
        <w:ind w:right="283"/>
        <w:rPr>
          <w:rStyle w:val="Strong"/>
          <w:b w:val="0"/>
          <w:bCs w:val="0"/>
        </w:rPr>
      </w:pPr>
      <w:r>
        <w:rPr>
          <w:rStyle w:val="Hyperlink"/>
        </w:rPr>
        <w:t xml:space="preserve"> </w:t>
      </w:r>
      <w:hyperlink r:id="rId19" w:history="1">
        <w:r>
          <w:rPr>
            <w:rStyle w:val="Hyperlink"/>
            <w:lang w:eastAsia="ko-KR"/>
          </w:rPr>
          <w:t>https://www.itu.int/en/ITU-T/focusgroups/ai4ee/Pages/WG3deliverables.aspx</w:t>
        </w:r>
      </w:hyperlink>
      <w:r>
        <w:rPr>
          <w:rStyle w:val="Strong"/>
          <w:rFonts w:ascii="Arial" w:hAnsi="Arial" w:cs="Arial"/>
          <w:color w:val="444444"/>
          <w:sz w:val="18"/>
          <w:szCs w:val="18"/>
          <w:bdr w:val="none" w:sz="0" w:space="0" w:color="auto" w:frame="1"/>
          <w:shd w:val="clear" w:color="auto" w:fill="FFFFFF"/>
        </w:rPr>
        <w:t xml:space="preserve"> </w:t>
      </w:r>
    </w:p>
    <w:p w14:paraId="15C1B61C" w14:textId="77777777" w:rsidR="00ED60F4" w:rsidRDefault="00ED60F4" w:rsidP="00ED60F4"/>
    <w:p w14:paraId="43740E10" w14:textId="77777777" w:rsidR="00ED60F4" w:rsidRDefault="00ED60F4" w:rsidP="00ED60F4">
      <w:pPr>
        <w:pStyle w:val="Heading2"/>
        <w:ind w:left="-284" w:firstLine="0"/>
        <w:rPr>
          <w:rFonts w:eastAsia="Batang"/>
          <w:lang w:eastAsia="ko-KR"/>
        </w:rPr>
      </w:pPr>
      <w:r>
        <w:rPr>
          <w:rFonts w:eastAsia="Batang"/>
          <w:lang w:eastAsia="ko-KR"/>
        </w:rPr>
        <w:t>1. Working Group 1 (WG1) - Requirements of AI and other Emerging Technologies to Ensure Environmental Efficiency</w:t>
      </w:r>
    </w:p>
    <w:p w14:paraId="564C5700" w14:textId="77777777" w:rsidR="00ED60F4" w:rsidRPr="009E3C0A" w:rsidRDefault="00ED60F4" w:rsidP="00ED60F4">
      <w:pPr>
        <w:rPr>
          <w:lang w:eastAsia="ko-KR"/>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277"/>
        <w:gridCol w:w="2268"/>
        <w:gridCol w:w="1275"/>
        <w:gridCol w:w="4111"/>
        <w:gridCol w:w="1701"/>
      </w:tblGrid>
      <w:tr w:rsidR="00ED60F4" w14:paraId="5A179855" w14:textId="77777777" w:rsidTr="00BE436D">
        <w:tc>
          <w:tcPr>
            <w:tcW w:w="1277"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10" w:type="dxa"/>
              <w:left w:w="10" w:type="dxa"/>
              <w:bottom w:w="0" w:type="dxa"/>
              <w:right w:w="10" w:type="dxa"/>
            </w:tcMar>
            <w:hideMark/>
          </w:tcPr>
          <w:p w14:paraId="49B27703" w14:textId="77777777" w:rsidR="00ED60F4" w:rsidRDefault="00ED60F4" w:rsidP="00BE436D">
            <w:pPr>
              <w:pStyle w:val="Tablehead"/>
              <w:rPr>
                <w:lang w:val="en-US" w:eastAsia="ko-KR"/>
              </w:rPr>
            </w:pPr>
            <w:r>
              <w:rPr>
                <w:lang w:val="en-US" w:eastAsia="ko-KR"/>
              </w:rPr>
              <w:t>Provisional #</w:t>
            </w:r>
          </w:p>
        </w:tc>
        <w:tc>
          <w:tcPr>
            <w:tcW w:w="2268"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10" w:type="dxa"/>
              <w:left w:w="10" w:type="dxa"/>
              <w:bottom w:w="0" w:type="dxa"/>
              <w:right w:w="10" w:type="dxa"/>
            </w:tcMar>
            <w:hideMark/>
          </w:tcPr>
          <w:p w14:paraId="5E8C8A06" w14:textId="77777777" w:rsidR="00ED60F4" w:rsidRDefault="00ED60F4" w:rsidP="00BE436D">
            <w:pPr>
              <w:pStyle w:val="Tablehead"/>
              <w:rPr>
                <w:lang w:val="en-US" w:eastAsia="ko-KR"/>
              </w:rPr>
            </w:pPr>
            <w:r>
              <w:rPr>
                <w:lang w:val="en-US" w:eastAsia="ko-KR"/>
              </w:rPr>
              <w:t>Deliverable title</w:t>
            </w:r>
          </w:p>
        </w:tc>
        <w:tc>
          <w:tcPr>
            <w:tcW w:w="1275"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10" w:type="dxa"/>
              <w:left w:w="10" w:type="dxa"/>
              <w:bottom w:w="0" w:type="dxa"/>
              <w:right w:w="10" w:type="dxa"/>
            </w:tcMar>
            <w:hideMark/>
          </w:tcPr>
          <w:p w14:paraId="50980383" w14:textId="77777777" w:rsidR="00ED60F4" w:rsidRDefault="00ED60F4" w:rsidP="00BE436D">
            <w:pPr>
              <w:pStyle w:val="Tablehead"/>
              <w:rPr>
                <w:lang w:val="en-US" w:eastAsia="ko-KR"/>
              </w:rPr>
            </w:pPr>
            <w:r>
              <w:rPr>
                <w:lang w:val="en-US" w:eastAsia="ko-KR"/>
              </w:rPr>
              <w:t>Category</w:t>
            </w:r>
          </w:p>
        </w:tc>
        <w:tc>
          <w:tcPr>
            <w:tcW w:w="411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2CB91AD" w14:textId="77777777" w:rsidR="00ED60F4" w:rsidRDefault="00ED60F4" w:rsidP="00BE436D">
            <w:pPr>
              <w:pStyle w:val="Tablehead"/>
              <w:rPr>
                <w:lang w:val="en-US" w:eastAsia="ko-KR"/>
              </w:rPr>
            </w:pPr>
            <w:r>
              <w:rPr>
                <w:lang w:val="en-US" w:eastAsia="ko-KR"/>
              </w:rPr>
              <w:t>Scope</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10" w:type="dxa"/>
              <w:left w:w="10" w:type="dxa"/>
              <w:bottom w:w="0" w:type="dxa"/>
              <w:right w:w="10" w:type="dxa"/>
            </w:tcMar>
            <w:hideMark/>
          </w:tcPr>
          <w:p w14:paraId="06A098EE" w14:textId="77777777" w:rsidR="00ED60F4" w:rsidRDefault="00ED60F4" w:rsidP="00BE436D">
            <w:pPr>
              <w:pStyle w:val="Tablehead"/>
              <w:rPr>
                <w:lang w:val="en-US" w:eastAsia="ko-KR"/>
              </w:rPr>
            </w:pPr>
            <w:r>
              <w:rPr>
                <w:lang w:val="en-US" w:eastAsia="ko-KR"/>
              </w:rPr>
              <w:t>Leader</w:t>
            </w:r>
          </w:p>
        </w:tc>
      </w:tr>
      <w:tr w:rsidR="00ED60F4" w14:paraId="2A3BB1A1" w14:textId="77777777" w:rsidTr="00BE436D">
        <w:trPr>
          <w:trHeight w:val="250"/>
        </w:trPr>
        <w:tc>
          <w:tcPr>
            <w:tcW w:w="127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hideMark/>
          </w:tcPr>
          <w:p w14:paraId="563BE5B8" w14:textId="77777777" w:rsidR="00ED60F4" w:rsidRDefault="00ED60F4" w:rsidP="00BE436D">
            <w:pPr>
              <w:pStyle w:val="Tabletext"/>
              <w:rPr>
                <w:lang w:val="en-US" w:eastAsia="ko-KR"/>
              </w:rPr>
            </w:pPr>
            <w:r>
              <w:rPr>
                <w:lang w:val="en-US" w:eastAsia="ko-KR"/>
              </w:rPr>
              <w:t>D.WG1-01</w:t>
            </w:r>
          </w:p>
        </w:tc>
        <w:tc>
          <w:tcPr>
            <w:tcW w:w="226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hideMark/>
          </w:tcPr>
          <w:p w14:paraId="52E8B2D0" w14:textId="77777777" w:rsidR="00ED60F4" w:rsidRDefault="00ED60F4" w:rsidP="00BE436D">
            <w:pPr>
              <w:pStyle w:val="Tabletext"/>
              <w:rPr>
                <w:lang w:val="en-US" w:eastAsia="ko-KR"/>
              </w:rPr>
            </w:pPr>
            <w:r>
              <w:rPr>
                <w:lang w:val="en-US" w:eastAsia="ko-KR"/>
              </w:rPr>
              <w:t>Standardized Glossary of Terms</w:t>
            </w:r>
          </w:p>
        </w:tc>
        <w:tc>
          <w:tcPr>
            <w:tcW w:w="127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420AFC7" w14:textId="77777777" w:rsidR="00ED60F4" w:rsidRDefault="00ED60F4" w:rsidP="00BE436D">
            <w:pPr>
              <w:pStyle w:val="Tabletext"/>
              <w:jc w:val="center"/>
              <w:rPr>
                <w:lang w:val="en-US" w:eastAsia="ko-KR"/>
              </w:rPr>
            </w:pPr>
            <w:r>
              <w:rPr>
                <w:lang w:val="en-US" w:eastAsia="ko-KR"/>
              </w:rPr>
              <w:t>Technical Report</w:t>
            </w:r>
          </w:p>
        </w:tc>
        <w:tc>
          <w:tcPr>
            <w:tcW w:w="4111" w:type="dxa"/>
            <w:tcBorders>
              <w:top w:val="single" w:sz="4" w:space="0" w:color="auto"/>
              <w:left w:val="single" w:sz="4" w:space="0" w:color="auto"/>
              <w:bottom w:val="single" w:sz="4" w:space="0" w:color="auto"/>
              <w:right w:val="single" w:sz="4" w:space="0" w:color="auto"/>
            </w:tcBorders>
            <w:hideMark/>
          </w:tcPr>
          <w:p w14:paraId="35043372" w14:textId="77777777" w:rsidR="00ED60F4" w:rsidRDefault="00ED60F4" w:rsidP="00BE436D">
            <w:pPr>
              <w:pStyle w:val="Tabletext"/>
              <w:rPr>
                <w:lang w:val="en-US" w:eastAsia="ko-KR"/>
              </w:rPr>
            </w:pPr>
            <w:r>
              <w:rPr>
                <w:lang w:val="en-US" w:eastAsia="ko-KR"/>
              </w:rPr>
              <w:t>This document will contain a dictionary of common terms and phrases used in the Focus Group's deliverables that will help readers to have common definitions and frames of reference.</w:t>
            </w:r>
          </w:p>
        </w:tc>
        <w:tc>
          <w:tcPr>
            <w:tcW w:w="170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D366132" w14:textId="77777777" w:rsidR="00ED60F4" w:rsidRDefault="00ED60F4" w:rsidP="00BE436D">
            <w:pPr>
              <w:pStyle w:val="Tabletext"/>
              <w:jc w:val="center"/>
              <w:rPr>
                <w:lang w:val="en-US" w:eastAsia="ko-KR"/>
              </w:rPr>
            </w:pPr>
            <w:r>
              <w:rPr>
                <w:lang w:val="en-US" w:eastAsia="ko-KR"/>
              </w:rPr>
              <w:t>Neil Sahota, University of California</w:t>
            </w:r>
          </w:p>
        </w:tc>
      </w:tr>
      <w:tr w:rsidR="00ED60F4" w14:paraId="3613604F" w14:textId="77777777" w:rsidTr="00BE436D">
        <w:trPr>
          <w:trHeight w:val="436"/>
        </w:trPr>
        <w:tc>
          <w:tcPr>
            <w:tcW w:w="1277"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hideMark/>
          </w:tcPr>
          <w:p w14:paraId="4F1A27B5" w14:textId="77777777" w:rsidR="00ED60F4" w:rsidRDefault="00ED60F4" w:rsidP="00BE436D">
            <w:pPr>
              <w:pStyle w:val="Tabletext"/>
              <w:rPr>
                <w:lang w:val="en-US" w:eastAsia="ko-KR"/>
              </w:rPr>
            </w:pPr>
            <w:r>
              <w:rPr>
                <w:lang w:val="en-US" w:eastAsia="ko-KR"/>
              </w:rPr>
              <w:t>D.WG1-02</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hideMark/>
          </w:tcPr>
          <w:p w14:paraId="397229C4" w14:textId="77777777" w:rsidR="00ED60F4" w:rsidRDefault="00ED60F4" w:rsidP="00BE436D">
            <w:pPr>
              <w:pStyle w:val="Tabletext"/>
              <w:rPr>
                <w:lang w:val="en-US" w:eastAsia="ko-KR"/>
              </w:rPr>
            </w:pPr>
            <w:r>
              <w:rPr>
                <w:lang w:val="en-US" w:eastAsia="ko-KR"/>
              </w:rPr>
              <w:t>Scorecard to identify enhanced eco-friendly business processes</w:t>
            </w:r>
          </w:p>
        </w:tc>
        <w:tc>
          <w:tcPr>
            <w:tcW w:w="1275"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vAlign w:val="center"/>
            <w:hideMark/>
          </w:tcPr>
          <w:p w14:paraId="6BB903F7" w14:textId="77777777" w:rsidR="00ED60F4" w:rsidRDefault="00ED60F4" w:rsidP="00BE436D">
            <w:pPr>
              <w:pStyle w:val="Tabletext"/>
              <w:jc w:val="center"/>
              <w:rPr>
                <w:lang w:val="en-US" w:eastAsia="ko-KR"/>
              </w:rPr>
            </w:pPr>
            <w:r>
              <w:rPr>
                <w:lang w:val="en-US" w:eastAsia="ko-KR"/>
              </w:rPr>
              <w:t>Technical Report</w:t>
            </w:r>
          </w:p>
        </w:tc>
        <w:tc>
          <w:tcPr>
            <w:tcW w:w="4111" w:type="dxa"/>
            <w:tcBorders>
              <w:top w:val="single" w:sz="4" w:space="0" w:color="auto"/>
              <w:left w:val="single" w:sz="4" w:space="0" w:color="auto"/>
              <w:bottom w:val="single" w:sz="4" w:space="0" w:color="auto"/>
              <w:right w:val="single" w:sz="4" w:space="0" w:color="auto"/>
            </w:tcBorders>
            <w:shd w:val="clear" w:color="auto" w:fill="F2F2F2"/>
            <w:hideMark/>
          </w:tcPr>
          <w:p w14:paraId="33DA0AAD" w14:textId="77777777" w:rsidR="00ED60F4" w:rsidRDefault="00ED60F4" w:rsidP="00BE436D">
            <w:pPr>
              <w:pStyle w:val="Tabletext"/>
              <w:rPr>
                <w:lang w:val="en-US" w:eastAsia="ko-KR"/>
              </w:rPr>
            </w:pPr>
            <w:r>
              <w:rPr>
                <w:lang w:val="en-US" w:eastAsia="ko-KR"/>
              </w:rPr>
              <w:t>This document will provide the following:</w:t>
            </w:r>
          </w:p>
          <w:p w14:paraId="4ED850B6" w14:textId="77777777" w:rsidR="00ED60F4" w:rsidRDefault="00ED60F4" w:rsidP="00BE436D">
            <w:pPr>
              <w:pStyle w:val="Tabletext"/>
              <w:ind w:left="284" w:hanging="284"/>
              <w:rPr>
                <w:lang w:val="en-US" w:eastAsia="ko-KR"/>
              </w:rPr>
            </w:pPr>
            <w:r>
              <w:rPr>
                <w:lang w:val="en-US" w:eastAsia="ko-KR"/>
              </w:rPr>
              <w:t>–</w:t>
            </w:r>
            <w:r>
              <w:rPr>
                <w:lang w:val="en-US" w:eastAsia="ko-KR"/>
              </w:rPr>
              <w:tab/>
              <w:t>Impact assessment document to help organizations quantify their environmental impact on how they conduct work;</w:t>
            </w:r>
          </w:p>
          <w:p w14:paraId="5B9D22FE" w14:textId="77777777" w:rsidR="00ED60F4" w:rsidRDefault="00ED60F4" w:rsidP="00BE436D">
            <w:pPr>
              <w:pStyle w:val="Tabletext"/>
              <w:ind w:left="284" w:hanging="284"/>
              <w:rPr>
                <w:lang w:val="en-US" w:eastAsia="ko-KR"/>
              </w:rPr>
            </w:pPr>
            <w:r>
              <w:rPr>
                <w:lang w:val="en-US" w:eastAsia="ko-KR"/>
              </w:rPr>
              <w:t>–</w:t>
            </w:r>
            <w:r>
              <w:rPr>
                <w:lang w:val="en-US" w:eastAsia="ko-KR"/>
              </w:rPr>
              <w:tab/>
              <w:t>Rating system so that organizations can self-assess how much positive or negative impact they are creating;</w:t>
            </w:r>
          </w:p>
          <w:p w14:paraId="3654520D" w14:textId="77777777" w:rsidR="00ED60F4" w:rsidRDefault="00ED60F4" w:rsidP="00BE436D">
            <w:pPr>
              <w:pStyle w:val="Tabletext"/>
              <w:ind w:left="284" w:hanging="284"/>
              <w:rPr>
                <w:lang w:val="en-US" w:eastAsia="ko-KR"/>
              </w:rPr>
            </w:pPr>
            <w:r>
              <w:rPr>
                <w:lang w:val="en-US" w:eastAsia="ko-KR"/>
              </w:rPr>
              <w:t>–</w:t>
            </w:r>
            <w:r>
              <w:rPr>
                <w:lang w:val="en-US" w:eastAsia="ko-KR"/>
              </w:rPr>
              <w:tab/>
              <w:t>Guidelines on finding more environmentally friendly practices as substitutes for a business process/function.</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vAlign w:val="center"/>
            <w:hideMark/>
          </w:tcPr>
          <w:p w14:paraId="5BDC8627" w14:textId="77777777" w:rsidR="00ED60F4" w:rsidRDefault="00ED60F4" w:rsidP="00BE436D">
            <w:pPr>
              <w:pStyle w:val="Tabletext"/>
              <w:jc w:val="center"/>
              <w:rPr>
                <w:lang w:val="en-US" w:eastAsia="ko-KR"/>
              </w:rPr>
            </w:pPr>
            <w:r>
              <w:rPr>
                <w:lang w:val="en-US" w:eastAsia="ko-KR"/>
              </w:rPr>
              <w:t>Neil Sahota, University of California</w:t>
            </w:r>
          </w:p>
        </w:tc>
      </w:tr>
      <w:tr w:rsidR="00ED60F4" w14:paraId="17160910" w14:textId="77777777" w:rsidTr="00BE436D">
        <w:trPr>
          <w:trHeight w:val="410"/>
        </w:trPr>
        <w:tc>
          <w:tcPr>
            <w:tcW w:w="127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hideMark/>
          </w:tcPr>
          <w:p w14:paraId="20627DE2" w14:textId="77777777" w:rsidR="00ED60F4" w:rsidRDefault="00ED60F4" w:rsidP="00BE436D">
            <w:pPr>
              <w:pStyle w:val="Tabletext"/>
              <w:rPr>
                <w:lang w:val="en-US" w:eastAsia="ko-KR"/>
              </w:rPr>
            </w:pPr>
            <w:r>
              <w:rPr>
                <w:lang w:val="en-US" w:eastAsia="ko-KR"/>
              </w:rPr>
              <w:t>D.WG1-03</w:t>
            </w:r>
          </w:p>
        </w:tc>
        <w:tc>
          <w:tcPr>
            <w:tcW w:w="226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hideMark/>
          </w:tcPr>
          <w:p w14:paraId="7D841001" w14:textId="77777777" w:rsidR="00ED60F4" w:rsidRDefault="00ED60F4" w:rsidP="00BE436D">
            <w:pPr>
              <w:pStyle w:val="Tabletext"/>
              <w:rPr>
                <w:lang w:val="en-US" w:eastAsia="ko-KR"/>
              </w:rPr>
            </w:pPr>
            <w:r>
              <w:rPr>
                <w:lang w:val="en-US" w:eastAsia="ko-KR"/>
              </w:rPr>
              <w:t>Solution scorecard on environmental behavioral influencers</w:t>
            </w:r>
          </w:p>
        </w:tc>
        <w:tc>
          <w:tcPr>
            <w:tcW w:w="127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E66EC73" w14:textId="77777777" w:rsidR="00ED60F4" w:rsidRDefault="00ED60F4" w:rsidP="00BE436D">
            <w:pPr>
              <w:pStyle w:val="Tabletext"/>
              <w:jc w:val="center"/>
              <w:rPr>
                <w:lang w:val="en-US" w:eastAsia="ko-KR"/>
              </w:rPr>
            </w:pPr>
            <w:r>
              <w:rPr>
                <w:lang w:val="en-US" w:eastAsia="ko-KR"/>
              </w:rPr>
              <w:t>Technical Report</w:t>
            </w:r>
          </w:p>
        </w:tc>
        <w:tc>
          <w:tcPr>
            <w:tcW w:w="4111" w:type="dxa"/>
            <w:tcBorders>
              <w:top w:val="single" w:sz="4" w:space="0" w:color="auto"/>
              <w:left w:val="single" w:sz="4" w:space="0" w:color="auto"/>
              <w:bottom w:val="single" w:sz="4" w:space="0" w:color="auto"/>
              <w:right w:val="single" w:sz="4" w:space="0" w:color="auto"/>
            </w:tcBorders>
            <w:hideMark/>
          </w:tcPr>
          <w:p w14:paraId="5D89DBCE" w14:textId="77777777" w:rsidR="00ED60F4" w:rsidRDefault="00ED60F4" w:rsidP="00BE436D">
            <w:pPr>
              <w:pStyle w:val="Tabletext"/>
              <w:rPr>
                <w:lang w:val="en-US" w:eastAsia="ko-KR"/>
              </w:rPr>
            </w:pPr>
            <w:r>
              <w:rPr>
                <w:lang w:val="en-US" w:eastAsia="ko-KR"/>
              </w:rPr>
              <w:t>This document will provide a scoring system for organizations to measure how much positive impact they have created (internally and/or externally) on individuals who have incorporated more eco-friendly behaviors and practices in their regular activities.</w:t>
            </w:r>
          </w:p>
        </w:tc>
        <w:tc>
          <w:tcPr>
            <w:tcW w:w="170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0CC25A7C" w14:textId="77777777" w:rsidR="00ED60F4" w:rsidRDefault="00ED60F4" w:rsidP="00BE436D">
            <w:pPr>
              <w:pStyle w:val="Tabletext"/>
              <w:jc w:val="center"/>
              <w:rPr>
                <w:lang w:val="en-US" w:eastAsia="ko-KR"/>
              </w:rPr>
            </w:pPr>
            <w:r>
              <w:rPr>
                <w:lang w:val="en-US" w:eastAsia="ko-KR"/>
              </w:rPr>
              <w:t>Neil Sahota, University of California</w:t>
            </w:r>
          </w:p>
        </w:tc>
      </w:tr>
      <w:tr w:rsidR="00ED60F4" w14:paraId="7DDCFD4B" w14:textId="77777777" w:rsidTr="00BE436D">
        <w:trPr>
          <w:trHeight w:val="188"/>
        </w:trPr>
        <w:tc>
          <w:tcPr>
            <w:tcW w:w="1277"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hideMark/>
          </w:tcPr>
          <w:p w14:paraId="43665F43" w14:textId="77777777" w:rsidR="00ED60F4" w:rsidRDefault="00ED60F4" w:rsidP="00BE436D">
            <w:pPr>
              <w:pStyle w:val="Tabletext"/>
              <w:rPr>
                <w:lang w:val="en-US" w:eastAsia="ko-KR"/>
              </w:rPr>
            </w:pPr>
            <w:r>
              <w:rPr>
                <w:lang w:val="en-US" w:eastAsia="ko-KR"/>
              </w:rPr>
              <w:t>D.WG1-04</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hideMark/>
          </w:tcPr>
          <w:p w14:paraId="49616CE0" w14:textId="77777777" w:rsidR="00ED60F4" w:rsidRDefault="00ED60F4" w:rsidP="00BE436D">
            <w:pPr>
              <w:pStyle w:val="Tabletext"/>
              <w:rPr>
                <w:lang w:val="en-US" w:eastAsia="ko-KR"/>
              </w:rPr>
            </w:pPr>
            <w:r>
              <w:rPr>
                <w:lang w:val="en-US" w:eastAsia="ko-KR"/>
              </w:rPr>
              <w:t>List of KPIs/metrics</w:t>
            </w:r>
          </w:p>
        </w:tc>
        <w:tc>
          <w:tcPr>
            <w:tcW w:w="1275"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vAlign w:val="center"/>
            <w:hideMark/>
          </w:tcPr>
          <w:p w14:paraId="399A978E" w14:textId="77777777" w:rsidR="00ED60F4" w:rsidRDefault="00ED60F4" w:rsidP="00BE436D">
            <w:pPr>
              <w:pStyle w:val="Tabletext"/>
              <w:jc w:val="center"/>
              <w:rPr>
                <w:lang w:val="en-US" w:eastAsia="ko-KR"/>
              </w:rPr>
            </w:pPr>
            <w:r>
              <w:rPr>
                <w:lang w:val="en-US" w:eastAsia="ko-KR"/>
              </w:rPr>
              <w:t>Technical Specification</w:t>
            </w:r>
          </w:p>
        </w:tc>
        <w:tc>
          <w:tcPr>
            <w:tcW w:w="4111" w:type="dxa"/>
            <w:tcBorders>
              <w:top w:val="single" w:sz="4" w:space="0" w:color="auto"/>
              <w:left w:val="single" w:sz="4" w:space="0" w:color="auto"/>
              <w:bottom w:val="single" w:sz="4" w:space="0" w:color="auto"/>
              <w:right w:val="single" w:sz="4" w:space="0" w:color="auto"/>
            </w:tcBorders>
            <w:shd w:val="clear" w:color="auto" w:fill="F2F2F2"/>
            <w:hideMark/>
          </w:tcPr>
          <w:p w14:paraId="7AB4F5AE" w14:textId="77777777" w:rsidR="00ED60F4" w:rsidRDefault="00ED60F4" w:rsidP="00BE436D">
            <w:pPr>
              <w:pStyle w:val="Tabletext"/>
              <w:rPr>
                <w:lang w:val="en-US" w:eastAsia="ko-KR"/>
              </w:rPr>
            </w:pPr>
            <w:r>
              <w:rPr>
                <w:lang w:val="en-US" w:eastAsia="ko-KR"/>
              </w:rPr>
              <w:t>The document will define how environmentally sensitive issues could benefit from Artificial Intelligence (AI), Machine Learning (ML), and other emerging technologies, by providing a set of standard measurements and definitions in the form of a list of Key Performance Indicators (KPIs)/metrics. This KPIs system will focus on finding indicators which are easy to measure and give a broad range of coverage. This system will be designed for easy and simple use by Small and Medium-Sized Businesses (SMBs) and other smaller organizations. Therefore, a set of maximum 50 indicators will be defined. Whenever possible, solutions will rely on existing best practices and globally respected sources.</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vAlign w:val="center"/>
            <w:hideMark/>
          </w:tcPr>
          <w:p w14:paraId="0B41FEEA" w14:textId="77777777" w:rsidR="00ED60F4" w:rsidRDefault="00ED60F4" w:rsidP="00BE436D">
            <w:pPr>
              <w:pStyle w:val="Tabletext"/>
              <w:jc w:val="center"/>
              <w:rPr>
                <w:lang w:val="en-US" w:eastAsia="ko-KR"/>
              </w:rPr>
            </w:pPr>
            <w:r>
              <w:rPr>
                <w:lang w:val="en-US" w:eastAsia="ko-KR"/>
              </w:rPr>
              <w:t>Annik</w:t>
            </w:r>
            <w:r>
              <w:rPr>
                <w:lang w:val="en-US" w:eastAsia="ko-KR"/>
              </w:rPr>
              <w:br/>
              <w:t>Magerholm Fet,</w:t>
            </w:r>
            <w:r>
              <w:rPr>
                <w:lang w:val="en-US" w:eastAsia="ko-KR"/>
              </w:rPr>
              <w:br/>
              <w:t>Norwegian University of Science &amp; Technology</w:t>
            </w:r>
          </w:p>
        </w:tc>
      </w:tr>
      <w:tr w:rsidR="00ED60F4" w14:paraId="405761E9" w14:textId="77777777" w:rsidTr="00BE436D">
        <w:trPr>
          <w:trHeight w:val="250"/>
        </w:trPr>
        <w:tc>
          <w:tcPr>
            <w:tcW w:w="1277" w:type="dxa"/>
            <w:tcBorders>
              <w:top w:val="single" w:sz="4" w:space="0" w:color="auto"/>
              <w:left w:val="single" w:sz="4" w:space="0" w:color="auto"/>
              <w:bottom w:val="single" w:sz="4" w:space="0" w:color="auto"/>
              <w:right w:val="single" w:sz="4" w:space="0" w:color="auto"/>
            </w:tcBorders>
            <w:shd w:val="clear" w:color="auto" w:fill="FFFFFF"/>
            <w:tcMar>
              <w:top w:w="10" w:type="dxa"/>
              <w:left w:w="10" w:type="dxa"/>
              <w:bottom w:w="0" w:type="dxa"/>
              <w:right w:w="10" w:type="dxa"/>
            </w:tcMar>
            <w:hideMark/>
          </w:tcPr>
          <w:p w14:paraId="21EE1F7B" w14:textId="77777777" w:rsidR="00ED60F4" w:rsidRDefault="00ED60F4" w:rsidP="00BE436D">
            <w:pPr>
              <w:pStyle w:val="Tabletext"/>
              <w:rPr>
                <w:lang w:val="en-US" w:eastAsia="ko-KR"/>
              </w:rPr>
            </w:pPr>
            <w:r>
              <w:rPr>
                <w:lang w:val="en-US" w:eastAsia="ko-KR"/>
              </w:rPr>
              <w:t>D.WG1-05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0" w:type="dxa"/>
              <w:left w:w="10" w:type="dxa"/>
              <w:bottom w:w="0" w:type="dxa"/>
              <w:right w:w="10" w:type="dxa"/>
            </w:tcMar>
            <w:hideMark/>
          </w:tcPr>
          <w:p w14:paraId="473A87A0" w14:textId="77777777" w:rsidR="00ED60F4" w:rsidRDefault="00ED60F4" w:rsidP="00BE436D">
            <w:pPr>
              <w:pStyle w:val="Tabletext"/>
              <w:rPr>
                <w:lang w:val="en-US" w:eastAsia="ko-KR"/>
              </w:rPr>
            </w:pPr>
            <w:r>
              <w:rPr>
                <w:lang w:val="en-US" w:eastAsia="ko-KR"/>
              </w:rPr>
              <w:t>Reporting templates on AI, AR and ML</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10" w:type="dxa"/>
              <w:left w:w="10" w:type="dxa"/>
              <w:bottom w:w="0" w:type="dxa"/>
              <w:right w:w="10" w:type="dxa"/>
            </w:tcMar>
            <w:vAlign w:val="center"/>
            <w:hideMark/>
          </w:tcPr>
          <w:p w14:paraId="2B71EC14" w14:textId="77777777" w:rsidR="00ED60F4" w:rsidRDefault="00ED60F4" w:rsidP="00BE436D">
            <w:pPr>
              <w:pStyle w:val="Tabletext"/>
              <w:jc w:val="center"/>
              <w:rPr>
                <w:lang w:val="en-US" w:eastAsia="ko-KR"/>
              </w:rPr>
            </w:pPr>
            <w:r>
              <w:rPr>
                <w:lang w:val="en-US" w:eastAsia="ko-KR"/>
              </w:rPr>
              <w:t>Technical Specification</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4C7A84C5" w14:textId="77777777" w:rsidR="00ED60F4" w:rsidRDefault="00ED60F4" w:rsidP="00BE436D">
            <w:pPr>
              <w:pStyle w:val="Tabletext"/>
              <w:rPr>
                <w:lang w:val="en-US" w:eastAsia="ko-KR"/>
              </w:rPr>
            </w:pPr>
            <w:r>
              <w:rPr>
                <w:lang w:val="en-US" w:eastAsia="ko-KR"/>
              </w:rPr>
              <w:t xml:space="preserve">This document will generate a set of standard reporting templates/dashboards to visualize </w:t>
            </w:r>
            <w:r>
              <w:rPr>
                <w:lang w:val="en-US" w:eastAsia="ko-KR"/>
              </w:rPr>
              <w:lastRenderedPageBreak/>
              <w:t>data produced from technology solutions such as AI, Augmented Reality (AR) and ML, that employ defined eco-friendly practices. This document will aim to display the results gained from D.WG1-04 in an instinctive way. The graphical interface will share a design language with D.WG1-09 and results may be used in D.WG1-10 and D.WG1-11.</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 w:type="dxa"/>
              <w:left w:w="10" w:type="dxa"/>
              <w:bottom w:w="0" w:type="dxa"/>
              <w:right w:w="10" w:type="dxa"/>
            </w:tcMar>
            <w:vAlign w:val="center"/>
            <w:hideMark/>
          </w:tcPr>
          <w:p w14:paraId="13445AAD" w14:textId="77777777" w:rsidR="00ED60F4" w:rsidRDefault="00ED60F4" w:rsidP="00BE436D">
            <w:pPr>
              <w:pStyle w:val="Tabletext"/>
              <w:jc w:val="center"/>
              <w:rPr>
                <w:lang w:val="en-US" w:eastAsia="ko-KR"/>
              </w:rPr>
            </w:pPr>
            <w:r>
              <w:rPr>
                <w:lang w:val="en-US" w:eastAsia="ko-KR"/>
              </w:rPr>
              <w:lastRenderedPageBreak/>
              <w:t>Annik</w:t>
            </w:r>
            <w:r>
              <w:rPr>
                <w:lang w:val="en-US" w:eastAsia="ko-KR"/>
              </w:rPr>
              <w:br/>
              <w:t>Magerholm Fet,</w:t>
            </w:r>
            <w:r>
              <w:rPr>
                <w:lang w:val="en-US" w:eastAsia="ko-KR"/>
              </w:rPr>
              <w:br/>
            </w:r>
            <w:r>
              <w:rPr>
                <w:lang w:val="en-US" w:eastAsia="ko-KR"/>
              </w:rPr>
              <w:lastRenderedPageBreak/>
              <w:t>Norwegian University of Science &amp; Technology</w:t>
            </w:r>
          </w:p>
        </w:tc>
      </w:tr>
      <w:tr w:rsidR="00ED60F4" w14:paraId="58C862D9" w14:textId="77777777" w:rsidTr="00BE436D">
        <w:trPr>
          <w:trHeight w:val="1055"/>
        </w:trPr>
        <w:tc>
          <w:tcPr>
            <w:tcW w:w="1277"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hideMark/>
          </w:tcPr>
          <w:p w14:paraId="7353F0EC" w14:textId="77777777" w:rsidR="00ED60F4" w:rsidRDefault="00ED60F4" w:rsidP="00BE436D">
            <w:pPr>
              <w:pStyle w:val="Tabletext"/>
              <w:rPr>
                <w:lang w:val="en-US" w:eastAsia="ko-KR"/>
              </w:rPr>
            </w:pPr>
            <w:r>
              <w:rPr>
                <w:lang w:val="en-US" w:eastAsia="ko-KR"/>
              </w:rPr>
              <w:lastRenderedPageBreak/>
              <w:t>D.WG1-06</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hideMark/>
          </w:tcPr>
          <w:p w14:paraId="764E804C" w14:textId="77777777" w:rsidR="00ED60F4" w:rsidRDefault="00ED60F4" w:rsidP="00BE436D">
            <w:pPr>
              <w:pStyle w:val="Tabletext"/>
              <w:rPr>
                <w:lang w:val="en-US" w:eastAsia="ko-KR"/>
              </w:rPr>
            </w:pPr>
            <w:r>
              <w:rPr>
                <w:lang w:val="en-US" w:eastAsia="ko-KR"/>
              </w:rPr>
              <w:t>High-Level Qualitative Impact Matrix of Artificial Intelligence and Blockchain on Sustainable Development Goals and on environmental efficiency</w:t>
            </w:r>
          </w:p>
        </w:tc>
        <w:tc>
          <w:tcPr>
            <w:tcW w:w="1275"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vAlign w:val="center"/>
            <w:hideMark/>
          </w:tcPr>
          <w:p w14:paraId="3C9CD979" w14:textId="77777777" w:rsidR="00ED60F4" w:rsidRDefault="00ED60F4" w:rsidP="00BE436D">
            <w:pPr>
              <w:pStyle w:val="Tabletext"/>
              <w:jc w:val="center"/>
              <w:rPr>
                <w:lang w:val="en-US" w:eastAsia="ko-KR"/>
              </w:rPr>
            </w:pPr>
            <w:r>
              <w:rPr>
                <w:lang w:val="en-US" w:eastAsia="ko-KR"/>
              </w:rPr>
              <w:t>Technical Specification</w:t>
            </w:r>
          </w:p>
        </w:tc>
        <w:tc>
          <w:tcPr>
            <w:tcW w:w="4111" w:type="dxa"/>
            <w:tcBorders>
              <w:top w:val="single" w:sz="4" w:space="0" w:color="auto"/>
              <w:left w:val="single" w:sz="4" w:space="0" w:color="auto"/>
              <w:bottom w:val="single" w:sz="4" w:space="0" w:color="auto"/>
              <w:right w:val="single" w:sz="4" w:space="0" w:color="auto"/>
            </w:tcBorders>
            <w:shd w:val="clear" w:color="auto" w:fill="F2F2F2"/>
            <w:hideMark/>
          </w:tcPr>
          <w:p w14:paraId="684FC627" w14:textId="77777777" w:rsidR="00ED60F4" w:rsidRDefault="00ED60F4" w:rsidP="00BE436D">
            <w:pPr>
              <w:pStyle w:val="Tabletext"/>
              <w:rPr>
                <w:lang w:val="en-US" w:eastAsia="ko-KR"/>
              </w:rPr>
            </w:pPr>
            <w:r>
              <w:rPr>
                <w:lang w:val="en-US" w:eastAsia="ko-KR"/>
              </w:rPr>
              <w:t>This document will contain a set of high-level impact matrix that supports policymakers, operators and other relevant stakeholders in assessing the implication of different AI and blockchain solutions. The objective of the matrix is to provide:</w:t>
            </w:r>
          </w:p>
          <w:p w14:paraId="5771C625" w14:textId="77777777" w:rsidR="00ED60F4" w:rsidRDefault="00ED60F4" w:rsidP="00BE436D">
            <w:pPr>
              <w:pStyle w:val="Tabletext"/>
              <w:ind w:left="284" w:hanging="284"/>
              <w:rPr>
                <w:lang w:val="en-US" w:eastAsia="ko-KR"/>
              </w:rPr>
            </w:pPr>
            <w:r>
              <w:rPr>
                <w:lang w:val="en-US" w:eastAsia="ko-KR"/>
              </w:rPr>
              <w:t>–</w:t>
            </w:r>
            <w:r>
              <w:rPr>
                <w:lang w:val="en-US" w:eastAsia="ko-KR"/>
              </w:rPr>
              <w:tab/>
              <w:t>The necessary tools for relevant stakeholders to determine the AI and blockchain solutions with the highest impacts, allowing them to prioritize solutions and design possibilities that are aligned closest to the values of the Sustainable Development Goals;</w:t>
            </w:r>
          </w:p>
          <w:p w14:paraId="42CB5C92" w14:textId="77777777" w:rsidR="00ED60F4" w:rsidRDefault="00ED60F4" w:rsidP="00BE436D">
            <w:pPr>
              <w:pStyle w:val="Tabletext"/>
              <w:ind w:left="284" w:hanging="284"/>
              <w:rPr>
                <w:lang w:val="en-US" w:eastAsia="ko-KR"/>
              </w:rPr>
            </w:pPr>
            <w:r>
              <w:rPr>
                <w:lang w:val="en-US" w:eastAsia="ko-KR"/>
              </w:rPr>
              <w:t>–</w:t>
            </w:r>
            <w:r>
              <w:rPr>
                <w:lang w:val="en-US" w:eastAsia="ko-KR"/>
              </w:rPr>
              <w:tab/>
              <w:t>The necessary tools for relevant stakeholders to determine the AI and blockchain solutions with the highest impacts, allowing them to prioritize solutions and design possibilities necessary to improve the environmental performance of AI and blockchain.</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vAlign w:val="center"/>
            <w:hideMark/>
          </w:tcPr>
          <w:p w14:paraId="0EAB32CC" w14:textId="77777777" w:rsidR="00ED60F4" w:rsidRDefault="00ED60F4" w:rsidP="00BE436D">
            <w:pPr>
              <w:pStyle w:val="Tabletext"/>
              <w:jc w:val="center"/>
              <w:rPr>
                <w:lang w:val="en-US" w:eastAsia="ko-KR"/>
              </w:rPr>
            </w:pPr>
            <w:r>
              <w:rPr>
                <w:lang w:val="en-US" w:eastAsia="ko-KR"/>
              </w:rPr>
              <w:t>Barbara Kolm, Austrian Economics Center</w:t>
            </w:r>
          </w:p>
        </w:tc>
      </w:tr>
      <w:tr w:rsidR="00ED60F4" w14:paraId="53C5E74A" w14:textId="77777777" w:rsidTr="00BE436D">
        <w:trPr>
          <w:trHeight w:val="560"/>
        </w:trPr>
        <w:tc>
          <w:tcPr>
            <w:tcW w:w="127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hideMark/>
          </w:tcPr>
          <w:p w14:paraId="1A84F527" w14:textId="77777777" w:rsidR="00ED60F4" w:rsidRDefault="00ED60F4" w:rsidP="00BE436D">
            <w:pPr>
              <w:pStyle w:val="Tabletext"/>
              <w:rPr>
                <w:lang w:val="en-US" w:eastAsia="ko-KR"/>
              </w:rPr>
            </w:pPr>
            <w:r>
              <w:rPr>
                <w:lang w:val="en-US" w:eastAsia="ko-KR"/>
              </w:rPr>
              <w:t>D.WG1-07</w:t>
            </w:r>
          </w:p>
        </w:tc>
        <w:tc>
          <w:tcPr>
            <w:tcW w:w="226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hideMark/>
          </w:tcPr>
          <w:p w14:paraId="79BD963B" w14:textId="77777777" w:rsidR="00ED60F4" w:rsidRDefault="00ED60F4" w:rsidP="00BE436D">
            <w:pPr>
              <w:pStyle w:val="Tabletext"/>
              <w:rPr>
                <w:lang w:val="en-US" w:eastAsia="ko-KR"/>
              </w:rPr>
            </w:pPr>
            <w:r>
              <w:rPr>
                <w:lang w:val="en-US" w:eastAsia="ko-KR"/>
              </w:rPr>
              <w:t>Visions of Best Practices on Artificial Intelligence and Blockchain in 2025</w:t>
            </w:r>
          </w:p>
        </w:tc>
        <w:tc>
          <w:tcPr>
            <w:tcW w:w="127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939570E" w14:textId="77777777" w:rsidR="00ED60F4" w:rsidRDefault="00ED60F4" w:rsidP="00BE436D">
            <w:pPr>
              <w:pStyle w:val="Tabletext"/>
              <w:jc w:val="center"/>
              <w:rPr>
                <w:lang w:val="en-US" w:eastAsia="ko-KR"/>
              </w:rPr>
            </w:pPr>
            <w:r>
              <w:rPr>
                <w:lang w:val="en-US" w:eastAsia="ko-KR"/>
              </w:rPr>
              <w:t>Technical Specification</w:t>
            </w:r>
          </w:p>
        </w:tc>
        <w:tc>
          <w:tcPr>
            <w:tcW w:w="4111" w:type="dxa"/>
            <w:tcBorders>
              <w:top w:val="single" w:sz="4" w:space="0" w:color="auto"/>
              <w:left w:val="single" w:sz="4" w:space="0" w:color="auto"/>
              <w:bottom w:val="single" w:sz="4" w:space="0" w:color="auto"/>
              <w:right w:val="single" w:sz="4" w:space="0" w:color="auto"/>
            </w:tcBorders>
            <w:hideMark/>
          </w:tcPr>
          <w:p w14:paraId="27CDBD95" w14:textId="77777777" w:rsidR="00ED60F4" w:rsidRDefault="00ED60F4" w:rsidP="00BE436D">
            <w:pPr>
              <w:pStyle w:val="Tabletext"/>
              <w:rPr>
                <w:lang w:val="en-US" w:eastAsia="ko-KR"/>
              </w:rPr>
            </w:pPr>
            <w:r>
              <w:rPr>
                <w:lang w:val="en-US" w:eastAsia="ko-KR"/>
              </w:rPr>
              <w:t>This document will discuss the vision of best practices on artificial intelligence and blockchain in 2025. AI and blockchain are revolutionizing every aspects of society. The capability and performance of these technologies will substantially be improved and expanded in the next decades, from enhanced AI prediction, rising AI assistant and automation in all aspects of operation, boosting transparency, further decentralized networks, further blending between physical and digital computing, further security concerns and more. It is crucial to anticipate the policy, procedure and environmental frameworks needed to ensure the sustainability and accessibility of these technologies.</w:t>
            </w:r>
          </w:p>
        </w:tc>
        <w:tc>
          <w:tcPr>
            <w:tcW w:w="170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1AEEBC99" w14:textId="77777777" w:rsidR="00ED60F4" w:rsidRDefault="00ED60F4" w:rsidP="00BE436D">
            <w:pPr>
              <w:pStyle w:val="Tabletext"/>
              <w:jc w:val="center"/>
              <w:rPr>
                <w:lang w:val="en-US" w:eastAsia="ko-KR"/>
              </w:rPr>
            </w:pPr>
            <w:r>
              <w:rPr>
                <w:lang w:val="en-US" w:eastAsia="ko-KR"/>
              </w:rPr>
              <w:t>Barbara Kolm, Austrian Economics Center</w:t>
            </w:r>
          </w:p>
        </w:tc>
      </w:tr>
      <w:tr w:rsidR="00ED60F4" w14:paraId="425092D1" w14:textId="77777777" w:rsidTr="00BE436D">
        <w:trPr>
          <w:trHeight w:val="746"/>
        </w:trPr>
        <w:tc>
          <w:tcPr>
            <w:tcW w:w="1277"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hideMark/>
          </w:tcPr>
          <w:p w14:paraId="6A46D414" w14:textId="77777777" w:rsidR="00ED60F4" w:rsidRDefault="00ED60F4" w:rsidP="00BE436D">
            <w:pPr>
              <w:pStyle w:val="Tabletext"/>
              <w:rPr>
                <w:lang w:val="en-US" w:eastAsia="ko-KR"/>
              </w:rPr>
            </w:pPr>
            <w:r>
              <w:rPr>
                <w:lang w:val="en-US" w:eastAsia="ko-KR"/>
              </w:rPr>
              <w:t>D.WG1-08</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hideMark/>
          </w:tcPr>
          <w:p w14:paraId="3A42E712" w14:textId="77777777" w:rsidR="00ED60F4" w:rsidRDefault="00ED60F4" w:rsidP="00BE436D">
            <w:pPr>
              <w:pStyle w:val="Tabletext"/>
              <w:rPr>
                <w:lang w:val="en-US" w:eastAsia="ko-KR"/>
              </w:rPr>
            </w:pPr>
            <w:r>
              <w:rPr>
                <w:lang w:val="en-US" w:eastAsia="ko-KR"/>
              </w:rPr>
              <w:t>Connecting Environmental Efficiency of Digital Technologies to the Sustainable Development Goals (SDGs)</w:t>
            </w:r>
          </w:p>
        </w:tc>
        <w:tc>
          <w:tcPr>
            <w:tcW w:w="1275"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vAlign w:val="center"/>
            <w:hideMark/>
          </w:tcPr>
          <w:p w14:paraId="33A77548" w14:textId="77777777" w:rsidR="00ED60F4" w:rsidRDefault="00ED60F4" w:rsidP="00BE436D">
            <w:pPr>
              <w:pStyle w:val="Tabletext"/>
              <w:jc w:val="center"/>
              <w:rPr>
                <w:lang w:val="en-US" w:eastAsia="ko-KR"/>
              </w:rPr>
            </w:pPr>
            <w:r>
              <w:rPr>
                <w:lang w:val="en-US" w:eastAsia="ko-KR"/>
              </w:rPr>
              <w:t>Technical Report</w:t>
            </w:r>
          </w:p>
        </w:tc>
        <w:tc>
          <w:tcPr>
            <w:tcW w:w="4111" w:type="dxa"/>
            <w:tcBorders>
              <w:top w:val="single" w:sz="4" w:space="0" w:color="auto"/>
              <w:left w:val="single" w:sz="4" w:space="0" w:color="auto"/>
              <w:bottom w:val="single" w:sz="4" w:space="0" w:color="auto"/>
              <w:right w:val="single" w:sz="4" w:space="0" w:color="auto"/>
            </w:tcBorders>
            <w:shd w:val="clear" w:color="auto" w:fill="F2F2F2"/>
            <w:hideMark/>
          </w:tcPr>
          <w:p w14:paraId="3A4B1988" w14:textId="77777777" w:rsidR="00ED60F4" w:rsidRDefault="00ED60F4" w:rsidP="00BE436D">
            <w:pPr>
              <w:pStyle w:val="Tabletext"/>
              <w:rPr>
                <w:lang w:val="en-US" w:eastAsia="ko-KR"/>
              </w:rPr>
            </w:pPr>
            <w:r>
              <w:rPr>
                <w:lang w:val="en-US" w:eastAsia="ko-KR"/>
              </w:rPr>
              <w:t xml:space="preserve">This document is intended to raise awareness on the growing concern over the environmental impacts of digital technologies. The double-edged sword nature of digital technologies on the one hand offer promising solutions to resolve the most pressing global issues from climate change, social equality, preserving biodiversity and more. Yet, more and more data centres are being built to process data. In order to achieve the SDGs, it </w:t>
            </w:r>
            <w:r>
              <w:rPr>
                <w:lang w:val="en-US" w:eastAsia="ko-KR"/>
              </w:rPr>
              <w:lastRenderedPageBreak/>
              <w:t>is crucial to start reducing the carbon footprint of these technologies. This document will highlight the 5 ways environmental efficiency of digital technologies are directly connected to the SDGs and will consider the policy needs of environmental efficiency of digital technologies. This document will not consider the energy consumption of digital technologies.</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vAlign w:val="center"/>
            <w:hideMark/>
          </w:tcPr>
          <w:p w14:paraId="6E1F5018" w14:textId="77777777" w:rsidR="00ED60F4" w:rsidRDefault="00ED60F4" w:rsidP="00BE436D">
            <w:pPr>
              <w:pStyle w:val="Tabletext"/>
              <w:jc w:val="center"/>
              <w:rPr>
                <w:lang w:val="en-US" w:eastAsia="ko-KR"/>
              </w:rPr>
            </w:pPr>
            <w:r>
              <w:rPr>
                <w:lang w:val="en-US" w:eastAsia="ko-KR"/>
              </w:rPr>
              <w:lastRenderedPageBreak/>
              <w:t>Paolo Gemma, Huawei Technologies Co., Ltd.</w:t>
            </w:r>
          </w:p>
        </w:tc>
      </w:tr>
      <w:tr w:rsidR="00ED60F4" w14:paraId="45E657B7" w14:textId="77777777" w:rsidTr="00BE436D">
        <w:trPr>
          <w:trHeight w:val="696"/>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hideMark/>
          </w:tcPr>
          <w:p w14:paraId="281D3D8F" w14:textId="77777777" w:rsidR="00ED60F4" w:rsidRDefault="00ED60F4" w:rsidP="00BE436D">
            <w:pPr>
              <w:pStyle w:val="Tabletext"/>
              <w:rPr>
                <w:lang w:val="en-US" w:eastAsia="ko-KR"/>
              </w:rPr>
            </w:pPr>
            <w:r>
              <w:rPr>
                <w:lang w:val="en-US" w:eastAsia="ko-KR"/>
              </w:rPr>
              <w:t>D.WG1-09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hideMark/>
          </w:tcPr>
          <w:p w14:paraId="04CF646E" w14:textId="77777777" w:rsidR="00ED60F4" w:rsidRDefault="00ED60F4" w:rsidP="00BE436D">
            <w:pPr>
              <w:pStyle w:val="Tabletext"/>
              <w:rPr>
                <w:lang w:val="en-US" w:eastAsia="ko-KR"/>
              </w:rPr>
            </w:pPr>
            <w:r>
              <w:rPr>
                <w:lang w:val="en-US" w:eastAsia="ko-KR"/>
              </w:rPr>
              <w:t>A method for Intuitive Human interaction with data model (ML &amp; AI etc.)</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hideMark/>
          </w:tcPr>
          <w:p w14:paraId="234C7C65" w14:textId="77777777" w:rsidR="00ED60F4" w:rsidRDefault="00ED60F4" w:rsidP="00BE436D">
            <w:pPr>
              <w:pStyle w:val="Tabletext"/>
              <w:jc w:val="center"/>
              <w:rPr>
                <w:lang w:val="en-US" w:eastAsia="ko-KR"/>
              </w:rPr>
            </w:pPr>
            <w:r>
              <w:rPr>
                <w:lang w:val="en-US" w:eastAsia="ko-KR"/>
              </w:rPr>
              <w:t>Technical Report</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CFD84" w14:textId="77777777" w:rsidR="00ED60F4" w:rsidRDefault="00ED60F4" w:rsidP="00BE436D">
            <w:pPr>
              <w:pStyle w:val="Tabletext"/>
              <w:rPr>
                <w:lang w:val="en-US" w:eastAsia="ko-KR"/>
              </w:rPr>
            </w:pPr>
            <w:r>
              <w:rPr>
                <w:lang w:val="en-US" w:eastAsia="ko-KR"/>
              </w:rPr>
              <w:t>This document will demonstrate a method for elegantly connecting complex data, including (ML &amp; AI) into a system level solution designed for humans, allowing communication between man and machine which cultivates mutual enhancement.</w:t>
            </w:r>
          </w:p>
          <w:p w14:paraId="4CA68E17" w14:textId="77777777" w:rsidR="00ED60F4" w:rsidRDefault="00ED60F4" w:rsidP="00BE436D">
            <w:pPr>
              <w:pStyle w:val="Tabletext"/>
              <w:rPr>
                <w:lang w:val="en-US" w:eastAsia="ko-KR"/>
              </w:rPr>
            </w:pPr>
            <w:r>
              <w:rPr>
                <w:lang w:val="en-US" w:eastAsia="ko-KR"/>
              </w:rPr>
              <w:t>Interfacing humans to data is key to using its power to accelerate the speed with which we can solve our environmental problems. Machines are very powerful at working with data including ML &amp; AI. Humans need to interact effectively with this information. This means building it into an interface which is manageable and allows comparison between data sources. The aim is to create a system for adding many data sets and being able to compare these with one another in a way machines and humans can understand. This could have a measurement score system based on a “traffic light” concept covering environmental factors, for example:</w:t>
            </w:r>
          </w:p>
          <w:p w14:paraId="2CA5D9BB" w14:textId="77777777" w:rsidR="00ED60F4" w:rsidRDefault="00ED60F4" w:rsidP="00BE436D">
            <w:pPr>
              <w:pStyle w:val="Tabletext"/>
              <w:rPr>
                <w:lang w:val="en-US" w:eastAsia="ko-KR"/>
              </w:rPr>
            </w:pPr>
            <w:r>
              <w:rPr>
                <w:lang w:val="en-US" w:eastAsia="ko-KR"/>
              </w:rPr>
              <w:t>–</w:t>
            </w:r>
            <w:r>
              <w:rPr>
                <w:lang w:val="en-US" w:eastAsia="ko-KR"/>
              </w:rPr>
              <w:tab/>
              <w:t>Heating/cooling &amp; energy consumption</w:t>
            </w:r>
          </w:p>
          <w:p w14:paraId="719E9872" w14:textId="77777777" w:rsidR="00ED60F4" w:rsidRDefault="00ED60F4" w:rsidP="00BE436D">
            <w:pPr>
              <w:pStyle w:val="Tabletext"/>
              <w:rPr>
                <w:lang w:val="en-US" w:eastAsia="ko-KR"/>
              </w:rPr>
            </w:pPr>
            <w:r>
              <w:rPr>
                <w:lang w:val="en-US" w:eastAsia="ko-KR"/>
              </w:rPr>
              <w:t>–</w:t>
            </w:r>
            <w:r>
              <w:rPr>
                <w:lang w:val="en-US" w:eastAsia="ko-KR"/>
              </w:rPr>
              <w:tab/>
              <w:t>Impact on plant and animal life</w:t>
            </w:r>
          </w:p>
          <w:p w14:paraId="6C4B527C" w14:textId="77777777" w:rsidR="00ED60F4" w:rsidRDefault="00ED60F4" w:rsidP="00BE436D">
            <w:pPr>
              <w:pStyle w:val="Tabletext"/>
              <w:rPr>
                <w:lang w:val="en-US" w:eastAsia="ko-KR"/>
              </w:rPr>
            </w:pPr>
            <w:r>
              <w:rPr>
                <w:lang w:val="en-US" w:eastAsia="ko-KR"/>
              </w:rPr>
              <w:t>–</w:t>
            </w:r>
            <w:r>
              <w:rPr>
                <w:lang w:val="en-US" w:eastAsia="ko-KR"/>
              </w:rPr>
              <w:tab/>
              <w:t>Carbon &amp; other air-based emissions</w:t>
            </w:r>
          </w:p>
          <w:p w14:paraId="20A84FAB" w14:textId="77777777" w:rsidR="00ED60F4" w:rsidRDefault="00ED60F4" w:rsidP="00BE436D">
            <w:pPr>
              <w:pStyle w:val="Tabletext"/>
              <w:rPr>
                <w:lang w:val="en-US" w:eastAsia="ko-KR"/>
              </w:rPr>
            </w:pPr>
            <w:r>
              <w:rPr>
                <w:lang w:val="en-US" w:eastAsia="ko-KR"/>
              </w:rPr>
              <w:t>–</w:t>
            </w:r>
            <w:r>
              <w:rPr>
                <w:lang w:val="en-US" w:eastAsia="ko-KR"/>
              </w:rPr>
              <w:tab/>
              <w:t>Waste &amp; water management</w:t>
            </w:r>
          </w:p>
          <w:p w14:paraId="740506E5" w14:textId="77777777" w:rsidR="00ED60F4" w:rsidRDefault="00ED60F4" w:rsidP="00BE436D">
            <w:pPr>
              <w:pStyle w:val="Tabletext"/>
              <w:rPr>
                <w:lang w:val="en-US" w:eastAsia="ko-KR"/>
              </w:rPr>
            </w:pPr>
            <w:r>
              <w:rPr>
                <w:lang w:val="en-US" w:eastAsia="ko-KR"/>
              </w:rPr>
              <w:t>Increasing amounts of the world’s population live in cities. This is also the source of many of our environmental key pressures for climate change. This group will therefore use cities as a model for this report.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hideMark/>
          </w:tcPr>
          <w:p w14:paraId="7FE66CBC" w14:textId="77777777" w:rsidR="00ED60F4" w:rsidRDefault="00ED60F4" w:rsidP="00BE436D">
            <w:pPr>
              <w:pStyle w:val="Tabletext"/>
              <w:jc w:val="center"/>
              <w:rPr>
                <w:lang w:val="en-US" w:eastAsia="ko-KR"/>
              </w:rPr>
            </w:pPr>
            <w:r>
              <w:rPr>
                <w:lang w:val="en-US" w:eastAsia="ko-KR"/>
              </w:rPr>
              <w:t>Joel Alexander Mills, AugmentCity AS</w:t>
            </w:r>
          </w:p>
        </w:tc>
      </w:tr>
      <w:tr w:rsidR="00ED60F4" w14:paraId="14F95D22" w14:textId="77777777" w:rsidTr="00BE436D">
        <w:trPr>
          <w:trHeight w:val="808"/>
        </w:trPr>
        <w:tc>
          <w:tcPr>
            <w:tcW w:w="1277"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hideMark/>
          </w:tcPr>
          <w:p w14:paraId="30BFE538" w14:textId="77777777" w:rsidR="00ED60F4" w:rsidRDefault="00ED60F4" w:rsidP="00BE436D">
            <w:pPr>
              <w:pStyle w:val="Tabletext"/>
              <w:rPr>
                <w:lang w:val="en-US" w:eastAsia="ko-KR"/>
              </w:rPr>
            </w:pPr>
            <w:r>
              <w:rPr>
                <w:lang w:val="en-US" w:eastAsia="ko-KR"/>
              </w:rPr>
              <w:t>D.WG1-10</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hideMark/>
          </w:tcPr>
          <w:p w14:paraId="4CC951BC" w14:textId="77777777" w:rsidR="00ED60F4" w:rsidRDefault="00ED60F4" w:rsidP="00BE436D">
            <w:pPr>
              <w:pStyle w:val="Tabletext"/>
              <w:rPr>
                <w:lang w:val="en-US" w:eastAsia="ko-KR"/>
              </w:rPr>
            </w:pPr>
            <w:r>
              <w:rPr>
                <w:lang w:val="en-US" w:eastAsia="ko-KR"/>
              </w:rPr>
              <w:t>Guidelines on applying U4SSC KPIs in a digital twin city using ML, AR &amp; AI for better climate mitigation solutions</w:t>
            </w:r>
          </w:p>
        </w:tc>
        <w:tc>
          <w:tcPr>
            <w:tcW w:w="1275"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vAlign w:val="center"/>
            <w:hideMark/>
          </w:tcPr>
          <w:p w14:paraId="62518292" w14:textId="77777777" w:rsidR="00ED60F4" w:rsidRDefault="00ED60F4" w:rsidP="00BE436D">
            <w:pPr>
              <w:pStyle w:val="Tabletext"/>
              <w:jc w:val="center"/>
              <w:rPr>
                <w:lang w:val="en-US" w:eastAsia="ko-KR"/>
              </w:rPr>
            </w:pPr>
            <w:r>
              <w:rPr>
                <w:lang w:val="en-US" w:eastAsia="ko-KR"/>
              </w:rPr>
              <w:t>Technical Report</w:t>
            </w:r>
          </w:p>
        </w:tc>
        <w:tc>
          <w:tcPr>
            <w:tcW w:w="4111" w:type="dxa"/>
            <w:tcBorders>
              <w:top w:val="single" w:sz="4" w:space="0" w:color="auto"/>
              <w:left w:val="single" w:sz="4" w:space="0" w:color="auto"/>
              <w:bottom w:val="single" w:sz="4" w:space="0" w:color="auto"/>
              <w:right w:val="single" w:sz="4" w:space="0" w:color="auto"/>
            </w:tcBorders>
            <w:shd w:val="clear" w:color="auto" w:fill="F2F2F2"/>
            <w:hideMark/>
          </w:tcPr>
          <w:p w14:paraId="6C0AFCBE" w14:textId="77777777" w:rsidR="00ED60F4" w:rsidRDefault="00ED60F4" w:rsidP="00BE436D">
            <w:pPr>
              <w:pStyle w:val="Tabletext"/>
              <w:rPr>
                <w:lang w:val="en-US" w:eastAsia="ko-KR"/>
              </w:rPr>
            </w:pPr>
            <w:r>
              <w:rPr>
                <w:lang w:val="en-US" w:eastAsia="ko-KR"/>
              </w:rPr>
              <w:t>This document will provide guidelines on how to use the United Nations ''United for Smart Sustainable Cities” (U4SSC) Key Performance Indicator (KPI) system in a digital twin city, to identify high impact climate mitigation solutions.  It will include a set of case studies showing examples of projects where emerging technology, such as ML, AR &amp; AI, has or could have been used to reduce the negative impact of climate change in cities. It will contain a set of online video and testimonials to illustrate those examples.</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vAlign w:val="center"/>
            <w:hideMark/>
          </w:tcPr>
          <w:p w14:paraId="7C8EFFD4" w14:textId="77777777" w:rsidR="00ED60F4" w:rsidRDefault="00ED60F4" w:rsidP="00BE436D">
            <w:pPr>
              <w:pStyle w:val="Tabletext"/>
              <w:jc w:val="center"/>
              <w:rPr>
                <w:lang w:val="en-US" w:eastAsia="ko-KR"/>
              </w:rPr>
            </w:pPr>
            <w:r>
              <w:rPr>
                <w:lang w:val="en-US" w:eastAsia="ko-KR"/>
              </w:rPr>
              <w:t>Joel Alexander Mills, AugmentCity AS</w:t>
            </w:r>
          </w:p>
        </w:tc>
      </w:tr>
      <w:tr w:rsidR="00ED60F4" w14:paraId="425AE1C3" w14:textId="77777777" w:rsidTr="00BE436D">
        <w:trPr>
          <w:trHeight w:val="808"/>
        </w:trPr>
        <w:tc>
          <w:tcPr>
            <w:tcW w:w="1277"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hideMark/>
          </w:tcPr>
          <w:p w14:paraId="3D76913B" w14:textId="77777777" w:rsidR="00ED60F4" w:rsidRDefault="00ED60F4" w:rsidP="00BE436D">
            <w:pPr>
              <w:pStyle w:val="Tabletext"/>
              <w:rPr>
                <w:lang w:val="en-US" w:eastAsia="ko-KR"/>
              </w:rPr>
            </w:pPr>
            <w:r>
              <w:rPr>
                <w:lang w:val="en-US" w:eastAsia="ko-KR"/>
              </w:rPr>
              <w:t>D.WG1-11</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hideMark/>
          </w:tcPr>
          <w:p w14:paraId="08AE60E6" w14:textId="77777777" w:rsidR="00ED60F4" w:rsidRDefault="00ED60F4" w:rsidP="00BE436D">
            <w:pPr>
              <w:pStyle w:val="Tabletext"/>
              <w:rPr>
                <w:lang w:val="en-US" w:eastAsia="ko-KR"/>
              </w:rPr>
            </w:pPr>
            <w:r>
              <w:rPr>
                <w:lang w:val="en-US" w:eastAsia="ko-KR"/>
              </w:rPr>
              <w:t xml:space="preserve">Best practices on how AI &amp; ML for data processing can scale and </w:t>
            </w:r>
            <w:r>
              <w:rPr>
                <w:lang w:val="en-US" w:eastAsia="ko-KR"/>
              </w:rPr>
              <w:lastRenderedPageBreak/>
              <w:t>be used in different locations globally</w:t>
            </w:r>
          </w:p>
        </w:tc>
        <w:tc>
          <w:tcPr>
            <w:tcW w:w="1275"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vAlign w:val="center"/>
            <w:hideMark/>
          </w:tcPr>
          <w:p w14:paraId="24C81094" w14:textId="77777777" w:rsidR="00ED60F4" w:rsidRDefault="00ED60F4" w:rsidP="00BE436D">
            <w:pPr>
              <w:pStyle w:val="Tabletext"/>
              <w:jc w:val="center"/>
              <w:rPr>
                <w:lang w:val="en-US" w:eastAsia="ko-KR"/>
              </w:rPr>
            </w:pPr>
            <w:r>
              <w:rPr>
                <w:lang w:val="en-US" w:eastAsia="ko-KR"/>
              </w:rPr>
              <w:lastRenderedPageBreak/>
              <w:t>Technical Report</w:t>
            </w:r>
          </w:p>
        </w:tc>
        <w:tc>
          <w:tcPr>
            <w:tcW w:w="4111" w:type="dxa"/>
            <w:tcBorders>
              <w:top w:val="single" w:sz="4" w:space="0" w:color="auto"/>
              <w:left w:val="single" w:sz="4" w:space="0" w:color="auto"/>
              <w:bottom w:val="single" w:sz="4" w:space="0" w:color="auto"/>
              <w:right w:val="single" w:sz="4" w:space="0" w:color="auto"/>
            </w:tcBorders>
            <w:shd w:val="clear" w:color="auto" w:fill="F2F2F2"/>
            <w:hideMark/>
          </w:tcPr>
          <w:p w14:paraId="2A30BA02" w14:textId="77777777" w:rsidR="00ED60F4" w:rsidRDefault="00ED60F4" w:rsidP="00BE436D">
            <w:pPr>
              <w:pStyle w:val="Tabletext"/>
              <w:rPr>
                <w:lang w:val="en-US" w:eastAsia="ko-KR"/>
              </w:rPr>
            </w:pPr>
            <w:r>
              <w:rPr>
                <w:lang w:val="en-US" w:eastAsia="ko-KR"/>
              </w:rPr>
              <w:t xml:space="preserve">This report-based example will focus on how emerging technology solutions can have most impact on environmental issues within cities. The data used will be based on information </w:t>
            </w:r>
            <w:r>
              <w:rPr>
                <w:lang w:val="en-US" w:eastAsia="ko-KR"/>
              </w:rPr>
              <w:lastRenderedPageBreak/>
              <w:t>gained from the United Nations ''United for Smart Sustainable Cities” (U4SSC) reports. The focus will be on comparing results from different cities and looking at the areas where cities gained low results. What are the emerging technologies that could improve these results? How should the data be structured to improve results?</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0" w:type="dxa"/>
              <w:left w:w="10" w:type="dxa"/>
              <w:bottom w:w="0" w:type="dxa"/>
              <w:right w:w="10" w:type="dxa"/>
            </w:tcMar>
            <w:vAlign w:val="center"/>
            <w:hideMark/>
          </w:tcPr>
          <w:p w14:paraId="2A5CBA11" w14:textId="77777777" w:rsidR="00ED60F4" w:rsidRDefault="00ED60F4" w:rsidP="00BE436D">
            <w:pPr>
              <w:pStyle w:val="Tabletext"/>
              <w:jc w:val="center"/>
              <w:rPr>
                <w:lang w:val="en-US" w:eastAsia="ko-KR"/>
              </w:rPr>
            </w:pPr>
            <w:r>
              <w:rPr>
                <w:lang w:val="en-US" w:eastAsia="ko-KR"/>
              </w:rPr>
              <w:lastRenderedPageBreak/>
              <w:t>Joel Alexander Mills, AugmentCity AS</w:t>
            </w:r>
          </w:p>
        </w:tc>
      </w:tr>
    </w:tbl>
    <w:p w14:paraId="3393C989" w14:textId="77777777" w:rsidR="00ED60F4" w:rsidRDefault="00ED60F4" w:rsidP="00ED60F4">
      <w:pPr>
        <w:pStyle w:val="Heading2"/>
        <w:rPr>
          <w:rFonts w:eastAsia="Batang"/>
          <w:szCs w:val="24"/>
          <w:lang w:eastAsia="ko-KR"/>
        </w:rPr>
      </w:pPr>
    </w:p>
    <w:p w14:paraId="47A7627D" w14:textId="77777777" w:rsidR="00ED60F4" w:rsidRDefault="00ED60F4" w:rsidP="00ED60F4">
      <w:pPr>
        <w:pStyle w:val="Heading2"/>
        <w:ind w:left="-142" w:firstLine="0"/>
        <w:rPr>
          <w:rFonts w:eastAsia="Batang"/>
          <w:lang w:eastAsia="ko-KR"/>
        </w:rPr>
      </w:pPr>
      <w:r>
        <w:rPr>
          <w:rFonts w:eastAsia="Batang"/>
          <w:lang w:eastAsia="ko-KR"/>
        </w:rPr>
        <w:t>2. Working Group 2 (WG2) - Assessment and Measurement of the Environmental Efficiency of AI and Emerging Technologies</w:t>
      </w:r>
    </w:p>
    <w:p w14:paraId="7B7A2774" w14:textId="77777777" w:rsidR="00ED60F4" w:rsidRDefault="00ED60F4" w:rsidP="00ED60F4">
      <w:pPr>
        <w:rPr>
          <w:rFonts w:eastAsia="Batang"/>
          <w:lang w:eastAsia="ko-KR"/>
        </w:rPr>
      </w:pPr>
    </w:p>
    <w:tbl>
      <w:tblPr>
        <w:tblW w:w="104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13"/>
        <w:gridCol w:w="1985"/>
        <w:gridCol w:w="1275"/>
        <w:gridCol w:w="4111"/>
        <w:gridCol w:w="1701"/>
      </w:tblGrid>
      <w:tr w:rsidR="00ED60F4" w14:paraId="1A39442C" w14:textId="77777777" w:rsidTr="00BE436D">
        <w:trPr>
          <w:trHeight w:val="22"/>
        </w:trPr>
        <w:tc>
          <w:tcPr>
            <w:tcW w:w="1413"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121" w:type="dxa"/>
              <w:left w:w="49" w:type="dxa"/>
              <w:bottom w:w="98" w:type="dxa"/>
              <w:right w:w="49" w:type="dxa"/>
            </w:tcMar>
            <w:vAlign w:val="center"/>
            <w:hideMark/>
          </w:tcPr>
          <w:p w14:paraId="18488960" w14:textId="77777777" w:rsidR="00ED60F4" w:rsidRDefault="00ED60F4" w:rsidP="00BE436D">
            <w:pPr>
              <w:pStyle w:val="Tablehead"/>
              <w:rPr>
                <w:lang w:val="en-US" w:eastAsia="ko-KR"/>
              </w:rPr>
            </w:pPr>
            <w:r>
              <w:rPr>
                <w:lang w:val="en-US" w:eastAsia="ko-KR"/>
              </w:rPr>
              <w:t>Provisional #</w:t>
            </w:r>
          </w:p>
        </w:tc>
        <w:tc>
          <w:tcPr>
            <w:tcW w:w="1985"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121" w:type="dxa"/>
              <w:left w:w="49" w:type="dxa"/>
              <w:bottom w:w="98" w:type="dxa"/>
              <w:right w:w="49" w:type="dxa"/>
            </w:tcMar>
            <w:vAlign w:val="center"/>
            <w:hideMark/>
          </w:tcPr>
          <w:p w14:paraId="31CAE1A5" w14:textId="77777777" w:rsidR="00ED60F4" w:rsidRDefault="00ED60F4" w:rsidP="00BE436D">
            <w:pPr>
              <w:pStyle w:val="Tablehead"/>
              <w:rPr>
                <w:lang w:val="en-US" w:eastAsia="ko-KR"/>
              </w:rPr>
            </w:pPr>
            <w:r>
              <w:rPr>
                <w:lang w:val="en-US" w:eastAsia="ko-KR"/>
              </w:rPr>
              <w:t>Deliverable title</w:t>
            </w:r>
          </w:p>
        </w:tc>
        <w:tc>
          <w:tcPr>
            <w:tcW w:w="1275"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121" w:type="dxa"/>
              <w:left w:w="49" w:type="dxa"/>
              <w:bottom w:w="98" w:type="dxa"/>
              <w:right w:w="49" w:type="dxa"/>
            </w:tcMar>
            <w:vAlign w:val="center"/>
            <w:hideMark/>
          </w:tcPr>
          <w:p w14:paraId="4F3F5281" w14:textId="77777777" w:rsidR="00ED60F4" w:rsidRDefault="00ED60F4" w:rsidP="00BE436D">
            <w:pPr>
              <w:pStyle w:val="Tablehead"/>
              <w:rPr>
                <w:lang w:val="en-US" w:eastAsia="ko-KR"/>
              </w:rPr>
            </w:pPr>
            <w:r>
              <w:rPr>
                <w:lang w:val="en-US" w:eastAsia="ko-KR"/>
              </w:rPr>
              <w:t>Category</w:t>
            </w:r>
          </w:p>
        </w:tc>
        <w:tc>
          <w:tcPr>
            <w:tcW w:w="411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B4CF75A" w14:textId="77777777" w:rsidR="00ED60F4" w:rsidRDefault="00ED60F4" w:rsidP="00BE436D">
            <w:pPr>
              <w:pStyle w:val="Tablehead"/>
              <w:rPr>
                <w:lang w:val="en-US" w:eastAsia="ko-KR"/>
              </w:rPr>
            </w:pPr>
            <w:r>
              <w:rPr>
                <w:lang w:val="en-US" w:eastAsia="ko-KR"/>
              </w:rPr>
              <w:t>Scope</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121" w:type="dxa"/>
              <w:left w:w="49" w:type="dxa"/>
              <w:bottom w:w="98" w:type="dxa"/>
              <w:right w:w="49" w:type="dxa"/>
            </w:tcMar>
            <w:vAlign w:val="center"/>
            <w:hideMark/>
          </w:tcPr>
          <w:p w14:paraId="62BA2563" w14:textId="77777777" w:rsidR="00ED60F4" w:rsidRDefault="00ED60F4" w:rsidP="00BE436D">
            <w:pPr>
              <w:pStyle w:val="Tablehead"/>
              <w:rPr>
                <w:lang w:val="en-US" w:eastAsia="ko-KR"/>
              </w:rPr>
            </w:pPr>
            <w:r>
              <w:rPr>
                <w:lang w:val="en-US" w:eastAsia="ko-KR"/>
              </w:rPr>
              <w:t>Leader</w:t>
            </w:r>
          </w:p>
        </w:tc>
      </w:tr>
      <w:tr w:rsidR="00ED60F4" w14:paraId="4756E544" w14:textId="77777777" w:rsidTr="00BE436D">
        <w:trPr>
          <w:trHeight w:val="80"/>
        </w:trPr>
        <w:tc>
          <w:tcPr>
            <w:tcW w:w="1413" w:type="dxa"/>
            <w:tcBorders>
              <w:top w:val="single" w:sz="4" w:space="0" w:color="auto"/>
              <w:left w:val="single" w:sz="4" w:space="0" w:color="auto"/>
              <w:bottom w:val="single" w:sz="4" w:space="0" w:color="auto"/>
              <w:right w:val="single" w:sz="4" w:space="0" w:color="auto"/>
            </w:tcBorders>
            <w:shd w:val="clear" w:color="auto" w:fill="F2F2F2"/>
            <w:tcMar>
              <w:top w:w="121" w:type="dxa"/>
              <w:left w:w="49" w:type="dxa"/>
              <w:bottom w:w="98" w:type="dxa"/>
              <w:right w:w="49" w:type="dxa"/>
            </w:tcMar>
            <w:hideMark/>
          </w:tcPr>
          <w:p w14:paraId="21F91378" w14:textId="77777777" w:rsidR="00ED60F4" w:rsidRDefault="00ED60F4" w:rsidP="00BE436D">
            <w:pPr>
              <w:pStyle w:val="Tabletext"/>
              <w:rPr>
                <w:lang w:val="en-US" w:eastAsia="ko-KR"/>
              </w:rPr>
            </w:pPr>
            <w:r>
              <w:rPr>
                <w:lang w:val="en-US" w:eastAsia="ko-KR"/>
              </w:rPr>
              <w:t>D.WG2-01</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121" w:type="dxa"/>
              <w:left w:w="49" w:type="dxa"/>
              <w:bottom w:w="98" w:type="dxa"/>
              <w:right w:w="49" w:type="dxa"/>
            </w:tcMar>
            <w:hideMark/>
          </w:tcPr>
          <w:p w14:paraId="6B6CA102" w14:textId="77777777" w:rsidR="00ED60F4" w:rsidRPr="00156EC0" w:rsidRDefault="00ED60F4" w:rsidP="00BE436D">
            <w:pPr>
              <w:pStyle w:val="Tabletext"/>
              <w:rPr>
                <w:lang w:val="en-US" w:eastAsia="ko-KR"/>
              </w:rPr>
            </w:pPr>
            <w:r w:rsidRPr="00156EC0">
              <w:rPr>
                <w:lang w:val="en-US" w:eastAsia="ko-KR"/>
              </w:rPr>
              <w:t>Environmental Impact self-check assessment</w:t>
            </w:r>
          </w:p>
        </w:tc>
        <w:tc>
          <w:tcPr>
            <w:tcW w:w="1275" w:type="dxa"/>
            <w:tcBorders>
              <w:top w:val="single" w:sz="4" w:space="0" w:color="auto"/>
              <w:left w:val="single" w:sz="4" w:space="0" w:color="auto"/>
              <w:bottom w:val="single" w:sz="4" w:space="0" w:color="auto"/>
              <w:right w:val="single" w:sz="4" w:space="0" w:color="auto"/>
            </w:tcBorders>
            <w:shd w:val="clear" w:color="auto" w:fill="F2F2F2"/>
            <w:tcMar>
              <w:top w:w="121" w:type="dxa"/>
              <w:left w:w="49" w:type="dxa"/>
              <w:bottom w:w="98" w:type="dxa"/>
              <w:right w:w="49" w:type="dxa"/>
            </w:tcMar>
            <w:hideMark/>
          </w:tcPr>
          <w:p w14:paraId="4169AF54" w14:textId="77777777" w:rsidR="00ED60F4" w:rsidRDefault="00ED60F4" w:rsidP="00BE436D">
            <w:pPr>
              <w:pStyle w:val="Tabletext"/>
              <w:jc w:val="center"/>
              <w:rPr>
                <w:szCs w:val="22"/>
                <w:lang w:val="en-US" w:eastAsia="ko-KR"/>
              </w:rPr>
            </w:pPr>
            <w:r>
              <w:rPr>
                <w:szCs w:val="22"/>
                <w:lang w:val="en-US"/>
              </w:rPr>
              <w:t>Technical Specification</w:t>
            </w:r>
          </w:p>
        </w:tc>
        <w:tc>
          <w:tcPr>
            <w:tcW w:w="4111" w:type="dxa"/>
            <w:tcBorders>
              <w:top w:val="single" w:sz="4" w:space="0" w:color="auto"/>
              <w:left w:val="single" w:sz="4" w:space="0" w:color="auto"/>
              <w:bottom w:val="single" w:sz="4" w:space="0" w:color="auto"/>
              <w:right w:val="single" w:sz="4" w:space="0" w:color="auto"/>
            </w:tcBorders>
            <w:shd w:val="clear" w:color="auto" w:fill="F2F2F2"/>
            <w:hideMark/>
          </w:tcPr>
          <w:p w14:paraId="0E780F0C" w14:textId="77777777" w:rsidR="00ED60F4" w:rsidRDefault="00ED60F4" w:rsidP="00BE436D">
            <w:pPr>
              <w:pStyle w:val="Tabletext"/>
              <w:rPr>
                <w:szCs w:val="22"/>
                <w:lang w:val="en-US" w:eastAsia="ko-KR"/>
              </w:rPr>
            </w:pPr>
            <w:r>
              <w:rPr>
                <w:szCs w:val="22"/>
                <w:lang w:val="en-US"/>
              </w:rPr>
              <w:t>This document will contain a scorecard for an organization to grade itself on how well they have built a product or service based upon environmental impacts. It will define a set of standard areas to be scored (e.g. power consumption, water consumption, etc.) as well as standardized scoring criteria so that scoring is measured the same across industries and products/services.</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21" w:type="dxa"/>
              <w:left w:w="49" w:type="dxa"/>
              <w:bottom w:w="98" w:type="dxa"/>
              <w:right w:w="49" w:type="dxa"/>
            </w:tcMar>
            <w:vAlign w:val="center"/>
            <w:hideMark/>
          </w:tcPr>
          <w:p w14:paraId="2EE5F78F" w14:textId="77777777" w:rsidR="00ED60F4" w:rsidRDefault="00ED60F4" w:rsidP="00BE436D">
            <w:pPr>
              <w:pStyle w:val="Tabletext"/>
              <w:jc w:val="center"/>
              <w:rPr>
                <w:lang w:val="en-US" w:eastAsia="ko-KR"/>
              </w:rPr>
            </w:pPr>
            <w:r>
              <w:rPr>
                <w:lang w:val="en-US" w:eastAsia="ko-KR"/>
              </w:rPr>
              <w:t>Neil Sahota, University of California</w:t>
            </w:r>
          </w:p>
        </w:tc>
      </w:tr>
      <w:tr w:rsidR="00ED60F4" w14:paraId="55E50151" w14:textId="77777777" w:rsidTr="00BE436D">
        <w:trPr>
          <w:trHeight w:val="80"/>
        </w:trPr>
        <w:tc>
          <w:tcPr>
            <w:tcW w:w="1413" w:type="dxa"/>
            <w:tcBorders>
              <w:top w:val="single" w:sz="4" w:space="0" w:color="auto"/>
              <w:left w:val="single" w:sz="4" w:space="0" w:color="auto"/>
              <w:bottom w:val="single" w:sz="4" w:space="0" w:color="auto"/>
              <w:right w:val="single" w:sz="4" w:space="0" w:color="auto"/>
            </w:tcBorders>
            <w:shd w:val="clear" w:color="auto" w:fill="F2F2F2"/>
            <w:tcMar>
              <w:top w:w="121" w:type="dxa"/>
              <w:left w:w="49" w:type="dxa"/>
              <w:bottom w:w="98" w:type="dxa"/>
              <w:right w:w="49" w:type="dxa"/>
            </w:tcMar>
            <w:hideMark/>
          </w:tcPr>
          <w:p w14:paraId="6BA64402" w14:textId="77777777" w:rsidR="00ED60F4" w:rsidRDefault="00ED60F4" w:rsidP="00BE436D">
            <w:pPr>
              <w:pStyle w:val="Tabletext"/>
              <w:rPr>
                <w:lang w:val="en-US" w:eastAsia="ko-KR"/>
              </w:rPr>
            </w:pPr>
            <w:r>
              <w:rPr>
                <w:lang w:val="en-US" w:eastAsia="ko-KR"/>
              </w:rPr>
              <w:t>D.WG2-02</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121" w:type="dxa"/>
              <w:left w:w="49" w:type="dxa"/>
              <w:bottom w:w="98" w:type="dxa"/>
              <w:right w:w="49" w:type="dxa"/>
            </w:tcMar>
            <w:hideMark/>
          </w:tcPr>
          <w:p w14:paraId="648BE68D" w14:textId="77777777" w:rsidR="00ED60F4" w:rsidRDefault="00ED60F4" w:rsidP="00BE436D">
            <w:pPr>
              <w:pStyle w:val="Tabletext"/>
              <w:rPr>
                <w:lang w:val="en-US" w:eastAsia="ko-KR"/>
              </w:rPr>
            </w:pPr>
            <w:r>
              <w:rPr>
                <w:lang w:val="en-US" w:eastAsia="ko-KR"/>
              </w:rPr>
              <w:t>Computer processing, data management and energy perspective</w:t>
            </w:r>
          </w:p>
        </w:tc>
        <w:tc>
          <w:tcPr>
            <w:tcW w:w="1275" w:type="dxa"/>
            <w:tcBorders>
              <w:top w:val="single" w:sz="4" w:space="0" w:color="auto"/>
              <w:left w:val="single" w:sz="4" w:space="0" w:color="auto"/>
              <w:bottom w:val="single" w:sz="4" w:space="0" w:color="auto"/>
              <w:right w:val="single" w:sz="4" w:space="0" w:color="auto"/>
            </w:tcBorders>
            <w:shd w:val="clear" w:color="auto" w:fill="F2F2F2"/>
            <w:tcMar>
              <w:top w:w="121" w:type="dxa"/>
              <w:left w:w="49" w:type="dxa"/>
              <w:bottom w:w="98" w:type="dxa"/>
              <w:right w:w="49" w:type="dxa"/>
            </w:tcMar>
            <w:vAlign w:val="center"/>
            <w:hideMark/>
          </w:tcPr>
          <w:p w14:paraId="6618A9BA" w14:textId="77777777" w:rsidR="00ED60F4" w:rsidRDefault="00ED60F4" w:rsidP="00BE436D">
            <w:pPr>
              <w:pStyle w:val="Tabletext"/>
              <w:jc w:val="center"/>
              <w:rPr>
                <w:lang w:val="en-US" w:eastAsia="ko-KR"/>
              </w:rPr>
            </w:pPr>
            <w:r>
              <w:rPr>
                <w:lang w:val="en-US" w:eastAsia="ko-KR"/>
              </w:rPr>
              <w:t>Technical Report</w:t>
            </w:r>
          </w:p>
        </w:tc>
        <w:tc>
          <w:tcPr>
            <w:tcW w:w="4111" w:type="dxa"/>
            <w:tcBorders>
              <w:top w:val="single" w:sz="4" w:space="0" w:color="auto"/>
              <w:left w:val="single" w:sz="4" w:space="0" w:color="auto"/>
              <w:bottom w:val="single" w:sz="4" w:space="0" w:color="auto"/>
              <w:right w:val="single" w:sz="4" w:space="0" w:color="auto"/>
            </w:tcBorders>
            <w:shd w:val="clear" w:color="auto" w:fill="F2F2F2"/>
            <w:hideMark/>
          </w:tcPr>
          <w:p w14:paraId="5B344419" w14:textId="77777777" w:rsidR="00ED60F4" w:rsidRDefault="00ED60F4" w:rsidP="00BE436D">
            <w:pPr>
              <w:pStyle w:val="Tabletext"/>
              <w:rPr>
                <w:lang w:val="en-US" w:eastAsia="ko-KR"/>
              </w:rPr>
            </w:pPr>
            <w:r>
              <w:rPr>
                <w:lang w:val="en-US" w:eastAsia="ko-KR"/>
              </w:rPr>
              <w:t>We live in an era that is defined the “Cambrian explosion of data”, and advanced data analytics (Deep and Machine Learning, mainly) is ready to drive us in this world. The volume of data produced hourly and daily is enormous and is intended to dramatically increase in the next years –just consider the IoT revolution. Data centers of the future will be data driven. A clear limiting factor is their energy consumption. Presently, data centers consume more power than several European Union Member States, producing a larger footprint than all aircrafts. For these reasons, innovative strategies and technological solutions are needed to allow a scalability that is essential to enable and support the AI revolution. The document aims at recognizing important areas of innovation addressing this issue and facilitating the AI uptake by our Society.</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21" w:type="dxa"/>
              <w:left w:w="49" w:type="dxa"/>
              <w:bottom w:w="98" w:type="dxa"/>
              <w:right w:w="49" w:type="dxa"/>
            </w:tcMar>
            <w:vAlign w:val="center"/>
            <w:hideMark/>
          </w:tcPr>
          <w:p w14:paraId="7F2552C3" w14:textId="77777777" w:rsidR="00ED60F4" w:rsidRDefault="00ED60F4" w:rsidP="00BE436D">
            <w:pPr>
              <w:pStyle w:val="Tabletext"/>
              <w:jc w:val="center"/>
              <w:rPr>
                <w:lang w:val="en-US" w:eastAsia="ko-KR"/>
              </w:rPr>
            </w:pPr>
            <w:r>
              <w:rPr>
                <w:lang w:val="en-US" w:eastAsia="ko-KR"/>
              </w:rPr>
              <w:t>Stefano Nativi, European Commission</w:t>
            </w:r>
          </w:p>
        </w:tc>
      </w:tr>
      <w:tr w:rsidR="00ED60F4" w14:paraId="67C1083B" w14:textId="77777777" w:rsidTr="00BE436D">
        <w:trPr>
          <w:trHeight w:val="121"/>
        </w:trPr>
        <w:tc>
          <w:tcPr>
            <w:tcW w:w="1413" w:type="dxa"/>
            <w:tcBorders>
              <w:top w:val="single" w:sz="4" w:space="0" w:color="auto"/>
              <w:left w:val="single" w:sz="4" w:space="0" w:color="auto"/>
              <w:bottom w:val="single" w:sz="4" w:space="0" w:color="auto"/>
              <w:right w:val="single" w:sz="4" w:space="0" w:color="auto"/>
            </w:tcBorders>
            <w:tcMar>
              <w:top w:w="121" w:type="dxa"/>
              <w:left w:w="49" w:type="dxa"/>
              <w:bottom w:w="98" w:type="dxa"/>
              <w:right w:w="49" w:type="dxa"/>
            </w:tcMar>
            <w:hideMark/>
          </w:tcPr>
          <w:p w14:paraId="4D7071A4" w14:textId="77777777" w:rsidR="00ED60F4" w:rsidRDefault="00ED60F4" w:rsidP="00BE436D">
            <w:pPr>
              <w:pStyle w:val="Tabletext"/>
              <w:rPr>
                <w:lang w:val="en-US" w:eastAsia="ko-KR"/>
              </w:rPr>
            </w:pPr>
            <w:r>
              <w:rPr>
                <w:lang w:val="en-US" w:eastAsia="ko-KR"/>
              </w:rPr>
              <w:t>D.WG2-03</w:t>
            </w:r>
          </w:p>
        </w:tc>
        <w:tc>
          <w:tcPr>
            <w:tcW w:w="1985" w:type="dxa"/>
            <w:tcBorders>
              <w:top w:val="single" w:sz="4" w:space="0" w:color="auto"/>
              <w:left w:val="single" w:sz="4" w:space="0" w:color="auto"/>
              <w:bottom w:val="single" w:sz="4" w:space="0" w:color="auto"/>
              <w:right w:val="single" w:sz="4" w:space="0" w:color="auto"/>
            </w:tcBorders>
            <w:tcMar>
              <w:top w:w="121" w:type="dxa"/>
              <w:left w:w="49" w:type="dxa"/>
              <w:bottom w:w="98" w:type="dxa"/>
              <w:right w:w="49" w:type="dxa"/>
            </w:tcMar>
            <w:hideMark/>
          </w:tcPr>
          <w:p w14:paraId="6DC48C06" w14:textId="77777777" w:rsidR="00ED60F4" w:rsidRDefault="00ED60F4" w:rsidP="00BE436D">
            <w:pPr>
              <w:pStyle w:val="Tabletext"/>
              <w:rPr>
                <w:lang w:val="en-US" w:eastAsia="ko-KR"/>
              </w:rPr>
            </w:pPr>
            <w:r>
              <w:rPr>
                <w:lang w:val="en-US" w:eastAsia="ko-KR"/>
              </w:rPr>
              <w:t>Requirements on energy efficiency measurement models and the role of AI and big data</w:t>
            </w:r>
          </w:p>
        </w:tc>
        <w:tc>
          <w:tcPr>
            <w:tcW w:w="1275" w:type="dxa"/>
            <w:tcBorders>
              <w:top w:val="single" w:sz="4" w:space="0" w:color="auto"/>
              <w:left w:val="single" w:sz="4" w:space="0" w:color="auto"/>
              <w:bottom w:val="single" w:sz="4" w:space="0" w:color="auto"/>
              <w:right w:val="single" w:sz="4" w:space="0" w:color="auto"/>
            </w:tcBorders>
            <w:tcMar>
              <w:top w:w="121" w:type="dxa"/>
              <w:left w:w="49" w:type="dxa"/>
              <w:bottom w:w="98" w:type="dxa"/>
              <w:right w:w="49" w:type="dxa"/>
            </w:tcMar>
            <w:vAlign w:val="center"/>
            <w:hideMark/>
          </w:tcPr>
          <w:p w14:paraId="283CAE27" w14:textId="77777777" w:rsidR="00ED60F4" w:rsidRDefault="00ED60F4" w:rsidP="00BE436D">
            <w:pPr>
              <w:pStyle w:val="Tabletext"/>
              <w:jc w:val="center"/>
              <w:rPr>
                <w:lang w:val="en-US" w:eastAsia="ko-KR"/>
              </w:rPr>
            </w:pPr>
            <w:r>
              <w:rPr>
                <w:lang w:val="en-US" w:eastAsia="ko-KR"/>
              </w:rPr>
              <w:t>Technical Report</w:t>
            </w:r>
          </w:p>
        </w:tc>
        <w:tc>
          <w:tcPr>
            <w:tcW w:w="4111" w:type="dxa"/>
            <w:tcBorders>
              <w:top w:val="single" w:sz="4" w:space="0" w:color="auto"/>
              <w:left w:val="single" w:sz="4" w:space="0" w:color="auto"/>
              <w:bottom w:val="single" w:sz="4" w:space="0" w:color="auto"/>
              <w:right w:val="single" w:sz="4" w:space="0" w:color="auto"/>
            </w:tcBorders>
            <w:hideMark/>
          </w:tcPr>
          <w:p w14:paraId="3AF1DE44" w14:textId="77777777" w:rsidR="00ED60F4" w:rsidRDefault="00ED60F4" w:rsidP="00BE436D">
            <w:pPr>
              <w:pStyle w:val="Tabletext"/>
              <w:rPr>
                <w:lang w:val="en-US" w:eastAsia="ko-KR"/>
              </w:rPr>
            </w:pPr>
            <w:r>
              <w:rPr>
                <w:lang w:val="en-US" w:eastAsia="ko-KR"/>
              </w:rPr>
              <w:t xml:space="preserve">This document will provide an overview of existing evaluation metrics and methodologies for energy efficiency and the role of Information and Communications Technologies (ICTs), based on a gap analysis of existing relative standards and on a detailed </w:t>
            </w:r>
            <w:r>
              <w:rPr>
                <w:lang w:val="en-US" w:eastAsia="ko-KR"/>
              </w:rPr>
              <w:lastRenderedPageBreak/>
              <w:t xml:space="preserve">and systematic literature review on corresponding assessment models: </w:t>
            </w:r>
          </w:p>
          <w:p w14:paraId="6BE8B735" w14:textId="77777777" w:rsidR="00ED60F4" w:rsidRDefault="00ED60F4" w:rsidP="00BE436D">
            <w:pPr>
              <w:pStyle w:val="Tabletext"/>
              <w:ind w:left="284" w:hanging="284"/>
              <w:rPr>
                <w:lang w:val="fr-CH" w:eastAsia="ko-KR"/>
              </w:rPr>
            </w:pPr>
            <w:r>
              <w:rPr>
                <w:lang w:val="fr-CH" w:eastAsia="ko-KR"/>
              </w:rPr>
              <w:t>–</w:t>
            </w:r>
            <w:r>
              <w:rPr>
                <w:lang w:val="fr-CH" w:eastAsia="ko-KR"/>
              </w:rPr>
              <w:tab/>
              <w:t>Resources: scientific databases (e.g., sciencedirect, scopus, etc.)</w:t>
            </w:r>
          </w:p>
          <w:p w14:paraId="59C96AA8" w14:textId="77777777" w:rsidR="00ED60F4" w:rsidRDefault="00ED60F4" w:rsidP="00BE436D">
            <w:pPr>
              <w:pStyle w:val="Tabletext"/>
              <w:ind w:left="284" w:hanging="284"/>
              <w:rPr>
                <w:lang w:val="en-US" w:eastAsia="ko-KR"/>
              </w:rPr>
            </w:pPr>
            <w:r>
              <w:rPr>
                <w:lang w:val="en-US" w:eastAsia="ko-KR"/>
              </w:rPr>
              <w:t>–</w:t>
            </w:r>
            <w:r>
              <w:rPr>
                <w:lang w:val="en-US" w:eastAsia="ko-KR"/>
              </w:rPr>
              <w:tab/>
              <w:t>Keywords: "energy efficiency" AND "assessment" AND "model" AND "big data" AND "AI"</w:t>
            </w:r>
          </w:p>
        </w:tc>
        <w:tc>
          <w:tcPr>
            <w:tcW w:w="1701" w:type="dxa"/>
            <w:tcBorders>
              <w:top w:val="single" w:sz="4" w:space="0" w:color="auto"/>
              <w:left w:val="single" w:sz="4" w:space="0" w:color="auto"/>
              <w:bottom w:val="single" w:sz="4" w:space="0" w:color="auto"/>
              <w:right w:val="single" w:sz="4" w:space="0" w:color="auto"/>
            </w:tcBorders>
            <w:tcMar>
              <w:top w:w="121" w:type="dxa"/>
              <w:left w:w="49" w:type="dxa"/>
              <w:bottom w:w="98" w:type="dxa"/>
              <w:right w:w="49" w:type="dxa"/>
            </w:tcMar>
            <w:vAlign w:val="center"/>
            <w:hideMark/>
          </w:tcPr>
          <w:p w14:paraId="1F0D995B" w14:textId="77777777" w:rsidR="00ED60F4" w:rsidRDefault="00ED60F4" w:rsidP="00BE436D">
            <w:pPr>
              <w:pStyle w:val="Tabletext"/>
              <w:jc w:val="center"/>
              <w:rPr>
                <w:lang w:val="en-US" w:eastAsia="ko-KR"/>
              </w:rPr>
            </w:pPr>
            <w:r>
              <w:rPr>
                <w:lang w:val="en-US" w:eastAsia="ko-KR"/>
              </w:rPr>
              <w:lastRenderedPageBreak/>
              <w:t>Leonidas Anthopoulos, University of Thessaly</w:t>
            </w:r>
          </w:p>
        </w:tc>
      </w:tr>
      <w:tr w:rsidR="00ED60F4" w14:paraId="67695C10" w14:textId="77777777" w:rsidTr="00BE436D">
        <w:trPr>
          <w:trHeight w:val="617"/>
        </w:trPr>
        <w:tc>
          <w:tcPr>
            <w:tcW w:w="1413" w:type="dxa"/>
            <w:tcBorders>
              <w:top w:val="single" w:sz="4" w:space="0" w:color="auto"/>
              <w:left w:val="single" w:sz="4" w:space="0" w:color="auto"/>
              <w:bottom w:val="single" w:sz="4" w:space="0" w:color="auto"/>
              <w:right w:val="single" w:sz="4" w:space="0" w:color="auto"/>
            </w:tcBorders>
            <w:shd w:val="clear" w:color="auto" w:fill="F2F2F2"/>
            <w:tcMar>
              <w:top w:w="121" w:type="dxa"/>
              <w:left w:w="49" w:type="dxa"/>
              <w:bottom w:w="98" w:type="dxa"/>
              <w:right w:w="49" w:type="dxa"/>
            </w:tcMar>
            <w:hideMark/>
          </w:tcPr>
          <w:p w14:paraId="7365A6E8" w14:textId="77777777" w:rsidR="00ED60F4" w:rsidRDefault="00ED60F4" w:rsidP="00BE436D">
            <w:pPr>
              <w:pStyle w:val="Tabletext"/>
              <w:rPr>
                <w:lang w:val="en-US" w:eastAsia="ko-KR"/>
              </w:rPr>
            </w:pPr>
            <w:r>
              <w:rPr>
                <w:lang w:val="en-US" w:eastAsia="ko-KR"/>
              </w:rPr>
              <w:t>D.WG2-04</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121" w:type="dxa"/>
              <w:left w:w="49" w:type="dxa"/>
              <w:bottom w:w="98" w:type="dxa"/>
              <w:right w:w="49" w:type="dxa"/>
            </w:tcMar>
            <w:hideMark/>
          </w:tcPr>
          <w:p w14:paraId="1DC10C91" w14:textId="77777777" w:rsidR="00ED60F4" w:rsidRDefault="00ED60F4" w:rsidP="00BE436D">
            <w:pPr>
              <w:pStyle w:val="Tabletext"/>
              <w:rPr>
                <w:lang w:val="en-US" w:eastAsia="ko-KR"/>
              </w:rPr>
            </w:pPr>
            <w:r>
              <w:rPr>
                <w:lang w:val="en-US" w:eastAsia="ko-KR"/>
              </w:rPr>
              <w:t xml:space="preserve">Guidelines on Evaluating and Measuring the Impacts of Artificial Intelligence and Blockchain on Environmental Efficiency </w:t>
            </w:r>
          </w:p>
        </w:tc>
        <w:tc>
          <w:tcPr>
            <w:tcW w:w="1275" w:type="dxa"/>
            <w:tcBorders>
              <w:top w:val="single" w:sz="4" w:space="0" w:color="auto"/>
              <w:left w:val="single" w:sz="4" w:space="0" w:color="auto"/>
              <w:bottom w:val="single" w:sz="4" w:space="0" w:color="auto"/>
              <w:right w:val="single" w:sz="4" w:space="0" w:color="auto"/>
            </w:tcBorders>
            <w:shd w:val="clear" w:color="auto" w:fill="F2F2F2"/>
            <w:tcMar>
              <w:top w:w="121" w:type="dxa"/>
              <w:left w:w="49" w:type="dxa"/>
              <w:bottom w:w="98" w:type="dxa"/>
              <w:right w:w="49" w:type="dxa"/>
            </w:tcMar>
            <w:vAlign w:val="center"/>
            <w:hideMark/>
          </w:tcPr>
          <w:p w14:paraId="120BDAF0" w14:textId="77777777" w:rsidR="00ED60F4" w:rsidRDefault="00ED60F4" w:rsidP="00BE436D">
            <w:pPr>
              <w:pStyle w:val="Tabletext"/>
              <w:jc w:val="center"/>
              <w:rPr>
                <w:lang w:val="en-US" w:eastAsia="ko-KR"/>
              </w:rPr>
            </w:pPr>
            <w:r>
              <w:rPr>
                <w:lang w:val="en-US" w:eastAsia="ko-KR"/>
              </w:rPr>
              <w:t>Technical Specification</w:t>
            </w:r>
          </w:p>
        </w:tc>
        <w:tc>
          <w:tcPr>
            <w:tcW w:w="4111" w:type="dxa"/>
            <w:tcBorders>
              <w:top w:val="single" w:sz="4" w:space="0" w:color="auto"/>
              <w:left w:val="single" w:sz="4" w:space="0" w:color="auto"/>
              <w:bottom w:val="single" w:sz="4" w:space="0" w:color="auto"/>
              <w:right w:val="single" w:sz="4" w:space="0" w:color="auto"/>
            </w:tcBorders>
            <w:shd w:val="clear" w:color="auto" w:fill="F2F2F2"/>
            <w:hideMark/>
          </w:tcPr>
          <w:p w14:paraId="6BDAEEDE" w14:textId="77777777" w:rsidR="00ED60F4" w:rsidRDefault="00ED60F4" w:rsidP="00BE436D">
            <w:pPr>
              <w:pStyle w:val="Tabletext"/>
              <w:rPr>
                <w:lang w:val="en-US" w:eastAsia="ko-KR"/>
              </w:rPr>
            </w:pPr>
            <w:r>
              <w:rPr>
                <w:lang w:val="en-US" w:eastAsia="ko-KR"/>
              </w:rPr>
              <w:t>This document will contain a framework for evaluating and measuring the impacts of AI and blockchain on environmental efficiency. The objective of the framework is to support operators and other related stakeholders in assessing the environmental impacts of AI and blockchain. The results aim to inform them to make better environmental decisions, improve the operational quality and efficiency of the two technologies, and identify a clear pathway for AI and blockchain stakeholders to align their values with the visions of the United Nations Sustainable Development Goals.</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21" w:type="dxa"/>
              <w:left w:w="49" w:type="dxa"/>
              <w:bottom w:w="98" w:type="dxa"/>
              <w:right w:w="49" w:type="dxa"/>
            </w:tcMar>
            <w:vAlign w:val="center"/>
            <w:hideMark/>
          </w:tcPr>
          <w:p w14:paraId="490AB801" w14:textId="77777777" w:rsidR="00ED60F4" w:rsidRDefault="00ED60F4" w:rsidP="00BE436D">
            <w:pPr>
              <w:pStyle w:val="Tabletext"/>
              <w:jc w:val="center"/>
              <w:rPr>
                <w:lang w:val="en-US" w:eastAsia="ko-KR"/>
              </w:rPr>
            </w:pPr>
            <w:r>
              <w:rPr>
                <w:lang w:val="en-US" w:eastAsia="ko-KR"/>
              </w:rPr>
              <w:t>Barbara Kolm,</w:t>
            </w:r>
          </w:p>
          <w:p w14:paraId="3B41D3DB" w14:textId="77777777" w:rsidR="00ED60F4" w:rsidRDefault="00ED60F4" w:rsidP="00BE436D">
            <w:pPr>
              <w:pStyle w:val="Tabletext"/>
              <w:jc w:val="center"/>
              <w:rPr>
                <w:lang w:val="en-US" w:eastAsia="ko-KR"/>
              </w:rPr>
            </w:pPr>
            <w:r>
              <w:rPr>
                <w:lang w:val="en-US" w:eastAsia="ko-KR"/>
              </w:rPr>
              <w:t>Austrian Economics Center</w:t>
            </w:r>
          </w:p>
        </w:tc>
      </w:tr>
      <w:tr w:rsidR="00ED60F4" w14:paraId="31E78CDB" w14:textId="77777777" w:rsidTr="00BE436D">
        <w:trPr>
          <w:trHeight w:val="22"/>
        </w:trPr>
        <w:tc>
          <w:tcPr>
            <w:tcW w:w="1413" w:type="dxa"/>
            <w:tcBorders>
              <w:top w:val="single" w:sz="4" w:space="0" w:color="auto"/>
              <w:left w:val="single" w:sz="4" w:space="0" w:color="auto"/>
              <w:bottom w:val="single" w:sz="4" w:space="0" w:color="auto"/>
              <w:right w:val="single" w:sz="4" w:space="0" w:color="auto"/>
            </w:tcBorders>
            <w:tcMar>
              <w:top w:w="121" w:type="dxa"/>
              <w:left w:w="49" w:type="dxa"/>
              <w:bottom w:w="98" w:type="dxa"/>
              <w:right w:w="49" w:type="dxa"/>
            </w:tcMar>
            <w:hideMark/>
          </w:tcPr>
          <w:p w14:paraId="4FFDB40B" w14:textId="77777777" w:rsidR="00ED60F4" w:rsidRDefault="00ED60F4" w:rsidP="00BE436D">
            <w:pPr>
              <w:pStyle w:val="Tabletext"/>
              <w:rPr>
                <w:lang w:val="en-US" w:eastAsia="ko-KR"/>
              </w:rPr>
            </w:pPr>
            <w:r>
              <w:rPr>
                <w:lang w:val="en-US" w:eastAsia="ko-KR"/>
              </w:rPr>
              <w:t>D.WG2-05</w:t>
            </w:r>
          </w:p>
        </w:tc>
        <w:tc>
          <w:tcPr>
            <w:tcW w:w="1985" w:type="dxa"/>
            <w:tcBorders>
              <w:top w:val="single" w:sz="4" w:space="0" w:color="auto"/>
              <w:left w:val="single" w:sz="4" w:space="0" w:color="auto"/>
              <w:bottom w:val="single" w:sz="4" w:space="0" w:color="auto"/>
              <w:right w:val="single" w:sz="4" w:space="0" w:color="auto"/>
            </w:tcBorders>
            <w:tcMar>
              <w:top w:w="121" w:type="dxa"/>
              <w:left w:w="49" w:type="dxa"/>
              <w:bottom w:w="98" w:type="dxa"/>
              <w:right w:w="49" w:type="dxa"/>
            </w:tcMar>
            <w:hideMark/>
          </w:tcPr>
          <w:p w14:paraId="52F0E8DB" w14:textId="77777777" w:rsidR="00ED60F4" w:rsidRDefault="00ED60F4" w:rsidP="00BE436D">
            <w:pPr>
              <w:pStyle w:val="Tabletext"/>
              <w:rPr>
                <w:lang w:val="en-US" w:eastAsia="ko-KR"/>
              </w:rPr>
            </w:pPr>
            <w:r>
              <w:rPr>
                <w:lang w:val="en-US" w:eastAsia="ko-KR"/>
              </w:rPr>
              <w:t>Guidelines on Energy Efficient Blockchain Systems</w:t>
            </w:r>
          </w:p>
        </w:tc>
        <w:tc>
          <w:tcPr>
            <w:tcW w:w="1275" w:type="dxa"/>
            <w:tcBorders>
              <w:top w:val="single" w:sz="4" w:space="0" w:color="auto"/>
              <w:left w:val="single" w:sz="4" w:space="0" w:color="auto"/>
              <w:bottom w:val="single" w:sz="4" w:space="0" w:color="auto"/>
              <w:right w:val="single" w:sz="4" w:space="0" w:color="auto"/>
            </w:tcBorders>
            <w:tcMar>
              <w:top w:w="121" w:type="dxa"/>
              <w:left w:w="49" w:type="dxa"/>
              <w:bottom w:w="98" w:type="dxa"/>
              <w:right w:w="49" w:type="dxa"/>
            </w:tcMar>
            <w:vAlign w:val="center"/>
            <w:hideMark/>
          </w:tcPr>
          <w:p w14:paraId="7F21F1BF" w14:textId="77777777" w:rsidR="00ED60F4" w:rsidRDefault="00ED60F4" w:rsidP="00BE436D">
            <w:pPr>
              <w:pStyle w:val="Tabletext"/>
              <w:jc w:val="center"/>
              <w:rPr>
                <w:lang w:val="en-US" w:eastAsia="ko-KR"/>
              </w:rPr>
            </w:pPr>
            <w:r>
              <w:rPr>
                <w:lang w:val="en-US" w:eastAsia="ko-KR"/>
              </w:rPr>
              <w:t>Technical Specification</w:t>
            </w:r>
          </w:p>
        </w:tc>
        <w:tc>
          <w:tcPr>
            <w:tcW w:w="4111" w:type="dxa"/>
            <w:tcBorders>
              <w:top w:val="single" w:sz="4" w:space="0" w:color="auto"/>
              <w:left w:val="single" w:sz="4" w:space="0" w:color="auto"/>
              <w:bottom w:val="single" w:sz="4" w:space="0" w:color="auto"/>
              <w:right w:val="single" w:sz="4" w:space="0" w:color="auto"/>
            </w:tcBorders>
            <w:hideMark/>
          </w:tcPr>
          <w:p w14:paraId="54442492" w14:textId="77777777" w:rsidR="00ED60F4" w:rsidRDefault="00ED60F4" w:rsidP="00BE436D">
            <w:pPr>
              <w:pStyle w:val="Tabletext"/>
              <w:rPr>
                <w:lang w:val="en-US" w:eastAsia="ko-KR"/>
              </w:rPr>
            </w:pPr>
            <w:r>
              <w:rPr>
                <w:lang w:val="en-US" w:eastAsia="ko-KR"/>
              </w:rPr>
              <w:t>This document will describe the rationale, principles on transitioning from Proof of Work to Proof of Stake in blockchain systems. In contrast to Proof of Work, the Proof of Stake model introduces ‘validators’ to add the next block, effectively eliminating the incentive to compete to be the first miner to solve the puzzle that is given to them in order to obtain the rewards.</w:t>
            </w:r>
          </w:p>
          <w:p w14:paraId="553BDC5D" w14:textId="77777777" w:rsidR="00ED60F4" w:rsidRDefault="00ED60F4" w:rsidP="00BE436D">
            <w:pPr>
              <w:pStyle w:val="Tabletext"/>
              <w:rPr>
                <w:lang w:val="en-US" w:eastAsia="ko-KR"/>
              </w:rPr>
            </w:pPr>
            <w:r>
              <w:rPr>
                <w:lang w:val="en-US" w:eastAsia="ko-KR"/>
              </w:rPr>
              <w:t>This document will consider also a comparison of traditional implementation of algorithm with respect to the new proposed implementation.</w:t>
            </w:r>
          </w:p>
        </w:tc>
        <w:tc>
          <w:tcPr>
            <w:tcW w:w="1701" w:type="dxa"/>
            <w:tcBorders>
              <w:top w:val="single" w:sz="4" w:space="0" w:color="auto"/>
              <w:left w:val="single" w:sz="4" w:space="0" w:color="auto"/>
              <w:bottom w:val="single" w:sz="4" w:space="0" w:color="auto"/>
              <w:right w:val="single" w:sz="4" w:space="0" w:color="auto"/>
            </w:tcBorders>
            <w:tcMar>
              <w:top w:w="121" w:type="dxa"/>
              <w:left w:w="49" w:type="dxa"/>
              <w:bottom w:w="98" w:type="dxa"/>
              <w:right w:w="49" w:type="dxa"/>
            </w:tcMar>
            <w:vAlign w:val="center"/>
            <w:hideMark/>
          </w:tcPr>
          <w:p w14:paraId="7481C821" w14:textId="77777777" w:rsidR="00ED60F4" w:rsidRDefault="00ED60F4" w:rsidP="00BE436D">
            <w:pPr>
              <w:pStyle w:val="Tabletext"/>
              <w:jc w:val="center"/>
              <w:rPr>
                <w:lang w:val="en-US" w:eastAsia="ko-KR"/>
              </w:rPr>
            </w:pPr>
            <w:r>
              <w:rPr>
                <w:lang w:val="en-US" w:eastAsia="ko-KR"/>
              </w:rPr>
              <w:t>Leonidas Anthopoulos, University of Thessaly</w:t>
            </w:r>
          </w:p>
        </w:tc>
      </w:tr>
      <w:tr w:rsidR="00ED60F4" w14:paraId="0F48890D" w14:textId="77777777" w:rsidTr="00BE436D">
        <w:trPr>
          <w:trHeight w:val="321"/>
        </w:trPr>
        <w:tc>
          <w:tcPr>
            <w:tcW w:w="1413" w:type="dxa"/>
            <w:tcBorders>
              <w:top w:val="single" w:sz="4" w:space="0" w:color="auto"/>
              <w:left w:val="single" w:sz="4" w:space="0" w:color="auto"/>
              <w:bottom w:val="single" w:sz="4" w:space="0" w:color="auto"/>
              <w:right w:val="single" w:sz="4" w:space="0" w:color="auto"/>
            </w:tcBorders>
            <w:shd w:val="clear" w:color="auto" w:fill="F2F2F2"/>
            <w:tcMar>
              <w:top w:w="121" w:type="dxa"/>
              <w:left w:w="49" w:type="dxa"/>
              <w:bottom w:w="98" w:type="dxa"/>
              <w:right w:w="49" w:type="dxa"/>
            </w:tcMar>
            <w:hideMark/>
          </w:tcPr>
          <w:p w14:paraId="1B137292" w14:textId="77777777" w:rsidR="00ED60F4" w:rsidRDefault="00ED60F4" w:rsidP="00BE436D">
            <w:pPr>
              <w:pStyle w:val="Tabletext"/>
              <w:rPr>
                <w:lang w:val="en-US" w:eastAsia="ko-KR"/>
              </w:rPr>
            </w:pPr>
            <w:bookmarkStart w:id="13" w:name="_Hlk61008106"/>
            <w:r>
              <w:rPr>
                <w:lang w:val="en-US" w:eastAsia="ko-KR"/>
              </w:rPr>
              <w:t>D.WG2-06</w:t>
            </w:r>
            <w:bookmarkEnd w:id="13"/>
          </w:p>
        </w:tc>
        <w:tc>
          <w:tcPr>
            <w:tcW w:w="1985" w:type="dxa"/>
            <w:tcBorders>
              <w:top w:val="single" w:sz="4" w:space="0" w:color="auto"/>
              <w:left w:val="single" w:sz="4" w:space="0" w:color="auto"/>
              <w:bottom w:val="single" w:sz="4" w:space="0" w:color="auto"/>
              <w:right w:val="single" w:sz="4" w:space="0" w:color="auto"/>
            </w:tcBorders>
            <w:shd w:val="clear" w:color="auto" w:fill="F2F2F2"/>
            <w:tcMar>
              <w:top w:w="121" w:type="dxa"/>
              <w:left w:w="49" w:type="dxa"/>
              <w:bottom w:w="98" w:type="dxa"/>
              <w:right w:w="49" w:type="dxa"/>
            </w:tcMar>
            <w:hideMark/>
          </w:tcPr>
          <w:p w14:paraId="541F09AE" w14:textId="77777777" w:rsidR="00ED60F4" w:rsidRDefault="00ED60F4" w:rsidP="00BE436D">
            <w:pPr>
              <w:pStyle w:val="Tabletext"/>
              <w:rPr>
                <w:lang w:val="en-US" w:eastAsia="ko-KR"/>
              </w:rPr>
            </w:pPr>
            <w:r>
              <w:rPr>
                <w:lang w:val="en-US" w:eastAsia="ko-KR"/>
              </w:rPr>
              <w:t>Assessment of Environmentally Efficient Data Centre and Cloud Computing in the framework of the Sustainable Development Goals (SDGs)</w:t>
            </w:r>
          </w:p>
        </w:tc>
        <w:tc>
          <w:tcPr>
            <w:tcW w:w="1275" w:type="dxa"/>
            <w:tcBorders>
              <w:top w:val="single" w:sz="4" w:space="0" w:color="auto"/>
              <w:left w:val="single" w:sz="4" w:space="0" w:color="auto"/>
              <w:bottom w:val="single" w:sz="4" w:space="0" w:color="auto"/>
              <w:right w:val="single" w:sz="4" w:space="0" w:color="auto"/>
            </w:tcBorders>
            <w:shd w:val="clear" w:color="auto" w:fill="F2F2F2"/>
            <w:tcMar>
              <w:top w:w="121" w:type="dxa"/>
              <w:left w:w="49" w:type="dxa"/>
              <w:bottom w:w="98" w:type="dxa"/>
              <w:right w:w="49" w:type="dxa"/>
            </w:tcMar>
            <w:vAlign w:val="center"/>
            <w:hideMark/>
          </w:tcPr>
          <w:p w14:paraId="45C32C5B" w14:textId="77777777" w:rsidR="00ED60F4" w:rsidRDefault="00ED60F4" w:rsidP="00BE436D">
            <w:pPr>
              <w:pStyle w:val="Tabletext"/>
              <w:jc w:val="center"/>
              <w:rPr>
                <w:lang w:val="en-US" w:eastAsia="ko-KR"/>
              </w:rPr>
            </w:pPr>
            <w:r>
              <w:rPr>
                <w:lang w:val="en-US" w:eastAsia="ko-KR"/>
              </w:rPr>
              <w:t>Technical Report</w:t>
            </w:r>
          </w:p>
        </w:tc>
        <w:tc>
          <w:tcPr>
            <w:tcW w:w="4111" w:type="dxa"/>
            <w:tcBorders>
              <w:top w:val="single" w:sz="4" w:space="0" w:color="auto"/>
              <w:left w:val="single" w:sz="4" w:space="0" w:color="auto"/>
              <w:bottom w:val="single" w:sz="4" w:space="0" w:color="auto"/>
              <w:right w:val="single" w:sz="4" w:space="0" w:color="auto"/>
            </w:tcBorders>
            <w:shd w:val="clear" w:color="auto" w:fill="F2F2F2"/>
            <w:hideMark/>
          </w:tcPr>
          <w:p w14:paraId="6B897839" w14:textId="77777777" w:rsidR="00ED60F4" w:rsidRDefault="00ED60F4" w:rsidP="00BE436D">
            <w:pPr>
              <w:pStyle w:val="Tabletext"/>
              <w:rPr>
                <w:lang w:val="en-US" w:eastAsia="ko-KR"/>
              </w:rPr>
            </w:pPr>
            <w:r>
              <w:rPr>
                <w:lang w:val="en-US" w:eastAsia="ko-KR"/>
              </w:rPr>
              <w:t>This document will conduct a more comprehensive environmental sustainability assessment with a multi-impact and life cycle approach. It includes the following aspects:</w:t>
            </w:r>
          </w:p>
          <w:p w14:paraId="13D60265" w14:textId="77777777" w:rsidR="00ED60F4" w:rsidRDefault="00ED60F4" w:rsidP="00BE436D">
            <w:pPr>
              <w:pStyle w:val="Tabletext"/>
              <w:ind w:left="284" w:hanging="284"/>
              <w:rPr>
                <w:lang w:val="en-US" w:eastAsia="ko-KR"/>
              </w:rPr>
            </w:pPr>
            <w:r>
              <w:rPr>
                <w:lang w:val="en-US" w:eastAsia="ko-KR"/>
              </w:rPr>
              <w:t>–</w:t>
            </w:r>
            <w:r>
              <w:rPr>
                <w:lang w:val="en-US" w:eastAsia="ko-KR"/>
              </w:rPr>
              <w:tab/>
              <w:t>An assessment of environmental impacts of data centre and cloud computing through a life cycle approach</w:t>
            </w:r>
          </w:p>
          <w:p w14:paraId="14268E86" w14:textId="77777777" w:rsidR="00ED60F4" w:rsidRDefault="00ED60F4" w:rsidP="00BE436D">
            <w:pPr>
              <w:pStyle w:val="Tabletext"/>
              <w:ind w:left="284" w:hanging="284"/>
              <w:rPr>
                <w:lang w:val="en-US" w:eastAsia="ko-KR"/>
              </w:rPr>
            </w:pPr>
            <w:r>
              <w:rPr>
                <w:lang w:val="en-US" w:eastAsia="ko-KR"/>
              </w:rPr>
              <w:t>–</w:t>
            </w:r>
            <w:r>
              <w:rPr>
                <w:lang w:val="en-US" w:eastAsia="ko-KR"/>
              </w:rPr>
              <w:tab/>
              <w:t>An assessment of the current sustainability matrixes of data centre and cloud computing</w:t>
            </w:r>
          </w:p>
          <w:p w14:paraId="26365624" w14:textId="77777777" w:rsidR="00ED60F4" w:rsidRDefault="00ED60F4" w:rsidP="00BE436D">
            <w:pPr>
              <w:pStyle w:val="Tabletext"/>
              <w:ind w:left="284" w:hanging="284"/>
              <w:rPr>
                <w:lang w:val="en-US" w:eastAsia="ko-KR"/>
              </w:rPr>
            </w:pPr>
            <w:r>
              <w:rPr>
                <w:lang w:val="en-US" w:eastAsia="ko-KR"/>
              </w:rPr>
              <w:t>–</w:t>
            </w:r>
            <w:r>
              <w:rPr>
                <w:lang w:val="en-US" w:eastAsia="ko-KR"/>
              </w:rPr>
              <w:tab/>
              <w:t>An analysis on the links to the 17 SDGs with breakdown indicators being evaluated</w:t>
            </w:r>
          </w:p>
          <w:p w14:paraId="0D93640B" w14:textId="77777777" w:rsidR="00ED60F4" w:rsidRDefault="00ED60F4" w:rsidP="00BE436D">
            <w:pPr>
              <w:pStyle w:val="Tabletext"/>
              <w:ind w:left="284" w:hanging="284"/>
              <w:rPr>
                <w:lang w:val="en-US" w:eastAsia="ko-KR"/>
              </w:rPr>
            </w:pPr>
            <w:r>
              <w:rPr>
                <w:lang w:val="en-US" w:eastAsia="ko-KR"/>
              </w:rPr>
              <w:t>–</w:t>
            </w:r>
            <w:r>
              <w:rPr>
                <w:lang w:val="en-US" w:eastAsia="ko-KR"/>
              </w:rPr>
              <w:tab/>
              <w:t>A gap analysis of policies that facilitating the development of environmentally efficient data centre and cloud in support of the achievement of the Paris agreement and the UN SDGs</w:t>
            </w:r>
          </w:p>
          <w:p w14:paraId="6A71BFFA" w14:textId="77777777" w:rsidR="00ED60F4" w:rsidRDefault="00ED60F4" w:rsidP="00BE436D">
            <w:pPr>
              <w:pStyle w:val="Tabletext"/>
              <w:ind w:left="284" w:hanging="284"/>
              <w:rPr>
                <w:lang w:val="en-US" w:eastAsia="ko-KR"/>
              </w:rPr>
            </w:pPr>
            <w:r>
              <w:rPr>
                <w:lang w:val="en-US" w:eastAsia="ko-KR"/>
              </w:rPr>
              <w:lastRenderedPageBreak/>
              <w:t>–</w:t>
            </w:r>
            <w:r>
              <w:rPr>
                <w:lang w:val="en-US" w:eastAsia="ko-KR"/>
              </w:rPr>
              <w:tab/>
              <w:t>Policy recommendations</w:t>
            </w:r>
          </w:p>
          <w:p w14:paraId="28DECCB0" w14:textId="77777777" w:rsidR="00ED60F4" w:rsidRDefault="00ED60F4" w:rsidP="00BE436D">
            <w:pPr>
              <w:pStyle w:val="Tabletext"/>
              <w:ind w:left="284" w:hanging="284"/>
              <w:rPr>
                <w:lang w:val="en-US" w:eastAsia="ko-KR"/>
              </w:rPr>
            </w:pPr>
            <w:r>
              <w:rPr>
                <w:lang w:val="en-US" w:eastAsia="ko-KR"/>
              </w:rPr>
              <w:t>–</w:t>
            </w:r>
            <w:r>
              <w:rPr>
                <w:lang w:val="en-US" w:eastAsia="ko-KR"/>
              </w:rPr>
              <w:tab/>
              <w:t>A section of a gap analysis on existing standards (e.g., [ITU-T L.1302] Assessment of energy efficiency on infrastructure in data centres and telecom centres, [ITU-T L.1351] Energy efficiency measurement methodology for base station sites, [ITU-T L.1502] Adapting information and communication technology infrastructure to the effects of climate change etc.) could be developed upon the availability of expertise, with potential adoption by ITU as sector standards.</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21" w:type="dxa"/>
              <w:left w:w="49" w:type="dxa"/>
              <w:bottom w:w="98" w:type="dxa"/>
              <w:right w:w="49" w:type="dxa"/>
            </w:tcMar>
            <w:vAlign w:val="center"/>
            <w:hideMark/>
          </w:tcPr>
          <w:p w14:paraId="065F40E0" w14:textId="77777777" w:rsidR="00ED60F4" w:rsidRDefault="00ED60F4" w:rsidP="00BE436D">
            <w:pPr>
              <w:pStyle w:val="Tabletext"/>
              <w:jc w:val="center"/>
              <w:rPr>
                <w:lang w:val="en-US" w:eastAsia="ko-KR"/>
              </w:rPr>
            </w:pPr>
            <w:r>
              <w:rPr>
                <w:lang w:val="en-US" w:eastAsia="ko-KR"/>
              </w:rPr>
              <w:lastRenderedPageBreak/>
              <w:t>Xiao Wang, UNEP DTU Partnership</w:t>
            </w:r>
          </w:p>
        </w:tc>
      </w:tr>
    </w:tbl>
    <w:p w14:paraId="6CBE699F" w14:textId="77777777" w:rsidR="00ED60F4" w:rsidRDefault="00ED60F4" w:rsidP="00ED60F4">
      <w:pPr>
        <w:pStyle w:val="Heading2"/>
        <w:ind w:left="-142" w:firstLine="0"/>
        <w:rPr>
          <w:rFonts w:eastAsia="Batang"/>
          <w:lang w:eastAsia="ko-KR"/>
        </w:rPr>
      </w:pPr>
      <w:r>
        <w:rPr>
          <w:rFonts w:eastAsia="Batang"/>
          <w:lang w:eastAsia="ko-KR"/>
        </w:rPr>
        <w:t>3. Working Group 3 (WG3) - Implementation Guidelines of AI and Emerging Technologies for Environmental Efficiency</w:t>
      </w:r>
    </w:p>
    <w:p w14:paraId="5FE6F7EA" w14:textId="77777777" w:rsidR="00ED60F4" w:rsidRDefault="00ED60F4" w:rsidP="00ED60F4">
      <w:pPr>
        <w:spacing w:after="120"/>
        <w:rPr>
          <w:rFonts w:eastAsia="Batang"/>
          <w:lang w:eastAsia="ko-KR"/>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18"/>
        <w:gridCol w:w="1985"/>
        <w:gridCol w:w="1275"/>
        <w:gridCol w:w="4111"/>
        <w:gridCol w:w="1701"/>
      </w:tblGrid>
      <w:tr w:rsidR="00ED60F4" w14:paraId="6D40C91C" w14:textId="77777777" w:rsidTr="00BE436D">
        <w:trPr>
          <w:trHeight w:val="293"/>
        </w:trPr>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122" w:type="dxa"/>
              <w:left w:w="15" w:type="dxa"/>
              <w:bottom w:w="0" w:type="dxa"/>
              <w:right w:w="12" w:type="dxa"/>
            </w:tcMar>
            <w:vAlign w:val="center"/>
            <w:hideMark/>
          </w:tcPr>
          <w:p w14:paraId="3AC1AF4A" w14:textId="77777777" w:rsidR="00ED60F4" w:rsidRDefault="00ED60F4" w:rsidP="00BE436D">
            <w:pPr>
              <w:pStyle w:val="Tablehead"/>
              <w:rPr>
                <w:lang w:val="en-US" w:eastAsia="ko-KR"/>
              </w:rPr>
            </w:pPr>
            <w:r>
              <w:rPr>
                <w:lang w:val="en-US" w:eastAsia="ko-KR"/>
              </w:rPr>
              <w:t>Provisional #</w:t>
            </w:r>
          </w:p>
        </w:tc>
        <w:tc>
          <w:tcPr>
            <w:tcW w:w="1985"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122" w:type="dxa"/>
              <w:left w:w="15" w:type="dxa"/>
              <w:bottom w:w="0" w:type="dxa"/>
              <w:right w:w="12" w:type="dxa"/>
            </w:tcMar>
            <w:vAlign w:val="center"/>
            <w:hideMark/>
          </w:tcPr>
          <w:p w14:paraId="336E7736" w14:textId="77777777" w:rsidR="00ED60F4" w:rsidRDefault="00ED60F4" w:rsidP="00BE436D">
            <w:pPr>
              <w:pStyle w:val="Tablehead"/>
              <w:rPr>
                <w:lang w:val="en-US" w:eastAsia="ko-KR"/>
              </w:rPr>
            </w:pPr>
            <w:r>
              <w:rPr>
                <w:lang w:val="en-US" w:eastAsia="ko-KR"/>
              </w:rPr>
              <w:t>Deliverable title</w:t>
            </w:r>
          </w:p>
        </w:tc>
        <w:tc>
          <w:tcPr>
            <w:tcW w:w="1275"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122" w:type="dxa"/>
              <w:left w:w="15" w:type="dxa"/>
              <w:bottom w:w="0" w:type="dxa"/>
              <w:right w:w="12" w:type="dxa"/>
            </w:tcMar>
            <w:vAlign w:val="center"/>
            <w:hideMark/>
          </w:tcPr>
          <w:p w14:paraId="2FE0177A" w14:textId="77777777" w:rsidR="00ED60F4" w:rsidRDefault="00ED60F4" w:rsidP="00BE436D">
            <w:pPr>
              <w:pStyle w:val="Tablehead"/>
              <w:rPr>
                <w:lang w:val="en-US" w:eastAsia="ko-KR"/>
              </w:rPr>
            </w:pPr>
            <w:r>
              <w:rPr>
                <w:lang w:val="en-US" w:eastAsia="ko-KR"/>
              </w:rPr>
              <w:t>Category</w:t>
            </w:r>
          </w:p>
        </w:tc>
        <w:tc>
          <w:tcPr>
            <w:tcW w:w="411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2F17A63" w14:textId="77777777" w:rsidR="00ED60F4" w:rsidRDefault="00ED60F4" w:rsidP="00BE436D">
            <w:pPr>
              <w:pStyle w:val="Tablehead"/>
              <w:rPr>
                <w:lang w:val="en-US" w:eastAsia="ko-KR"/>
              </w:rPr>
            </w:pPr>
            <w:r>
              <w:rPr>
                <w:lang w:val="en-US" w:eastAsia="ko-KR"/>
              </w:rPr>
              <w:t>Scope</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122" w:type="dxa"/>
              <w:left w:w="15" w:type="dxa"/>
              <w:bottom w:w="0" w:type="dxa"/>
              <w:right w:w="12" w:type="dxa"/>
            </w:tcMar>
            <w:vAlign w:val="center"/>
            <w:hideMark/>
          </w:tcPr>
          <w:p w14:paraId="44F1045A" w14:textId="77777777" w:rsidR="00ED60F4" w:rsidRDefault="00ED60F4" w:rsidP="00BE436D">
            <w:pPr>
              <w:pStyle w:val="Tablehead"/>
              <w:rPr>
                <w:lang w:val="en-US" w:eastAsia="ko-KR"/>
              </w:rPr>
            </w:pPr>
            <w:r>
              <w:rPr>
                <w:lang w:val="en-US" w:eastAsia="ko-KR"/>
              </w:rPr>
              <w:t>Leader</w:t>
            </w:r>
          </w:p>
        </w:tc>
      </w:tr>
      <w:tr w:rsidR="00ED60F4" w14:paraId="34E3B79A" w14:textId="77777777" w:rsidTr="00BE436D">
        <w:trPr>
          <w:trHeight w:val="90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122" w:type="dxa"/>
              <w:left w:w="15" w:type="dxa"/>
              <w:bottom w:w="0" w:type="dxa"/>
              <w:right w:w="15" w:type="dxa"/>
            </w:tcMar>
            <w:hideMark/>
          </w:tcPr>
          <w:p w14:paraId="69701DE5" w14:textId="77777777" w:rsidR="00ED60F4" w:rsidRDefault="00ED60F4" w:rsidP="00BE436D">
            <w:pPr>
              <w:pStyle w:val="Tabletext"/>
              <w:rPr>
                <w:lang w:val="en-US" w:eastAsia="ko-KR"/>
              </w:rPr>
            </w:pPr>
            <w:r>
              <w:rPr>
                <w:lang w:val="en-US" w:eastAsia="ko-KR"/>
              </w:rPr>
              <w:t>D.WG3-01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122" w:type="dxa"/>
              <w:left w:w="15" w:type="dxa"/>
              <w:bottom w:w="0" w:type="dxa"/>
              <w:right w:w="15" w:type="dxa"/>
            </w:tcMar>
            <w:hideMark/>
          </w:tcPr>
          <w:p w14:paraId="0D37DB99" w14:textId="77777777" w:rsidR="00ED60F4" w:rsidRDefault="00ED60F4" w:rsidP="00BE436D">
            <w:pPr>
              <w:pStyle w:val="Tabletext"/>
              <w:rPr>
                <w:lang w:val="en-US" w:eastAsia="ko-KR"/>
              </w:rPr>
            </w:pPr>
            <w:r>
              <w:rPr>
                <w:lang w:val="en-US" w:eastAsia="ko-KR"/>
              </w:rPr>
              <w:t>Guidelines on the implementation of eco-friendly criterias for AI and other emerging technologies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122" w:type="dxa"/>
              <w:left w:w="15" w:type="dxa"/>
              <w:bottom w:w="0" w:type="dxa"/>
              <w:right w:w="15" w:type="dxa"/>
            </w:tcMar>
            <w:vAlign w:val="center"/>
            <w:hideMark/>
          </w:tcPr>
          <w:p w14:paraId="32F0244C" w14:textId="77777777" w:rsidR="00ED60F4" w:rsidRDefault="00ED60F4" w:rsidP="00BE436D">
            <w:pPr>
              <w:pStyle w:val="Tabletext"/>
              <w:jc w:val="center"/>
              <w:rPr>
                <w:lang w:val="en-US" w:eastAsia="ko-KR"/>
              </w:rPr>
            </w:pPr>
            <w:r>
              <w:rPr>
                <w:lang w:val="en-US" w:eastAsia="ko-KR"/>
              </w:rPr>
              <w:t>Technical Specification</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D356D" w14:textId="77777777" w:rsidR="00ED60F4" w:rsidRDefault="00ED60F4" w:rsidP="00BE436D">
            <w:pPr>
              <w:pStyle w:val="Tabletext"/>
              <w:rPr>
                <w:lang w:val="en-US" w:eastAsia="ko-KR"/>
              </w:rPr>
            </w:pPr>
            <w:r>
              <w:rPr>
                <w:lang w:val="en-US" w:eastAsia="ko-KR"/>
              </w:rPr>
              <w:t>This document will define a set of guidelines for organizations to review their implementation and build process to assess the technological impact to environmental factors like:</w:t>
            </w:r>
          </w:p>
          <w:p w14:paraId="2CE76AD2" w14:textId="77777777" w:rsidR="00ED60F4" w:rsidRDefault="00ED60F4" w:rsidP="00BE436D">
            <w:pPr>
              <w:pStyle w:val="Tabletext"/>
              <w:rPr>
                <w:lang w:val="en-US" w:eastAsia="ko-KR"/>
              </w:rPr>
            </w:pPr>
            <w:r>
              <w:rPr>
                <w:lang w:val="en-US" w:eastAsia="ko-KR"/>
              </w:rPr>
              <w:t>–</w:t>
            </w:r>
            <w:r>
              <w:rPr>
                <w:lang w:val="en-US" w:eastAsia="ko-KR"/>
              </w:rPr>
              <w:tab/>
              <w:t>Materials used;</w:t>
            </w:r>
          </w:p>
          <w:p w14:paraId="44F9B40F" w14:textId="77777777" w:rsidR="00ED60F4" w:rsidRDefault="00ED60F4" w:rsidP="00BE436D">
            <w:pPr>
              <w:pStyle w:val="Tabletext"/>
              <w:rPr>
                <w:lang w:val="en-US" w:eastAsia="ko-KR"/>
              </w:rPr>
            </w:pPr>
            <w:r>
              <w:rPr>
                <w:lang w:val="en-US" w:eastAsia="ko-KR"/>
              </w:rPr>
              <w:t>–</w:t>
            </w:r>
            <w:r>
              <w:rPr>
                <w:lang w:val="en-US" w:eastAsia="ko-KR"/>
              </w:rPr>
              <w:tab/>
              <w:t>Energy consumed;</w:t>
            </w:r>
          </w:p>
          <w:p w14:paraId="3A7D7F03" w14:textId="77777777" w:rsidR="00ED60F4" w:rsidRDefault="00ED60F4" w:rsidP="00BE436D">
            <w:pPr>
              <w:pStyle w:val="Tabletext"/>
              <w:rPr>
                <w:lang w:val="en-US" w:eastAsia="ko-KR"/>
              </w:rPr>
            </w:pPr>
            <w:r>
              <w:rPr>
                <w:lang w:val="en-US" w:eastAsia="ko-KR"/>
              </w:rPr>
              <w:t>–</w:t>
            </w:r>
            <w:r>
              <w:rPr>
                <w:lang w:val="en-US" w:eastAsia="ko-KR"/>
              </w:rPr>
              <w:tab/>
              <w:t>Water consumed;</w:t>
            </w:r>
          </w:p>
          <w:p w14:paraId="7B7E6E94" w14:textId="77777777" w:rsidR="00ED60F4" w:rsidRDefault="00ED60F4" w:rsidP="00BE436D">
            <w:pPr>
              <w:pStyle w:val="Tabletext"/>
              <w:rPr>
                <w:lang w:val="en-US" w:eastAsia="ko-KR"/>
              </w:rPr>
            </w:pPr>
            <w:r>
              <w:rPr>
                <w:lang w:val="en-US" w:eastAsia="ko-KR"/>
              </w:rPr>
              <w:t>–</w:t>
            </w:r>
            <w:r>
              <w:rPr>
                <w:lang w:val="en-US" w:eastAsia="ko-KR"/>
              </w:rPr>
              <w:tab/>
              <w:t>Waste generated.</w:t>
            </w:r>
          </w:p>
          <w:p w14:paraId="3C651176" w14:textId="77777777" w:rsidR="00ED60F4" w:rsidRDefault="00ED60F4" w:rsidP="00BE436D">
            <w:pPr>
              <w:pStyle w:val="Tabletext"/>
              <w:rPr>
                <w:lang w:val="en-US" w:eastAsia="ko-KR"/>
              </w:rPr>
            </w:pPr>
            <w:r>
              <w:rPr>
                <w:lang w:val="en-US" w:eastAsia="ko-KR"/>
              </w:rPr>
              <w:t>These guidelines will serve as common factors, not a comprehensive list, for technologists to consider as they design and build any piece of technology.</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122" w:type="dxa"/>
              <w:left w:w="15" w:type="dxa"/>
              <w:bottom w:w="0" w:type="dxa"/>
              <w:right w:w="15" w:type="dxa"/>
            </w:tcMar>
            <w:vAlign w:val="center"/>
            <w:hideMark/>
          </w:tcPr>
          <w:p w14:paraId="0C5BB2B6" w14:textId="77777777" w:rsidR="00ED60F4" w:rsidRDefault="00ED60F4" w:rsidP="00BE436D">
            <w:pPr>
              <w:pStyle w:val="Tabletext"/>
              <w:jc w:val="center"/>
              <w:rPr>
                <w:lang w:val="en-US" w:eastAsia="ko-KR"/>
              </w:rPr>
            </w:pPr>
            <w:r>
              <w:rPr>
                <w:lang w:val="en-US" w:eastAsia="ko-KR"/>
              </w:rPr>
              <w:t xml:space="preserve">Bosen Liu, </w:t>
            </w:r>
            <w:r>
              <w:rPr>
                <w:lang w:val="en-US" w:eastAsia="ko-KR"/>
              </w:rPr>
              <w:br/>
              <w:t>Ladder Education Group</w:t>
            </w:r>
          </w:p>
        </w:tc>
      </w:tr>
      <w:tr w:rsidR="00ED60F4" w14:paraId="60BE2B8B" w14:textId="77777777" w:rsidTr="00BE436D">
        <w:trPr>
          <w:trHeight w:val="1163"/>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22" w:type="dxa"/>
              <w:left w:w="61" w:type="dxa"/>
              <w:bottom w:w="0" w:type="dxa"/>
              <w:right w:w="15" w:type="dxa"/>
            </w:tcMar>
            <w:hideMark/>
          </w:tcPr>
          <w:p w14:paraId="1F074D5D" w14:textId="77777777" w:rsidR="00ED60F4" w:rsidRDefault="00ED60F4" w:rsidP="00BE436D">
            <w:pPr>
              <w:pStyle w:val="Tabletext"/>
              <w:rPr>
                <w:lang w:val="en-US" w:eastAsia="ko-KR"/>
              </w:rPr>
            </w:pPr>
            <w:r>
              <w:rPr>
                <w:lang w:val="en-US" w:eastAsia="ko-KR"/>
              </w:rPr>
              <w:t>D.WG3-02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22" w:type="dxa"/>
              <w:left w:w="61" w:type="dxa"/>
              <w:bottom w:w="0" w:type="dxa"/>
              <w:right w:w="15" w:type="dxa"/>
            </w:tcMar>
            <w:hideMark/>
          </w:tcPr>
          <w:p w14:paraId="762FA806" w14:textId="77777777" w:rsidR="00ED60F4" w:rsidRDefault="00ED60F4" w:rsidP="00BE436D">
            <w:pPr>
              <w:pStyle w:val="Tabletext"/>
              <w:rPr>
                <w:lang w:val="en-US" w:eastAsia="ko-KR"/>
              </w:rPr>
            </w:pPr>
            <w:r>
              <w:rPr>
                <w:lang w:val="en-US" w:eastAsia="ko-KR"/>
              </w:rPr>
              <w:t>Smart Energy Saving of 5G Base Station: Based on AI and other emerging technologies to forecast and optimize the management of 5G wireless network energy consumption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22" w:type="dxa"/>
              <w:left w:w="61" w:type="dxa"/>
              <w:bottom w:w="0" w:type="dxa"/>
              <w:right w:w="15" w:type="dxa"/>
            </w:tcMar>
            <w:vAlign w:val="center"/>
            <w:hideMark/>
          </w:tcPr>
          <w:p w14:paraId="1D4DD3B6" w14:textId="77777777" w:rsidR="00ED60F4" w:rsidRDefault="00ED60F4" w:rsidP="00BE436D">
            <w:pPr>
              <w:pStyle w:val="Tabletext"/>
              <w:jc w:val="center"/>
              <w:rPr>
                <w:lang w:val="en-US" w:eastAsia="ko-KR"/>
              </w:rPr>
            </w:pPr>
            <w:r>
              <w:rPr>
                <w:lang w:val="en-US" w:eastAsia="ko-KR"/>
              </w:rPr>
              <w:t>Technical Report</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BFA563" w14:textId="77777777" w:rsidR="00ED60F4" w:rsidRDefault="00ED60F4" w:rsidP="00BE436D">
            <w:pPr>
              <w:pStyle w:val="Tabletext"/>
              <w:rPr>
                <w:lang w:val="en-US" w:eastAsia="ko-KR"/>
              </w:rPr>
            </w:pPr>
            <w:r>
              <w:rPr>
                <w:lang w:val="en-US" w:eastAsia="ko-KR"/>
              </w:rPr>
              <w:t>The energy consumption of 5G base stations is three to four times that of 4G. With the help of AI, intelligent pattern recognition, deep learning prediction, and automatic hierarchical control of energy-saving scenarios could be achieved, the customer-oriented cross-network 5G base station intelligent energy-saving capability could be established.</w:t>
            </w:r>
          </w:p>
          <w:p w14:paraId="4C38B09D" w14:textId="77777777" w:rsidR="00ED60F4" w:rsidRDefault="00ED60F4" w:rsidP="00BE436D">
            <w:pPr>
              <w:pStyle w:val="Tabletext"/>
              <w:rPr>
                <w:lang w:val="en-US" w:eastAsia="ko-KR"/>
              </w:rPr>
            </w:pPr>
            <w:r>
              <w:rPr>
                <w:lang w:val="en-US" w:eastAsia="ko-KR"/>
              </w:rPr>
              <w:t>This document will establish model algorithms for intelligent identification of base station energy saving scenarios, business load forecasting, etc.; It will set up the basic framework scheme of perception-oriented hierarchical base station energy saving strategy; develop basic functions of 5G base station smart energy-saving experimental system.</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22" w:type="dxa"/>
              <w:left w:w="61" w:type="dxa"/>
              <w:bottom w:w="0" w:type="dxa"/>
              <w:right w:w="15" w:type="dxa"/>
            </w:tcMar>
            <w:vAlign w:val="center"/>
            <w:hideMark/>
          </w:tcPr>
          <w:p w14:paraId="35DC5539" w14:textId="77777777" w:rsidR="00ED60F4" w:rsidRDefault="00ED60F4" w:rsidP="00BE436D">
            <w:pPr>
              <w:pStyle w:val="Tabletext"/>
              <w:jc w:val="center"/>
              <w:rPr>
                <w:lang w:val="en-US" w:eastAsia="ko-KR"/>
              </w:rPr>
            </w:pPr>
            <w:r>
              <w:rPr>
                <w:lang w:val="en-US" w:eastAsia="ko-KR"/>
              </w:rPr>
              <w:t>Rumeng Tan, China Telecom</w:t>
            </w:r>
          </w:p>
        </w:tc>
      </w:tr>
      <w:tr w:rsidR="00ED60F4" w14:paraId="795780F9" w14:textId="77777777" w:rsidTr="00BE436D">
        <w:trPr>
          <w:trHeight w:val="637"/>
        </w:trPr>
        <w:tc>
          <w:tcPr>
            <w:tcW w:w="1418" w:type="dxa"/>
            <w:tcBorders>
              <w:top w:val="single" w:sz="4" w:space="0" w:color="auto"/>
              <w:left w:val="single" w:sz="4" w:space="0" w:color="auto"/>
              <w:bottom w:val="single" w:sz="4" w:space="0" w:color="auto"/>
              <w:right w:val="single" w:sz="4" w:space="0" w:color="auto"/>
            </w:tcBorders>
            <w:tcMar>
              <w:top w:w="122" w:type="dxa"/>
              <w:left w:w="15" w:type="dxa"/>
              <w:bottom w:w="0" w:type="dxa"/>
              <w:right w:w="15" w:type="dxa"/>
            </w:tcMar>
            <w:hideMark/>
          </w:tcPr>
          <w:p w14:paraId="7A996A67" w14:textId="77777777" w:rsidR="00ED60F4" w:rsidRDefault="00ED60F4" w:rsidP="00BE436D">
            <w:pPr>
              <w:pStyle w:val="Tabletext"/>
              <w:rPr>
                <w:lang w:val="en-US" w:eastAsia="ko-KR"/>
              </w:rPr>
            </w:pPr>
            <w:r>
              <w:rPr>
                <w:lang w:val="en-US" w:eastAsia="ko-KR"/>
              </w:rPr>
              <w:lastRenderedPageBreak/>
              <w:t>D.WG3-03</w:t>
            </w:r>
          </w:p>
        </w:tc>
        <w:tc>
          <w:tcPr>
            <w:tcW w:w="1985" w:type="dxa"/>
            <w:tcBorders>
              <w:top w:val="single" w:sz="4" w:space="0" w:color="auto"/>
              <w:left w:val="single" w:sz="4" w:space="0" w:color="auto"/>
              <w:bottom w:val="single" w:sz="4" w:space="0" w:color="auto"/>
              <w:right w:val="single" w:sz="4" w:space="0" w:color="auto"/>
            </w:tcBorders>
            <w:tcMar>
              <w:top w:w="122" w:type="dxa"/>
              <w:left w:w="15" w:type="dxa"/>
              <w:bottom w:w="0" w:type="dxa"/>
              <w:right w:w="15" w:type="dxa"/>
            </w:tcMar>
            <w:hideMark/>
          </w:tcPr>
          <w:p w14:paraId="6A93FBBC" w14:textId="77777777" w:rsidR="00ED60F4" w:rsidRDefault="00ED60F4" w:rsidP="00BE436D">
            <w:pPr>
              <w:pStyle w:val="Tabletext"/>
              <w:rPr>
                <w:lang w:val="en-US" w:eastAsia="ko-KR"/>
              </w:rPr>
            </w:pPr>
            <w:r>
              <w:rPr>
                <w:lang w:val="en-US" w:eastAsia="ko-KR"/>
              </w:rPr>
              <w:t>Application of AI technology in improving energy efficiency of telecom equipment rooms and IDC infrastructure</w:t>
            </w:r>
          </w:p>
        </w:tc>
        <w:tc>
          <w:tcPr>
            <w:tcW w:w="1275" w:type="dxa"/>
            <w:tcBorders>
              <w:top w:val="single" w:sz="4" w:space="0" w:color="auto"/>
              <w:left w:val="single" w:sz="4" w:space="0" w:color="auto"/>
              <w:bottom w:val="single" w:sz="4" w:space="0" w:color="auto"/>
              <w:right w:val="single" w:sz="4" w:space="0" w:color="auto"/>
            </w:tcBorders>
            <w:tcMar>
              <w:top w:w="122" w:type="dxa"/>
              <w:left w:w="15" w:type="dxa"/>
              <w:bottom w:w="0" w:type="dxa"/>
              <w:right w:w="15" w:type="dxa"/>
            </w:tcMar>
            <w:vAlign w:val="center"/>
            <w:hideMark/>
          </w:tcPr>
          <w:p w14:paraId="4A2D4120" w14:textId="77777777" w:rsidR="00ED60F4" w:rsidRDefault="00ED60F4" w:rsidP="00BE436D">
            <w:pPr>
              <w:pStyle w:val="Tabletext"/>
              <w:jc w:val="center"/>
              <w:rPr>
                <w:lang w:val="en-US" w:eastAsia="ko-KR"/>
              </w:rPr>
            </w:pPr>
            <w:r>
              <w:rPr>
                <w:lang w:val="en-US" w:eastAsia="ko-KR"/>
              </w:rPr>
              <w:t>Technical Report</w:t>
            </w:r>
          </w:p>
        </w:tc>
        <w:tc>
          <w:tcPr>
            <w:tcW w:w="4111" w:type="dxa"/>
            <w:tcBorders>
              <w:top w:val="single" w:sz="4" w:space="0" w:color="auto"/>
              <w:left w:val="single" w:sz="4" w:space="0" w:color="auto"/>
              <w:bottom w:val="single" w:sz="4" w:space="0" w:color="auto"/>
              <w:right w:val="single" w:sz="4" w:space="0" w:color="auto"/>
            </w:tcBorders>
            <w:hideMark/>
          </w:tcPr>
          <w:p w14:paraId="45283CB2" w14:textId="77777777" w:rsidR="00ED60F4" w:rsidRDefault="00ED60F4" w:rsidP="00BE436D">
            <w:pPr>
              <w:pStyle w:val="Tabletext"/>
              <w:rPr>
                <w:lang w:val="en-US" w:eastAsia="ko-KR"/>
              </w:rPr>
            </w:pPr>
            <w:r>
              <w:rPr>
                <w:lang w:val="en-US" w:eastAsia="ko-KR"/>
              </w:rPr>
              <w:t>Most of the existing equipment rooms do not have the full ability to identify indoor temperature distribution.  Therefore, they are unable to analyze power consumption in real-time and make appropriate and timely adjustments. As a result, it causes energy to be wasted. This document will cover how AI-based power management capabilities can:</w:t>
            </w:r>
          </w:p>
          <w:p w14:paraId="33AD4ADD" w14:textId="77777777" w:rsidR="00ED60F4" w:rsidRDefault="00ED60F4" w:rsidP="00BE436D">
            <w:pPr>
              <w:pStyle w:val="Tabletext"/>
              <w:ind w:left="284" w:hanging="284"/>
              <w:rPr>
                <w:lang w:val="en-US" w:eastAsia="ko-KR"/>
              </w:rPr>
            </w:pPr>
            <w:r>
              <w:rPr>
                <w:lang w:val="en-US" w:eastAsia="ko-KR"/>
              </w:rPr>
              <w:t>–</w:t>
            </w:r>
            <w:r>
              <w:rPr>
                <w:lang w:val="en-US" w:eastAsia="ko-KR"/>
              </w:rPr>
              <w:tab/>
              <w:t>Collect data in telecom equipment rooms and IDC infrastructure;</w:t>
            </w:r>
          </w:p>
          <w:p w14:paraId="1A1DBDBB" w14:textId="77777777" w:rsidR="00ED60F4" w:rsidRDefault="00ED60F4" w:rsidP="00BE436D">
            <w:pPr>
              <w:pStyle w:val="Tabletext"/>
              <w:ind w:left="284" w:hanging="284"/>
              <w:rPr>
                <w:lang w:val="en-US" w:eastAsia="ko-KR"/>
              </w:rPr>
            </w:pPr>
            <w:r>
              <w:rPr>
                <w:lang w:val="en-US" w:eastAsia="ko-KR"/>
              </w:rPr>
              <w:t>–</w:t>
            </w:r>
            <w:r>
              <w:rPr>
                <w:lang w:val="en-US" w:eastAsia="ko-KR"/>
              </w:rPr>
              <w:tab/>
              <w:t>Analyze the historical power consumption and real-time parameters of the target equipment room;</w:t>
            </w:r>
          </w:p>
          <w:p w14:paraId="02046051" w14:textId="77777777" w:rsidR="00ED60F4" w:rsidRDefault="00ED60F4" w:rsidP="00BE436D">
            <w:pPr>
              <w:pStyle w:val="Tabletext"/>
              <w:rPr>
                <w:lang w:val="en-US" w:eastAsia="ko-KR"/>
              </w:rPr>
            </w:pPr>
            <w:r>
              <w:rPr>
                <w:lang w:val="en-US" w:eastAsia="ko-KR"/>
              </w:rPr>
              <w:t>–</w:t>
            </w:r>
            <w:r>
              <w:rPr>
                <w:lang w:val="en-US" w:eastAsia="ko-KR"/>
              </w:rPr>
              <w:tab/>
              <w:t xml:space="preserve">Train an intelligent model; and </w:t>
            </w:r>
          </w:p>
          <w:p w14:paraId="7CEFAB6F" w14:textId="77777777" w:rsidR="00ED60F4" w:rsidRDefault="00ED60F4" w:rsidP="00BE436D">
            <w:pPr>
              <w:pStyle w:val="Tabletext"/>
              <w:ind w:left="284" w:hanging="284"/>
              <w:rPr>
                <w:lang w:val="en-US" w:eastAsia="ko-KR"/>
              </w:rPr>
            </w:pPr>
            <w:r>
              <w:rPr>
                <w:lang w:val="en-US" w:eastAsia="ko-KR"/>
              </w:rPr>
              <w:t>–</w:t>
            </w:r>
            <w:r>
              <w:rPr>
                <w:lang w:val="en-US" w:eastAsia="ko-KR"/>
              </w:rPr>
              <w:tab/>
              <w:t>Make reasonable adjustments to the equipment room air- conditioning and temperature, so as to achieve energy saving in the equipment rooms and IDC infrastructure.</w:t>
            </w:r>
          </w:p>
        </w:tc>
        <w:tc>
          <w:tcPr>
            <w:tcW w:w="1701" w:type="dxa"/>
            <w:tcBorders>
              <w:top w:val="single" w:sz="4" w:space="0" w:color="auto"/>
              <w:left w:val="single" w:sz="4" w:space="0" w:color="auto"/>
              <w:bottom w:val="single" w:sz="4" w:space="0" w:color="auto"/>
              <w:right w:val="single" w:sz="4" w:space="0" w:color="auto"/>
            </w:tcBorders>
            <w:tcMar>
              <w:top w:w="122" w:type="dxa"/>
              <w:left w:w="15" w:type="dxa"/>
              <w:bottom w:w="0" w:type="dxa"/>
              <w:right w:w="15" w:type="dxa"/>
            </w:tcMar>
            <w:vAlign w:val="center"/>
            <w:hideMark/>
          </w:tcPr>
          <w:p w14:paraId="1190C162" w14:textId="77777777" w:rsidR="00ED60F4" w:rsidRDefault="00ED60F4" w:rsidP="00BE436D">
            <w:pPr>
              <w:pStyle w:val="Tabletext"/>
              <w:jc w:val="center"/>
              <w:rPr>
                <w:lang w:val="en-US" w:eastAsia="ko-KR"/>
              </w:rPr>
            </w:pPr>
            <w:r>
              <w:rPr>
                <w:lang w:val="en-US" w:eastAsia="ko-KR"/>
              </w:rPr>
              <w:t xml:space="preserve">Ying Shi, </w:t>
            </w:r>
            <w:r>
              <w:rPr>
                <w:lang w:val="en-US" w:eastAsia="ko-KR"/>
              </w:rPr>
              <w:br/>
              <w:t>China Telecom</w:t>
            </w:r>
          </w:p>
        </w:tc>
      </w:tr>
      <w:tr w:rsidR="00ED60F4" w14:paraId="6A0D7ACA" w14:textId="77777777" w:rsidTr="00BE436D">
        <w:trPr>
          <w:trHeight w:val="900"/>
        </w:trPr>
        <w:tc>
          <w:tcPr>
            <w:tcW w:w="1418" w:type="dxa"/>
            <w:tcBorders>
              <w:top w:val="single" w:sz="4" w:space="0" w:color="auto"/>
              <w:left w:val="single" w:sz="4" w:space="0" w:color="auto"/>
              <w:bottom w:val="single" w:sz="4" w:space="0" w:color="auto"/>
              <w:right w:val="single" w:sz="4" w:space="0" w:color="auto"/>
            </w:tcBorders>
            <w:shd w:val="clear" w:color="auto" w:fill="F2F2F2"/>
            <w:tcMar>
              <w:top w:w="122" w:type="dxa"/>
              <w:left w:w="61" w:type="dxa"/>
              <w:bottom w:w="0" w:type="dxa"/>
              <w:right w:w="15" w:type="dxa"/>
            </w:tcMar>
            <w:hideMark/>
          </w:tcPr>
          <w:p w14:paraId="2CFBCF63" w14:textId="77777777" w:rsidR="00ED60F4" w:rsidRDefault="00ED60F4" w:rsidP="00BE436D">
            <w:pPr>
              <w:pStyle w:val="Tabletext"/>
              <w:rPr>
                <w:lang w:val="en-US" w:eastAsia="ko-KR"/>
              </w:rPr>
            </w:pPr>
            <w:r>
              <w:rPr>
                <w:lang w:val="en-US" w:eastAsia="ko-KR"/>
              </w:rPr>
              <w:t>D.WG3-04</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122" w:type="dxa"/>
              <w:left w:w="61" w:type="dxa"/>
              <w:bottom w:w="0" w:type="dxa"/>
              <w:right w:w="15" w:type="dxa"/>
            </w:tcMar>
            <w:hideMark/>
          </w:tcPr>
          <w:p w14:paraId="534FD76A" w14:textId="77777777" w:rsidR="00ED60F4" w:rsidRDefault="00ED60F4" w:rsidP="00BE436D">
            <w:pPr>
              <w:pStyle w:val="Tabletext"/>
              <w:rPr>
                <w:lang w:val="en-US" w:eastAsia="ko-KR"/>
              </w:rPr>
            </w:pPr>
            <w:r>
              <w:rPr>
                <w:lang w:val="en-US" w:eastAsia="ko-KR"/>
              </w:rPr>
              <w:t>Methodology for Supporting the Implementation of Artificial Intelligence and Blockchain Solutions at the Government Level</w:t>
            </w:r>
          </w:p>
        </w:tc>
        <w:tc>
          <w:tcPr>
            <w:tcW w:w="1275" w:type="dxa"/>
            <w:tcBorders>
              <w:top w:val="single" w:sz="4" w:space="0" w:color="auto"/>
              <w:left w:val="single" w:sz="4" w:space="0" w:color="auto"/>
              <w:bottom w:val="single" w:sz="4" w:space="0" w:color="auto"/>
              <w:right w:val="single" w:sz="4" w:space="0" w:color="auto"/>
            </w:tcBorders>
            <w:shd w:val="clear" w:color="auto" w:fill="F2F2F2"/>
            <w:tcMar>
              <w:top w:w="122" w:type="dxa"/>
              <w:left w:w="61" w:type="dxa"/>
              <w:bottom w:w="0" w:type="dxa"/>
              <w:right w:w="15" w:type="dxa"/>
            </w:tcMar>
            <w:vAlign w:val="center"/>
            <w:hideMark/>
          </w:tcPr>
          <w:p w14:paraId="3907DE2B" w14:textId="77777777" w:rsidR="00ED60F4" w:rsidRDefault="00ED60F4" w:rsidP="00BE436D">
            <w:pPr>
              <w:pStyle w:val="Tabletext"/>
              <w:jc w:val="center"/>
              <w:rPr>
                <w:lang w:val="en-US" w:eastAsia="ko-KR"/>
              </w:rPr>
            </w:pPr>
            <w:r>
              <w:rPr>
                <w:lang w:val="en-US" w:eastAsia="ko-KR"/>
              </w:rPr>
              <w:t>Technical Specification</w:t>
            </w:r>
          </w:p>
        </w:tc>
        <w:tc>
          <w:tcPr>
            <w:tcW w:w="4111" w:type="dxa"/>
            <w:tcBorders>
              <w:top w:val="single" w:sz="4" w:space="0" w:color="auto"/>
              <w:left w:val="single" w:sz="4" w:space="0" w:color="auto"/>
              <w:bottom w:val="single" w:sz="4" w:space="0" w:color="auto"/>
              <w:right w:val="single" w:sz="4" w:space="0" w:color="auto"/>
            </w:tcBorders>
            <w:shd w:val="clear" w:color="auto" w:fill="F2F2F2"/>
            <w:hideMark/>
          </w:tcPr>
          <w:p w14:paraId="7DE2D73B" w14:textId="77777777" w:rsidR="00ED60F4" w:rsidRDefault="00ED60F4" w:rsidP="00BE436D">
            <w:pPr>
              <w:pStyle w:val="Tabletext"/>
              <w:rPr>
                <w:lang w:val="en-US" w:eastAsia="ko-KR"/>
              </w:rPr>
            </w:pPr>
            <w:r>
              <w:rPr>
                <w:lang w:val="en-US" w:eastAsia="ko-KR"/>
              </w:rPr>
              <w:t>This document will contain a four-step methodology for supporting policymakers and other government entities in implementing artificial intelligence and blockchain solutions. Policymakers play a decisive role in shaping the environment in which AI and blockchain applications operate in. This four-step methodology will contain a set of guidelines that allow governments to take the initiative in determining the environmental efficiency aspect of AI and blockchain application. It will consider the global market needs of these technologies in the coming decades, and in particular the way in which they can be aligned with visions and values of the Sustainable Development Goals (SDGs). The outcome will allow policymakers to foster the development of AI and blockchain related applications in a more sustainable and efficient manner. The results will also allow government entities to develop a strategic vision on their application, serving as the foundation for collaboration with other stakeholders.</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22" w:type="dxa"/>
              <w:left w:w="61" w:type="dxa"/>
              <w:bottom w:w="0" w:type="dxa"/>
              <w:right w:w="15" w:type="dxa"/>
            </w:tcMar>
            <w:vAlign w:val="center"/>
            <w:hideMark/>
          </w:tcPr>
          <w:p w14:paraId="0267FACF" w14:textId="77777777" w:rsidR="00ED60F4" w:rsidRDefault="00ED60F4" w:rsidP="00BE436D">
            <w:pPr>
              <w:pStyle w:val="Tabletext"/>
              <w:jc w:val="center"/>
              <w:rPr>
                <w:lang w:val="en-US" w:eastAsia="ko-KR"/>
              </w:rPr>
            </w:pPr>
            <w:r>
              <w:rPr>
                <w:lang w:val="en-US" w:eastAsia="ko-KR"/>
              </w:rPr>
              <w:t>Barbara Kolm, Austrian Economics Center</w:t>
            </w:r>
          </w:p>
        </w:tc>
      </w:tr>
      <w:tr w:rsidR="00ED60F4" w14:paraId="756648AD" w14:textId="77777777" w:rsidTr="00BE436D">
        <w:trPr>
          <w:trHeight w:val="900"/>
        </w:trPr>
        <w:tc>
          <w:tcPr>
            <w:tcW w:w="1418" w:type="dxa"/>
            <w:tcBorders>
              <w:top w:val="single" w:sz="4" w:space="0" w:color="auto"/>
              <w:left w:val="single" w:sz="4" w:space="0" w:color="auto"/>
              <w:bottom w:val="single" w:sz="4" w:space="0" w:color="auto"/>
              <w:right w:val="single" w:sz="4" w:space="0" w:color="auto"/>
            </w:tcBorders>
            <w:tcMar>
              <w:top w:w="122" w:type="dxa"/>
              <w:left w:w="15" w:type="dxa"/>
              <w:bottom w:w="0" w:type="dxa"/>
              <w:right w:w="15" w:type="dxa"/>
            </w:tcMar>
            <w:hideMark/>
          </w:tcPr>
          <w:p w14:paraId="222C7BF1" w14:textId="77777777" w:rsidR="00ED60F4" w:rsidRDefault="00ED60F4" w:rsidP="00BE436D">
            <w:pPr>
              <w:pStyle w:val="Tabletext"/>
              <w:rPr>
                <w:lang w:val="en-US" w:eastAsia="ko-KR"/>
              </w:rPr>
            </w:pPr>
            <w:r>
              <w:rPr>
                <w:lang w:val="en-US" w:eastAsia="ko-KR"/>
              </w:rPr>
              <w:t>D.WG3-05</w:t>
            </w:r>
          </w:p>
        </w:tc>
        <w:tc>
          <w:tcPr>
            <w:tcW w:w="1985" w:type="dxa"/>
            <w:tcBorders>
              <w:top w:val="single" w:sz="4" w:space="0" w:color="auto"/>
              <w:left w:val="single" w:sz="4" w:space="0" w:color="auto"/>
              <w:bottom w:val="single" w:sz="4" w:space="0" w:color="auto"/>
              <w:right w:val="single" w:sz="4" w:space="0" w:color="auto"/>
            </w:tcBorders>
            <w:tcMar>
              <w:top w:w="122" w:type="dxa"/>
              <w:left w:w="15" w:type="dxa"/>
              <w:bottom w:w="0" w:type="dxa"/>
              <w:right w:w="15" w:type="dxa"/>
            </w:tcMar>
            <w:hideMark/>
          </w:tcPr>
          <w:p w14:paraId="1F9B8DE4" w14:textId="77777777" w:rsidR="00ED60F4" w:rsidRDefault="00ED60F4" w:rsidP="00BE436D">
            <w:pPr>
              <w:pStyle w:val="Tabletext"/>
              <w:rPr>
                <w:lang w:val="en-US" w:eastAsia="ko-KR"/>
              </w:rPr>
            </w:pPr>
            <w:r>
              <w:rPr>
                <w:lang w:val="en-US" w:eastAsia="ko-KR"/>
              </w:rPr>
              <w:t>Best Practice Catalogue on Environmentally Efficient Artificial Intelligence and Blockchain Application</w:t>
            </w:r>
          </w:p>
        </w:tc>
        <w:tc>
          <w:tcPr>
            <w:tcW w:w="1275" w:type="dxa"/>
            <w:tcBorders>
              <w:top w:val="single" w:sz="4" w:space="0" w:color="auto"/>
              <w:left w:val="single" w:sz="4" w:space="0" w:color="auto"/>
              <w:bottom w:val="single" w:sz="4" w:space="0" w:color="auto"/>
              <w:right w:val="single" w:sz="4" w:space="0" w:color="auto"/>
            </w:tcBorders>
            <w:tcMar>
              <w:top w:w="122" w:type="dxa"/>
              <w:left w:w="15" w:type="dxa"/>
              <w:bottom w:w="0" w:type="dxa"/>
              <w:right w:w="15" w:type="dxa"/>
            </w:tcMar>
            <w:vAlign w:val="center"/>
            <w:hideMark/>
          </w:tcPr>
          <w:p w14:paraId="2D9F264A" w14:textId="77777777" w:rsidR="00ED60F4" w:rsidRDefault="00ED60F4" w:rsidP="00BE436D">
            <w:pPr>
              <w:pStyle w:val="Tabletext"/>
              <w:jc w:val="center"/>
              <w:rPr>
                <w:lang w:val="en-US" w:eastAsia="ko-KR"/>
              </w:rPr>
            </w:pPr>
            <w:r>
              <w:rPr>
                <w:lang w:val="en-US" w:eastAsia="ko-KR"/>
              </w:rPr>
              <w:t>Technical Specification</w:t>
            </w:r>
          </w:p>
        </w:tc>
        <w:tc>
          <w:tcPr>
            <w:tcW w:w="4111" w:type="dxa"/>
            <w:tcBorders>
              <w:top w:val="single" w:sz="4" w:space="0" w:color="auto"/>
              <w:left w:val="single" w:sz="4" w:space="0" w:color="auto"/>
              <w:bottom w:val="single" w:sz="4" w:space="0" w:color="auto"/>
              <w:right w:val="single" w:sz="4" w:space="0" w:color="auto"/>
            </w:tcBorders>
            <w:hideMark/>
          </w:tcPr>
          <w:p w14:paraId="4D8CC324" w14:textId="77777777" w:rsidR="00ED60F4" w:rsidRDefault="00ED60F4" w:rsidP="00BE436D">
            <w:pPr>
              <w:pStyle w:val="Tabletext"/>
              <w:rPr>
                <w:lang w:val="en-US" w:eastAsia="ko-KR"/>
              </w:rPr>
            </w:pPr>
            <w:r>
              <w:rPr>
                <w:lang w:val="en-US" w:eastAsia="ko-KR"/>
              </w:rPr>
              <w:t xml:space="preserve">This document will contain a list of best practices on artificial intelligence and blockchain applications that have taken environmental efficiency into full consideration. The growing energy demands of AI and blockchain is directly contributing to carbon emissions. The best practices contained in this specification will support relevant stakeholders in making better environmental decisions and reduce the environmental footprint of these technologies. </w:t>
            </w:r>
            <w:r>
              <w:rPr>
                <w:lang w:val="en-US" w:eastAsia="ko-KR"/>
              </w:rPr>
              <w:lastRenderedPageBreak/>
              <w:t>The best practices also act as benchmarking tools that allow operators and service providers to assess their own operation, improve process management and learn from the industry leaders.</w:t>
            </w:r>
          </w:p>
        </w:tc>
        <w:tc>
          <w:tcPr>
            <w:tcW w:w="1701" w:type="dxa"/>
            <w:tcBorders>
              <w:top w:val="single" w:sz="4" w:space="0" w:color="auto"/>
              <w:left w:val="single" w:sz="4" w:space="0" w:color="auto"/>
              <w:bottom w:val="single" w:sz="4" w:space="0" w:color="auto"/>
              <w:right w:val="single" w:sz="4" w:space="0" w:color="auto"/>
            </w:tcBorders>
            <w:tcMar>
              <w:top w:w="122" w:type="dxa"/>
              <w:left w:w="15" w:type="dxa"/>
              <w:bottom w:w="0" w:type="dxa"/>
              <w:right w:w="15" w:type="dxa"/>
            </w:tcMar>
            <w:vAlign w:val="center"/>
            <w:hideMark/>
          </w:tcPr>
          <w:p w14:paraId="2C272940" w14:textId="77777777" w:rsidR="00ED60F4" w:rsidRDefault="00ED60F4" w:rsidP="00BE436D">
            <w:pPr>
              <w:pStyle w:val="Tabletext"/>
              <w:jc w:val="center"/>
              <w:rPr>
                <w:lang w:val="en-US" w:eastAsia="ko-KR"/>
              </w:rPr>
            </w:pPr>
            <w:r>
              <w:rPr>
                <w:lang w:val="en-US" w:eastAsia="ko-KR"/>
              </w:rPr>
              <w:lastRenderedPageBreak/>
              <w:t>To be defined</w:t>
            </w:r>
          </w:p>
        </w:tc>
      </w:tr>
      <w:tr w:rsidR="00ED60F4" w14:paraId="5121EC6A" w14:textId="77777777" w:rsidTr="00BE436D">
        <w:trPr>
          <w:trHeight w:val="900"/>
        </w:trPr>
        <w:tc>
          <w:tcPr>
            <w:tcW w:w="1418" w:type="dxa"/>
            <w:tcBorders>
              <w:top w:val="single" w:sz="4" w:space="0" w:color="auto"/>
              <w:left w:val="single" w:sz="4" w:space="0" w:color="auto"/>
              <w:bottom w:val="single" w:sz="4" w:space="0" w:color="auto"/>
              <w:right w:val="single" w:sz="4" w:space="0" w:color="auto"/>
            </w:tcBorders>
            <w:shd w:val="clear" w:color="auto" w:fill="F2F2F2"/>
            <w:tcMar>
              <w:top w:w="122" w:type="dxa"/>
              <w:left w:w="61" w:type="dxa"/>
              <w:bottom w:w="0" w:type="dxa"/>
              <w:right w:w="15" w:type="dxa"/>
            </w:tcMar>
            <w:hideMark/>
          </w:tcPr>
          <w:p w14:paraId="6FFEF92D" w14:textId="77777777" w:rsidR="00ED60F4" w:rsidRDefault="00ED60F4" w:rsidP="00BE436D">
            <w:pPr>
              <w:pStyle w:val="Tabletext"/>
              <w:rPr>
                <w:lang w:val="en-US" w:eastAsia="ko-KR"/>
              </w:rPr>
            </w:pPr>
            <w:r>
              <w:rPr>
                <w:lang w:val="en-US" w:eastAsia="ko-KR"/>
              </w:rPr>
              <w:t>D.WG3-06</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122" w:type="dxa"/>
              <w:left w:w="61" w:type="dxa"/>
              <w:bottom w:w="0" w:type="dxa"/>
              <w:right w:w="15" w:type="dxa"/>
            </w:tcMar>
            <w:hideMark/>
          </w:tcPr>
          <w:p w14:paraId="23AA1595" w14:textId="77777777" w:rsidR="00ED60F4" w:rsidRDefault="00ED60F4" w:rsidP="00BE436D">
            <w:pPr>
              <w:pStyle w:val="Tabletext"/>
              <w:rPr>
                <w:lang w:val="en-US" w:eastAsia="ko-KR"/>
              </w:rPr>
            </w:pPr>
            <w:r>
              <w:rPr>
                <w:lang w:val="en-US" w:eastAsia="ko-KR"/>
              </w:rPr>
              <w:t>Guidelines on the Environmental Efficiency of 5G Usage in Smart Water Management</w:t>
            </w:r>
          </w:p>
        </w:tc>
        <w:tc>
          <w:tcPr>
            <w:tcW w:w="1275" w:type="dxa"/>
            <w:tcBorders>
              <w:top w:val="single" w:sz="4" w:space="0" w:color="auto"/>
              <w:left w:val="single" w:sz="4" w:space="0" w:color="auto"/>
              <w:bottom w:val="single" w:sz="4" w:space="0" w:color="auto"/>
              <w:right w:val="single" w:sz="4" w:space="0" w:color="auto"/>
            </w:tcBorders>
            <w:shd w:val="clear" w:color="auto" w:fill="F2F2F2"/>
            <w:tcMar>
              <w:top w:w="122" w:type="dxa"/>
              <w:left w:w="61" w:type="dxa"/>
              <w:bottom w:w="0" w:type="dxa"/>
              <w:right w:w="15" w:type="dxa"/>
            </w:tcMar>
            <w:vAlign w:val="center"/>
            <w:hideMark/>
          </w:tcPr>
          <w:p w14:paraId="4F0AADB3" w14:textId="77777777" w:rsidR="00ED60F4" w:rsidRDefault="00ED60F4" w:rsidP="00BE436D">
            <w:pPr>
              <w:pStyle w:val="Tabletext"/>
              <w:jc w:val="center"/>
              <w:rPr>
                <w:lang w:val="en-US" w:eastAsia="ko-KR"/>
              </w:rPr>
            </w:pPr>
            <w:r>
              <w:rPr>
                <w:lang w:val="en-US" w:eastAsia="ko-KR"/>
              </w:rPr>
              <w:t>Technical Report</w:t>
            </w:r>
          </w:p>
        </w:tc>
        <w:tc>
          <w:tcPr>
            <w:tcW w:w="4111" w:type="dxa"/>
            <w:tcBorders>
              <w:top w:val="single" w:sz="4" w:space="0" w:color="auto"/>
              <w:left w:val="single" w:sz="4" w:space="0" w:color="auto"/>
              <w:bottom w:val="single" w:sz="4" w:space="0" w:color="auto"/>
              <w:right w:val="single" w:sz="4" w:space="0" w:color="auto"/>
            </w:tcBorders>
            <w:shd w:val="clear" w:color="auto" w:fill="F2F2F2"/>
            <w:hideMark/>
          </w:tcPr>
          <w:p w14:paraId="67B68B2F" w14:textId="77777777" w:rsidR="00ED60F4" w:rsidRDefault="00ED60F4" w:rsidP="00BE436D">
            <w:pPr>
              <w:pStyle w:val="Tabletext"/>
              <w:rPr>
                <w:lang w:val="en-US" w:eastAsia="ko-KR"/>
              </w:rPr>
            </w:pPr>
            <w:r>
              <w:rPr>
                <w:lang w:val="en-US" w:eastAsia="ko-KR"/>
              </w:rPr>
              <w:t>This guidance document is intended to support researchers and practitioners in measuring and improving the environmental efficiency of IoT technologies, in particular 5G connectivity in water management systems. The requirements, recommended processes, best practices and other considerations regarding the measurement and verification of environmental impact/efficiency contained in this document are developed based on inputs from leading academic experts and industry leaders. These requirements provide general guidelines applicable to the use of IoT connectivity of 5G. Other stakeholders may also utilize this guidance to gain new understanding on the environmental impacts from the use of IoT and 5G to connect and enable further networked sensors and applications to manage water supplies and reduce water loss.</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22" w:type="dxa"/>
              <w:left w:w="61" w:type="dxa"/>
              <w:bottom w:w="0" w:type="dxa"/>
              <w:right w:w="15" w:type="dxa"/>
            </w:tcMar>
            <w:vAlign w:val="center"/>
            <w:hideMark/>
          </w:tcPr>
          <w:p w14:paraId="61067E23" w14:textId="77777777" w:rsidR="00ED60F4" w:rsidRDefault="00ED60F4" w:rsidP="00BE436D">
            <w:pPr>
              <w:pStyle w:val="Tabletext"/>
              <w:jc w:val="center"/>
              <w:rPr>
                <w:lang w:val="en-US" w:eastAsia="ko-KR"/>
              </w:rPr>
            </w:pPr>
            <w:r>
              <w:rPr>
                <w:lang w:val="en-US" w:eastAsia="ko-KR"/>
              </w:rPr>
              <w:t>To be defined</w:t>
            </w:r>
          </w:p>
        </w:tc>
      </w:tr>
      <w:tr w:rsidR="00ED60F4" w:rsidRPr="00156EC0" w14:paraId="38B937FB" w14:textId="77777777" w:rsidTr="00BE436D">
        <w:trPr>
          <w:trHeight w:val="90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122" w:type="dxa"/>
              <w:left w:w="15" w:type="dxa"/>
              <w:bottom w:w="0" w:type="dxa"/>
              <w:right w:w="15" w:type="dxa"/>
            </w:tcMar>
            <w:hideMark/>
          </w:tcPr>
          <w:p w14:paraId="1D778756" w14:textId="77777777" w:rsidR="00ED60F4" w:rsidRDefault="00ED60F4" w:rsidP="00BE436D">
            <w:pPr>
              <w:pStyle w:val="Tabletext"/>
              <w:rPr>
                <w:lang w:val="en-US" w:eastAsia="ko-KR"/>
              </w:rPr>
            </w:pPr>
            <w:r>
              <w:rPr>
                <w:lang w:val="en-US" w:eastAsia="ko-KR"/>
              </w:rPr>
              <w:t>D.WG3-07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122" w:type="dxa"/>
              <w:left w:w="15" w:type="dxa"/>
              <w:bottom w:w="0" w:type="dxa"/>
              <w:right w:w="15" w:type="dxa"/>
            </w:tcMar>
            <w:hideMark/>
          </w:tcPr>
          <w:p w14:paraId="0D8FA624" w14:textId="77777777" w:rsidR="00ED60F4" w:rsidRDefault="00ED60F4" w:rsidP="00BE436D">
            <w:pPr>
              <w:pStyle w:val="Tabletext"/>
              <w:rPr>
                <w:lang w:val="en-US" w:eastAsia="ko-KR"/>
              </w:rPr>
            </w:pPr>
            <w:r>
              <w:rPr>
                <w:lang w:val="en-US" w:eastAsia="ko-KR"/>
              </w:rPr>
              <w:t>Guidelines on the Environmental Efficiency of Machine Learning Processes in Supply Chain Management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122" w:type="dxa"/>
              <w:left w:w="15" w:type="dxa"/>
              <w:bottom w:w="0" w:type="dxa"/>
              <w:right w:w="15" w:type="dxa"/>
            </w:tcMar>
            <w:vAlign w:val="center"/>
            <w:hideMark/>
          </w:tcPr>
          <w:p w14:paraId="5AE579E2" w14:textId="77777777" w:rsidR="00ED60F4" w:rsidRDefault="00ED60F4" w:rsidP="00BE436D">
            <w:pPr>
              <w:pStyle w:val="Tabletext"/>
              <w:jc w:val="center"/>
              <w:rPr>
                <w:lang w:val="en-US" w:eastAsia="ko-KR"/>
              </w:rPr>
            </w:pPr>
            <w:r>
              <w:rPr>
                <w:lang w:val="en-US" w:eastAsia="ko-KR"/>
              </w:rPr>
              <w:t>Technical Report</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81C5E5" w14:textId="77777777" w:rsidR="00ED60F4" w:rsidRDefault="00ED60F4" w:rsidP="00BE436D">
            <w:pPr>
              <w:pStyle w:val="Tabletext"/>
              <w:rPr>
                <w:lang w:val="en-US" w:eastAsia="ko-KR"/>
              </w:rPr>
            </w:pPr>
            <w:r>
              <w:rPr>
                <w:lang w:val="en-US" w:eastAsia="ko-KR"/>
              </w:rPr>
              <w:t>This guidance document is intended to support ML researchers and operators to measure and improve the environmental efficiency of ML use in supply chain management. The requirements, recommended processes, best practices and other considerations regarding the measurement and verification of environmental impact/efficiency contained in this document are developed based on inputs from leading academic experts and industry leaders. These requirements provide general guidelines applicable to the use of ML in supply chain management. Other stakeholders may also utilize this guidance to gain new understanding on the environmental impacts of ML use in supply chain management.</w:t>
            </w:r>
          </w:p>
          <w:p w14:paraId="7D91A027" w14:textId="77777777" w:rsidR="00ED60F4" w:rsidRDefault="00ED60F4" w:rsidP="00BE436D">
            <w:pPr>
              <w:pStyle w:val="Tabletext"/>
              <w:rPr>
                <w:lang w:val="en-US" w:eastAsia="ko-KR"/>
              </w:rPr>
            </w:pPr>
            <w:r>
              <w:rPr>
                <w:lang w:val="en-US" w:eastAsia="ko-KR"/>
              </w:rPr>
              <w:t>Big data impact will also be considered as well Blockchain and the circular economy.</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122" w:type="dxa"/>
              <w:left w:w="15" w:type="dxa"/>
              <w:bottom w:w="0" w:type="dxa"/>
              <w:right w:w="15" w:type="dxa"/>
            </w:tcMar>
            <w:vAlign w:val="center"/>
            <w:hideMark/>
          </w:tcPr>
          <w:p w14:paraId="56BA00B0" w14:textId="77777777" w:rsidR="00ED60F4" w:rsidRDefault="00ED60F4" w:rsidP="00BE436D">
            <w:pPr>
              <w:pStyle w:val="Tabletext"/>
              <w:jc w:val="center"/>
              <w:rPr>
                <w:lang w:val="es-ES" w:eastAsia="ko-KR"/>
              </w:rPr>
            </w:pPr>
            <w:r>
              <w:rPr>
                <w:lang w:val="es-ES" w:eastAsia="ko-KR"/>
              </w:rPr>
              <w:t>Claudio Bianco, Telecom Italia S.p.A.</w:t>
            </w:r>
          </w:p>
        </w:tc>
      </w:tr>
    </w:tbl>
    <w:p w14:paraId="34A55C12" w14:textId="77777777" w:rsidR="00ED60F4" w:rsidRPr="00156EC0" w:rsidRDefault="00ED60F4" w:rsidP="00ED60F4">
      <w:pPr>
        <w:spacing w:before="360"/>
        <w:rPr>
          <w:b/>
          <w:lang w:val="es-ES"/>
        </w:rPr>
      </w:pPr>
    </w:p>
    <w:p w14:paraId="6E9573DA" w14:textId="46C9E7BE" w:rsidR="00BC1D31" w:rsidRPr="00AB258E" w:rsidRDefault="00ED60F4" w:rsidP="00ED60F4">
      <w:pPr>
        <w:spacing w:after="20"/>
        <w:jc w:val="center"/>
      </w:pPr>
      <w:r w:rsidRPr="002B61F7">
        <w:rPr>
          <w:lang w:val="es-ES_tradnl"/>
        </w:rPr>
        <w:t>_</w:t>
      </w:r>
      <w:r>
        <w:rPr>
          <w:lang w:val="es-ES_tradnl"/>
        </w:rPr>
        <w:t>____</w:t>
      </w:r>
      <w:r w:rsidRPr="002B61F7">
        <w:rPr>
          <w:lang w:val="es-ES_tradnl"/>
        </w:rPr>
        <w:t>__</w:t>
      </w:r>
      <w:r w:rsidR="00BC1D31">
        <w:t>____________________________</w:t>
      </w:r>
      <w:bookmarkStart w:id="14" w:name="_GoBack"/>
      <w:bookmarkEnd w:id="14"/>
    </w:p>
    <w:sectPr w:rsidR="00BC1D31" w:rsidRPr="00AB258E" w:rsidSect="007B7733">
      <w:headerReference w:type="default" r:id="rId20"/>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3592E" w14:textId="77777777" w:rsidR="00A82C95" w:rsidRDefault="00A82C95" w:rsidP="007B7733">
      <w:pPr>
        <w:spacing w:before="0"/>
      </w:pPr>
      <w:r>
        <w:separator/>
      </w:r>
    </w:p>
  </w:endnote>
  <w:endnote w:type="continuationSeparator" w:id="0">
    <w:p w14:paraId="747A64A5" w14:textId="77777777" w:rsidR="00A82C95" w:rsidRDefault="00A82C9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19EC6" w14:textId="77777777" w:rsidR="00A82C95" w:rsidRDefault="00A82C95" w:rsidP="007B7733">
      <w:pPr>
        <w:spacing w:before="0"/>
      </w:pPr>
      <w:r>
        <w:separator/>
      </w:r>
    </w:p>
  </w:footnote>
  <w:footnote w:type="continuationSeparator" w:id="0">
    <w:p w14:paraId="4A98B2F7" w14:textId="77777777" w:rsidR="00A82C95" w:rsidRDefault="00A82C9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2EE86E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33C7C">
      <w:rPr>
        <w:noProof/>
      </w:rPr>
      <w:t>FG-AI4H-L-029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D47CF7"/>
    <w:multiLevelType w:val="hybridMultilevel"/>
    <w:tmpl w:val="EBFE1FC0"/>
    <w:lvl w:ilvl="0" w:tplc="1FBA95D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1AC5031"/>
    <w:multiLevelType w:val="hybridMultilevel"/>
    <w:tmpl w:val="3A7E8026"/>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3" w15:restartNumberingAfterBreak="0">
    <w:nsid w:val="3B753A50"/>
    <w:multiLevelType w:val="hybridMultilevel"/>
    <w:tmpl w:val="A1D04352"/>
    <w:lvl w:ilvl="0" w:tplc="634A9348">
      <w:numFmt w:val="bullet"/>
      <w:lvlText w:val="-"/>
      <w:lvlJc w:val="left"/>
      <w:pPr>
        <w:ind w:left="660" w:hanging="420"/>
      </w:pPr>
      <w:rPr>
        <w:rFonts w:ascii="Gulim" w:eastAsia="Gulim" w:hAnsi="Gulim" w:cs="Batang" w:hint="eastAsia"/>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15:restartNumberingAfterBreak="0">
    <w:nsid w:val="5A2E570A"/>
    <w:multiLevelType w:val="hybridMultilevel"/>
    <w:tmpl w:val="158291A6"/>
    <w:lvl w:ilvl="0" w:tplc="5078901C">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0F374D7"/>
    <w:multiLevelType w:val="hybridMultilevel"/>
    <w:tmpl w:val="34FE68EA"/>
    <w:lvl w:ilvl="0" w:tplc="21A8AE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78300B7A"/>
    <w:multiLevelType w:val="hybridMultilevel"/>
    <w:tmpl w:val="546407F8"/>
    <w:lvl w:ilvl="0" w:tplc="58AEA4D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16"/>
  </w:num>
  <w:num w:numId="24">
    <w:abstractNumId w:val="17"/>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1C2A"/>
    <w:rsid w:val="000842F4"/>
    <w:rsid w:val="00085268"/>
    <w:rsid w:val="0008705F"/>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1D2F"/>
    <w:rsid w:val="000F2E95"/>
    <w:rsid w:val="000F67F1"/>
    <w:rsid w:val="00100A6B"/>
    <w:rsid w:val="00103F3E"/>
    <w:rsid w:val="00106AAB"/>
    <w:rsid w:val="00110480"/>
    <w:rsid w:val="001113C7"/>
    <w:rsid w:val="00112783"/>
    <w:rsid w:val="001135D5"/>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58FB"/>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C6F35"/>
    <w:rsid w:val="001D240C"/>
    <w:rsid w:val="001D505A"/>
    <w:rsid w:val="001D5206"/>
    <w:rsid w:val="001D6401"/>
    <w:rsid w:val="001D7B41"/>
    <w:rsid w:val="001E031A"/>
    <w:rsid w:val="001E2CE2"/>
    <w:rsid w:val="001E3A97"/>
    <w:rsid w:val="001E58AB"/>
    <w:rsid w:val="001E5965"/>
    <w:rsid w:val="001E5E42"/>
    <w:rsid w:val="001E6C93"/>
    <w:rsid w:val="001E7D6A"/>
    <w:rsid w:val="001F0D74"/>
    <w:rsid w:val="001F5DA4"/>
    <w:rsid w:val="00201267"/>
    <w:rsid w:val="002027A2"/>
    <w:rsid w:val="00202AA7"/>
    <w:rsid w:val="00205B82"/>
    <w:rsid w:val="00213C1C"/>
    <w:rsid w:val="002157FB"/>
    <w:rsid w:val="00216499"/>
    <w:rsid w:val="0022194A"/>
    <w:rsid w:val="00222121"/>
    <w:rsid w:val="00223009"/>
    <w:rsid w:val="00226A0F"/>
    <w:rsid w:val="00226BED"/>
    <w:rsid w:val="00230922"/>
    <w:rsid w:val="002313E5"/>
    <w:rsid w:val="002341B0"/>
    <w:rsid w:val="00242B8D"/>
    <w:rsid w:val="00257576"/>
    <w:rsid w:val="00257A66"/>
    <w:rsid w:val="00260003"/>
    <w:rsid w:val="0026004B"/>
    <w:rsid w:val="00262AC6"/>
    <w:rsid w:val="00263A01"/>
    <w:rsid w:val="002644BF"/>
    <w:rsid w:val="00265E0D"/>
    <w:rsid w:val="00265FC7"/>
    <w:rsid w:val="002706A2"/>
    <w:rsid w:val="00271D94"/>
    <w:rsid w:val="00272DCD"/>
    <w:rsid w:val="002742C3"/>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3C7C"/>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0CF1"/>
    <w:rsid w:val="003A04E8"/>
    <w:rsid w:val="003A121C"/>
    <w:rsid w:val="003A229D"/>
    <w:rsid w:val="003A76F6"/>
    <w:rsid w:val="003B197C"/>
    <w:rsid w:val="003B1D28"/>
    <w:rsid w:val="003B2A40"/>
    <w:rsid w:val="003B3828"/>
    <w:rsid w:val="003B53B3"/>
    <w:rsid w:val="003B549C"/>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1CDA"/>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84377"/>
    <w:rsid w:val="0049282A"/>
    <w:rsid w:val="004A019C"/>
    <w:rsid w:val="004A460E"/>
    <w:rsid w:val="004A66F3"/>
    <w:rsid w:val="004A7E65"/>
    <w:rsid w:val="004B1BCD"/>
    <w:rsid w:val="004B34BB"/>
    <w:rsid w:val="004B3BD0"/>
    <w:rsid w:val="004B4317"/>
    <w:rsid w:val="004B5105"/>
    <w:rsid w:val="004B5173"/>
    <w:rsid w:val="004B72CC"/>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331E"/>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7D63"/>
    <w:rsid w:val="00574F82"/>
    <w:rsid w:val="00575F9B"/>
    <w:rsid w:val="005771A3"/>
    <w:rsid w:val="0057782F"/>
    <w:rsid w:val="005815CC"/>
    <w:rsid w:val="00583141"/>
    <w:rsid w:val="0058633E"/>
    <w:rsid w:val="00590C8C"/>
    <w:rsid w:val="00590D62"/>
    <w:rsid w:val="00593191"/>
    <w:rsid w:val="00593340"/>
    <w:rsid w:val="005A2A95"/>
    <w:rsid w:val="005A3565"/>
    <w:rsid w:val="005B0D58"/>
    <w:rsid w:val="005B1C8B"/>
    <w:rsid w:val="005B29FD"/>
    <w:rsid w:val="005B5835"/>
    <w:rsid w:val="005B66FC"/>
    <w:rsid w:val="005C083A"/>
    <w:rsid w:val="005C6264"/>
    <w:rsid w:val="005D3BE6"/>
    <w:rsid w:val="005D572B"/>
    <w:rsid w:val="005D577D"/>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3A06"/>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01C4"/>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882"/>
    <w:rsid w:val="00780AF7"/>
    <w:rsid w:val="00781DC3"/>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53D2"/>
    <w:rsid w:val="008062A5"/>
    <w:rsid w:val="00807B28"/>
    <w:rsid w:val="00811118"/>
    <w:rsid w:val="00814C73"/>
    <w:rsid w:val="00821E6D"/>
    <w:rsid w:val="00823B5F"/>
    <w:rsid w:val="00823E8E"/>
    <w:rsid w:val="00831526"/>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327B"/>
    <w:rsid w:val="008F55EA"/>
    <w:rsid w:val="008F6E82"/>
    <w:rsid w:val="008F7D58"/>
    <w:rsid w:val="00900222"/>
    <w:rsid w:val="0090354F"/>
    <w:rsid w:val="00906CD8"/>
    <w:rsid w:val="009142BB"/>
    <w:rsid w:val="009168AF"/>
    <w:rsid w:val="009177BB"/>
    <w:rsid w:val="00920E41"/>
    <w:rsid w:val="00921601"/>
    <w:rsid w:val="009232E9"/>
    <w:rsid w:val="009252D6"/>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0607"/>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1755"/>
    <w:rsid w:val="00A5222B"/>
    <w:rsid w:val="00A52F64"/>
    <w:rsid w:val="00A564AE"/>
    <w:rsid w:val="00A57B2C"/>
    <w:rsid w:val="00A62887"/>
    <w:rsid w:val="00A62A6E"/>
    <w:rsid w:val="00A64EF2"/>
    <w:rsid w:val="00A67788"/>
    <w:rsid w:val="00A7057D"/>
    <w:rsid w:val="00A71A73"/>
    <w:rsid w:val="00A72130"/>
    <w:rsid w:val="00A74048"/>
    <w:rsid w:val="00A74697"/>
    <w:rsid w:val="00A74ED9"/>
    <w:rsid w:val="00A76ABC"/>
    <w:rsid w:val="00A77A81"/>
    <w:rsid w:val="00A81DD7"/>
    <w:rsid w:val="00A82C95"/>
    <w:rsid w:val="00A8448A"/>
    <w:rsid w:val="00A90A92"/>
    <w:rsid w:val="00A91B6A"/>
    <w:rsid w:val="00A9519D"/>
    <w:rsid w:val="00A952C4"/>
    <w:rsid w:val="00AA14F4"/>
    <w:rsid w:val="00AA2313"/>
    <w:rsid w:val="00AA3B47"/>
    <w:rsid w:val="00AA7BFE"/>
    <w:rsid w:val="00AB258E"/>
    <w:rsid w:val="00AB274D"/>
    <w:rsid w:val="00AB36DC"/>
    <w:rsid w:val="00AC20C3"/>
    <w:rsid w:val="00AC2669"/>
    <w:rsid w:val="00AC3107"/>
    <w:rsid w:val="00AC6353"/>
    <w:rsid w:val="00AC7AAE"/>
    <w:rsid w:val="00AD0060"/>
    <w:rsid w:val="00AD17B9"/>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285"/>
    <w:rsid w:val="00B17455"/>
    <w:rsid w:val="00B21F02"/>
    <w:rsid w:val="00B22EEE"/>
    <w:rsid w:val="00B242CB"/>
    <w:rsid w:val="00B250FE"/>
    <w:rsid w:val="00B32463"/>
    <w:rsid w:val="00B33205"/>
    <w:rsid w:val="00B33913"/>
    <w:rsid w:val="00B33DFA"/>
    <w:rsid w:val="00B44B9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5E9D"/>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37A5D"/>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4A5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D55D1"/>
    <w:rsid w:val="00CE2E7F"/>
    <w:rsid w:val="00CF06A8"/>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4E84"/>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11E3"/>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E77"/>
    <w:rsid w:val="00ED4081"/>
    <w:rsid w:val="00ED5BA8"/>
    <w:rsid w:val="00ED60F4"/>
    <w:rsid w:val="00EF23EE"/>
    <w:rsid w:val="00EF32A4"/>
    <w:rsid w:val="00EF39B8"/>
    <w:rsid w:val="00EF3E94"/>
    <w:rsid w:val="00EF591D"/>
    <w:rsid w:val="00F01F9E"/>
    <w:rsid w:val="00F02A93"/>
    <w:rsid w:val="00F03019"/>
    <w:rsid w:val="00F104F7"/>
    <w:rsid w:val="00F127BF"/>
    <w:rsid w:val="00F13B70"/>
    <w:rsid w:val="00F1448E"/>
    <w:rsid w:val="00F150E2"/>
    <w:rsid w:val="00F154A1"/>
    <w:rsid w:val="00F208FE"/>
    <w:rsid w:val="00F226EE"/>
    <w:rsid w:val="00F303CD"/>
    <w:rsid w:val="00F30AEB"/>
    <w:rsid w:val="00F31F9C"/>
    <w:rsid w:val="00F3586C"/>
    <w:rsid w:val="00F35C9D"/>
    <w:rsid w:val="00F36239"/>
    <w:rsid w:val="00F36F66"/>
    <w:rsid w:val="00F412E9"/>
    <w:rsid w:val="00F41AE8"/>
    <w:rsid w:val="00F470D2"/>
    <w:rsid w:val="00F4765B"/>
    <w:rsid w:val="00F57B8B"/>
    <w:rsid w:val="00F60788"/>
    <w:rsid w:val="00F61068"/>
    <w:rsid w:val="00F627E9"/>
    <w:rsid w:val="00F65790"/>
    <w:rsid w:val="00F67057"/>
    <w:rsid w:val="00F72643"/>
    <w:rsid w:val="00F731D9"/>
    <w:rsid w:val="00F736E6"/>
    <w:rsid w:val="00F743A6"/>
    <w:rsid w:val="00F80F4D"/>
    <w:rsid w:val="00F82906"/>
    <w:rsid w:val="00F873DF"/>
    <w:rsid w:val="00F94445"/>
    <w:rsid w:val="00F9547D"/>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Style 58,하이퍼링크2,超?级链,超????,超??级链Ú,fL????,fL?级,超??级链,하이퍼링크21"/>
    <w:basedOn w:val="DefaultParagraphFont"/>
    <w:uiPriority w:val="99"/>
    <w:qForma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locked/>
    <w:rsid w:val="00781DC3"/>
    <w:rPr>
      <w:rFonts w:eastAsiaTheme="minorHAnsi"/>
      <w:sz w:val="24"/>
      <w:szCs w:val="24"/>
      <w:lang w:val="en-GB" w:eastAsia="ja-JP"/>
    </w:rPr>
  </w:style>
  <w:style w:type="character" w:styleId="UnresolvedMention">
    <w:name w:val="Unresolved Mention"/>
    <w:basedOn w:val="DefaultParagraphFont"/>
    <w:uiPriority w:val="99"/>
    <w:semiHidden/>
    <w:unhideWhenUsed/>
    <w:rsid w:val="00980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olo.gemma@huawei.com" TargetMode="External"/><Relationship Id="rId18" Type="http://schemas.openxmlformats.org/officeDocument/2006/relationships/hyperlink" Target="https://www.itu.int/en/ITU-T/focusgroups/ai4ee/Pages/WG2deliverable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ifa/t/2017/ls/fgai4ee/sp16-fgai4ee-oLS-00003.docx" TargetMode="External"/><Relationship Id="rId17" Type="http://schemas.openxmlformats.org/officeDocument/2006/relationships/hyperlink" Target="https://www.itu.int/en/ITU-T/focusgroups/ai4ee/Pages/WG1deliverables.aspx" TargetMode="External"/><Relationship Id="rId2" Type="http://schemas.openxmlformats.org/officeDocument/2006/relationships/customXml" Target="../customXml/item2.xml"/><Relationship Id="rId16" Type="http://schemas.openxmlformats.org/officeDocument/2006/relationships/hyperlink" Target="file:///M:\SG_DOC\FG-AI4EE\FG-AI4EE%20Meetings\02-2020-virtual_December%202020\oLS\Focus%20Group%20homepa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ifa/t/2017/ls/sg13/sp16-sg13-oLS-00174.zip" TargetMode="External"/><Relationship Id="rId5" Type="http://schemas.openxmlformats.org/officeDocument/2006/relationships/styles" Target="styles.xml"/><Relationship Id="rId15" Type="http://schemas.openxmlformats.org/officeDocument/2006/relationships/hyperlink" Target="https://www.itu.int/ifa/t/2017/ls/sg13/sp16-sg13-oLS-00174.zip"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itu.int/en/ITU-T/focusgroups/ai4ee/Pages/WG3deliverable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sahota@law.uci.ed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D06AD098E64A9D9E5253F653CC5ABE"/>
        <w:category>
          <w:name w:val="General"/>
          <w:gallery w:val="placeholder"/>
        </w:category>
        <w:types>
          <w:type w:val="bbPlcHdr"/>
        </w:types>
        <w:behaviors>
          <w:behavior w:val="content"/>
        </w:behaviors>
        <w:guid w:val="{F59FA74F-6476-41F8-A7E3-07200DA69990}"/>
      </w:docPartPr>
      <w:docPartBody>
        <w:p w:rsidR="007007D3" w:rsidRDefault="0055286E" w:rsidP="0055286E">
          <w:pPr>
            <w:pStyle w:val="4CD06AD098E64A9D9E5253F653CC5ABE"/>
          </w:pPr>
          <w:r w:rsidRPr="001229A4">
            <w:rPr>
              <w:rStyle w:val="PlaceholderText"/>
            </w:rPr>
            <w:t>Click here to enter text.</w:t>
          </w:r>
        </w:p>
      </w:docPartBody>
    </w:docPart>
    <w:docPart>
      <w:docPartPr>
        <w:name w:val="586074ABF292486E9445FC398519C679"/>
        <w:category>
          <w:name w:val="General"/>
          <w:gallery w:val="placeholder"/>
        </w:category>
        <w:types>
          <w:type w:val="bbPlcHdr"/>
        </w:types>
        <w:behaviors>
          <w:behavior w:val="content"/>
        </w:behaviors>
        <w:guid w:val="{1CF9680E-CA36-4FCE-B1AD-0EE3AC1E3FB8}"/>
      </w:docPartPr>
      <w:docPartBody>
        <w:p w:rsidR="007007D3" w:rsidRDefault="0055286E" w:rsidP="0055286E">
          <w:pPr>
            <w:pStyle w:val="586074ABF292486E9445FC398519C679"/>
          </w:pPr>
          <w:r w:rsidRPr="001229A4">
            <w:rPr>
              <w:rStyle w:val="PlaceholderText"/>
            </w:rPr>
            <w:t>Click here to enter text.</w:t>
          </w:r>
        </w:p>
      </w:docPartBody>
    </w:docPart>
    <w:docPart>
      <w:docPartPr>
        <w:name w:val="AA1252C01552468DAAD11E7CA98668CE"/>
        <w:category>
          <w:name w:val="General"/>
          <w:gallery w:val="placeholder"/>
        </w:category>
        <w:types>
          <w:type w:val="bbPlcHdr"/>
        </w:types>
        <w:behaviors>
          <w:behavior w:val="content"/>
        </w:behaviors>
        <w:guid w:val="{52CE76AB-294A-4A4A-8BE8-D9F1D871E031}"/>
      </w:docPartPr>
      <w:docPartBody>
        <w:p w:rsidR="00180656" w:rsidRDefault="00943091" w:rsidP="00943091">
          <w:pPr>
            <w:pStyle w:val="AA1252C01552468DAAD11E7CA98668CE"/>
          </w:pPr>
          <w:r w:rsidRPr="001229A4">
            <w:rPr>
              <w:rStyle w:val="PlaceholderText"/>
            </w:rPr>
            <w:t>Click here to enter text.</w:t>
          </w:r>
        </w:p>
      </w:docPartBody>
    </w:docPart>
    <w:docPart>
      <w:docPartPr>
        <w:name w:val="AC9AA0C433A04541AA12D725C88561DB"/>
        <w:category>
          <w:name w:val="General"/>
          <w:gallery w:val="placeholder"/>
        </w:category>
        <w:types>
          <w:type w:val="bbPlcHdr"/>
        </w:types>
        <w:behaviors>
          <w:behavior w:val="content"/>
        </w:behaviors>
        <w:guid w:val="{18212636-1925-449D-AA4E-8F42756F9C5D}"/>
      </w:docPartPr>
      <w:docPartBody>
        <w:p w:rsidR="00180656" w:rsidRDefault="00943091" w:rsidP="00943091">
          <w:pPr>
            <w:pStyle w:val="AC9AA0C433A04541AA12D725C88561DB"/>
          </w:pPr>
          <w:r w:rsidRPr="001229A4">
            <w:rPr>
              <w:rStyle w:val="PlaceholderText"/>
            </w:rPr>
            <w:t>Click here to enter text.</w:t>
          </w:r>
        </w:p>
      </w:docPartBody>
    </w:docPart>
    <w:docPart>
      <w:docPartPr>
        <w:name w:val="8678BA5498D64338B25D3A027BAB7E65"/>
        <w:category>
          <w:name w:val="General"/>
          <w:gallery w:val="placeholder"/>
        </w:category>
        <w:types>
          <w:type w:val="bbPlcHdr"/>
        </w:types>
        <w:behaviors>
          <w:behavior w:val="content"/>
        </w:behaviors>
        <w:guid w:val="{CB0ADD6F-F62B-4777-BFE0-A8BD73F093B7}"/>
      </w:docPartPr>
      <w:docPartBody>
        <w:p w:rsidR="00180656" w:rsidRDefault="00943091" w:rsidP="00943091">
          <w:pPr>
            <w:pStyle w:val="8678BA5498D64338B25D3A027BAB7E65"/>
          </w:pPr>
          <w:r w:rsidRPr="001229A4">
            <w:rPr>
              <w:rStyle w:val="PlaceholderText"/>
            </w:rPr>
            <w:t>Click here to enter text.</w:t>
          </w:r>
        </w:p>
      </w:docPartBody>
    </w:docPart>
    <w:docPart>
      <w:docPartPr>
        <w:name w:val="16A1E82A8B5E48009CBBB5D668FE195A"/>
        <w:category>
          <w:name w:val="General"/>
          <w:gallery w:val="placeholder"/>
        </w:category>
        <w:types>
          <w:type w:val="bbPlcHdr"/>
        </w:types>
        <w:behaviors>
          <w:behavior w:val="content"/>
        </w:behaviors>
        <w:guid w:val="{CFD05F80-FA0F-4ADD-B7B7-1337CFC93855}"/>
      </w:docPartPr>
      <w:docPartBody>
        <w:p w:rsidR="00180656" w:rsidRDefault="00943091" w:rsidP="00943091">
          <w:pPr>
            <w:pStyle w:val="16A1E82A8B5E48009CBBB5D668FE195A"/>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6E"/>
    <w:rsid w:val="00071042"/>
    <w:rsid w:val="00180656"/>
    <w:rsid w:val="00385BDC"/>
    <w:rsid w:val="0055286E"/>
    <w:rsid w:val="007007D3"/>
    <w:rsid w:val="00737A29"/>
    <w:rsid w:val="0086669A"/>
    <w:rsid w:val="008F248E"/>
    <w:rsid w:val="00943091"/>
    <w:rsid w:val="00AE1762"/>
    <w:rsid w:val="00E10BFD"/>
    <w:rsid w:val="00FE7D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3091"/>
    <w:rPr>
      <w:color w:val="808080"/>
    </w:rPr>
  </w:style>
  <w:style w:type="paragraph" w:customStyle="1" w:styleId="4CD06AD098E64A9D9E5253F653CC5ABE">
    <w:name w:val="4CD06AD098E64A9D9E5253F653CC5ABE"/>
    <w:rsid w:val="0055286E"/>
  </w:style>
  <w:style w:type="paragraph" w:customStyle="1" w:styleId="586074ABF292486E9445FC398519C679">
    <w:name w:val="586074ABF292486E9445FC398519C679"/>
    <w:rsid w:val="0055286E"/>
  </w:style>
  <w:style w:type="paragraph" w:customStyle="1" w:styleId="C0424650E0214187A4A59A4653A2F630">
    <w:name w:val="C0424650E0214187A4A59A4653A2F630"/>
    <w:rsid w:val="00943091"/>
  </w:style>
  <w:style w:type="paragraph" w:customStyle="1" w:styleId="AA1252C01552468DAAD11E7CA98668CE">
    <w:name w:val="AA1252C01552468DAAD11E7CA98668CE"/>
    <w:rsid w:val="00943091"/>
  </w:style>
  <w:style w:type="paragraph" w:customStyle="1" w:styleId="AC9AA0C433A04541AA12D725C88561DB">
    <w:name w:val="AC9AA0C433A04541AA12D725C88561DB"/>
    <w:rsid w:val="00943091"/>
  </w:style>
  <w:style w:type="paragraph" w:customStyle="1" w:styleId="8E34AB270D604B7EB198AD741F8376A3">
    <w:name w:val="8E34AB270D604B7EB198AD741F8376A3"/>
    <w:rsid w:val="00943091"/>
  </w:style>
  <w:style w:type="paragraph" w:customStyle="1" w:styleId="8678BA5498D64338B25D3A027BAB7E65">
    <w:name w:val="8678BA5498D64338B25D3A027BAB7E65"/>
    <w:rsid w:val="00943091"/>
  </w:style>
  <w:style w:type="paragraph" w:customStyle="1" w:styleId="16A1E82A8B5E48009CBBB5D668FE195A">
    <w:name w:val="16A1E82A8B5E48009CBBB5D668FE195A"/>
    <w:rsid w:val="009430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5AAC4-D2CD-426A-8FB2-5EB0EBA2CB86}"/>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67</TotalTime>
  <Pages>9</Pages>
  <Words>3070</Words>
  <Characters>18530</Characters>
  <Application>Microsoft Office Word</Application>
  <DocSecurity>0</DocSecurity>
  <Lines>754</Lines>
  <Paragraphs>219</Paragraphs>
  <ScaleCrop>false</ScaleCrop>
  <HeadingPairs>
    <vt:vector size="2" baseType="variant">
      <vt:variant>
        <vt:lpstr>Title</vt:lpstr>
      </vt:variant>
      <vt:variant>
        <vt:i4>1</vt:i4>
      </vt:variant>
    </vt:vector>
  </HeadingPairs>
  <TitlesOfParts>
    <vt:vector size="1" baseType="lpstr">
      <vt:lpstr>LS on invitation to review Artificial Intelligence Standardization Roadmap and provide missing or updated information (reply to SG13-LS174) [from FG-AI4EE]</vt:lpstr>
    </vt:vector>
  </TitlesOfParts>
  <Manager>ITU-T</Manager>
  <Company>International Telecommunication Union (ITU)</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invitation to review Artificial Intelligence Standardization Roadmap and provide missing or updated information (reply to SG13-LS174) [from FG-AI4EE to SG13]</dc:title>
  <dc:subject/>
  <dc:creator>FG-AI4EE</dc:creator>
  <cp:keywords/>
  <dc:description>FG-AI4H-L-029  For: E-meeting, 19-21 May 2021_x000d_Document date: ITU-T Focus Group on AI for Health_x000d_Saved by ITU51012069 at 3:04:56 PM on 5/12/2021</dc:description>
  <cp:lastModifiedBy>TSB</cp:lastModifiedBy>
  <cp:revision>5</cp:revision>
  <cp:lastPrinted>2011-04-05T14:28:00Z</cp:lastPrinted>
  <dcterms:created xsi:type="dcterms:W3CDTF">2021-05-11T19:10:00Z</dcterms:created>
  <dcterms:modified xsi:type="dcterms:W3CDTF">2021-05-12T13:04:00Z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FG-AI4H-L-029</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FG-AI4EE</vt:lpwstr>
  </property>
</Properties>
</file>