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32057C8" w:rsidR="00E03557" w:rsidRPr="00852AAD" w:rsidRDefault="00BC1D31" w:rsidP="002E6647">
            <w:pPr>
              <w:pStyle w:val="Docnumber"/>
            </w:pPr>
            <w:r>
              <w:t>FG-AI4H</w:t>
            </w:r>
            <w:r w:rsidR="00E03557">
              <w:t>-</w:t>
            </w:r>
            <w:r w:rsidR="00F61068">
              <w:t>I</w:t>
            </w:r>
            <w:r>
              <w:t>-</w:t>
            </w:r>
            <w:r w:rsidR="00A50A5E">
              <w:t>038</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57BFC8D0" w:rsidR="00BC1D31" w:rsidRPr="00123B21" w:rsidRDefault="00DA1C5D"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63E723DB" w:rsidR="00BC1D31" w:rsidRPr="00123B21" w:rsidRDefault="00A50A5E" w:rsidP="002E6647">
            <w:r>
              <w:t>Editors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38447FE4" w:rsidR="00BC1D31" w:rsidRPr="00123B21" w:rsidRDefault="00A50A5E" w:rsidP="002E6647">
            <w:r>
              <w:t xml:space="preserve">DEL02: </w:t>
            </w:r>
            <w:r w:rsidRPr="00CE1B30">
              <w:rPr>
                <w:lang w:val="en-US"/>
              </w:rPr>
              <w:t xml:space="preserve">Outline </w:t>
            </w:r>
            <w:r w:rsidR="009718B4" w:rsidRPr="00CE1B30">
              <w:rPr>
                <w:lang w:val="en-US"/>
              </w:rPr>
              <w:t xml:space="preserve">describing suggested topics for the </w:t>
            </w:r>
            <w:r w:rsidR="009718B4">
              <w:rPr>
                <w:lang w:val="en-US"/>
              </w:rPr>
              <w:t xml:space="preserve">FG-AI4H Working Group on </w:t>
            </w:r>
            <w:r w:rsidR="009718B4" w:rsidRPr="00CE1B30">
              <w:rPr>
                <w:lang w:val="en-US"/>
              </w:rPr>
              <w:t xml:space="preserve">regulatory considerations </w:t>
            </w:r>
            <w:r>
              <w:t>(Draft: April 2020)</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A289DE8" w:rsidR="00E03557" w:rsidRPr="00BC1D31" w:rsidRDefault="00120FC1" w:rsidP="002E6647">
            <w:pPr>
              <w:rPr>
                <w:highlight w:val="yellow"/>
              </w:rPr>
            </w:pPr>
            <w:r w:rsidRPr="00120FC1">
              <w:rPr>
                <w:lang w:val="en-US"/>
              </w:rPr>
              <w:t>Discussion</w:t>
            </w:r>
          </w:p>
        </w:tc>
      </w:tr>
      <w:bookmarkEnd w:id="0"/>
      <w:bookmarkEnd w:id="10"/>
      <w:tr w:rsidR="000059C0" w:rsidRPr="00E03557" w14:paraId="487F5750" w14:textId="77777777" w:rsidTr="009718B4">
        <w:trPr>
          <w:cantSplit/>
          <w:jc w:val="center"/>
        </w:trPr>
        <w:tc>
          <w:tcPr>
            <w:tcW w:w="1700" w:type="dxa"/>
            <w:gridSpan w:val="2"/>
            <w:tcBorders>
              <w:top w:val="single" w:sz="6" w:space="0" w:color="auto"/>
              <w:bottom w:val="single" w:sz="6" w:space="0" w:color="auto"/>
            </w:tcBorders>
          </w:tcPr>
          <w:p w14:paraId="70A3F5E0" w14:textId="77777777" w:rsidR="000059C0" w:rsidRPr="00E03557" w:rsidRDefault="000059C0" w:rsidP="000059C0">
            <w:pPr>
              <w:rPr>
                <w:b/>
                <w:bCs/>
              </w:rPr>
            </w:pPr>
            <w:r w:rsidRPr="00E03557">
              <w:rPr>
                <w:b/>
                <w:bCs/>
              </w:rPr>
              <w:t>Contact:</w:t>
            </w:r>
          </w:p>
        </w:tc>
        <w:tc>
          <w:tcPr>
            <w:tcW w:w="3403" w:type="dxa"/>
            <w:gridSpan w:val="2"/>
            <w:tcBorders>
              <w:top w:val="single" w:sz="6" w:space="0" w:color="auto"/>
              <w:bottom w:val="single" w:sz="6" w:space="0" w:color="auto"/>
            </w:tcBorders>
          </w:tcPr>
          <w:p w14:paraId="5D1C7C66" w14:textId="4F7323B4" w:rsidR="000059C0" w:rsidRPr="00BC1D31" w:rsidRDefault="000059C0" w:rsidP="000059C0">
            <w:pPr>
              <w:rPr>
                <w:highlight w:val="yellow"/>
              </w:rPr>
            </w:pPr>
            <w:r w:rsidRPr="00565768">
              <w:rPr>
                <w:lang w:val="de-DE"/>
              </w:rPr>
              <w:t>Jackie Ma</w:t>
            </w:r>
            <w:r w:rsidRPr="00565768">
              <w:rPr>
                <w:lang w:val="de-DE"/>
              </w:rPr>
              <w:br/>
              <w:t>Fraunhofer HHI</w:t>
            </w:r>
            <w:r w:rsidRPr="00565768">
              <w:rPr>
                <w:lang w:val="de-DE"/>
              </w:rPr>
              <w:br/>
              <w:t>Germany</w:t>
            </w:r>
          </w:p>
        </w:tc>
        <w:tc>
          <w:tcPr>
            <w:tcW w:w="4537" w:type="dxa"/>
            <w:tcBorders>
              <w:top w:val="single" w:sz="6" w:space="0" w:color="auto"/>
              <w:bottom w:val="single" w:sz="6" w:space="0" w:color="auto"/>
            </w:tcBorders>
          </w:tcPr>
          <w:p w14:paraId="28DD2FCB" w14:textId="449DB26C" w:rsidR="000059C0" w:rsidRPr="00BC1D31" w:rsidRDefault="000059C0" w:rsidP="000059C0">
            <w:pPr>
              <w:rPr>
                <w:highlight w:val="yellow"/>
              </w:rPr>
            </w:pPr>
            <w:r w:rsidRPr="00565768">
              <w:t xml:space="preserve">Email: </w:t>
            </w:r>
            <w:hyperlink r:id="rId11" w:history="1">
              <w:r w:rsidR="009718B4" w:rsidRPr="00864F24">
                <w:rPr>
                  <w:rStyle w:val="Hyperlink"/>
                </w:rPr>
                <w:t>jackie.ma@hhi.fraunhofer.de</w:t>
              </w:r>
            </w:hyperlink>
            <w:r w:rsidR="009718B4">
              <w:t xml:space="preserve"> </w:t>
            </w:r>
          </w:p>
        </w:tc>
      </w:tr>
      <w:tr w:rsidR="000059C0" w:rsidRPr="00E03557" w14:paraId="0A01ADF7" w14:textId="77777777" w:rsidTr="009718B4">
        <w:trPr>
          <w:cantSplit/>
          <w:jc w:val="center"/>
        </w:trPr>
        <w:tc>
          <w:tcPr>
            <w:tcW w:w="1700" w:type="dxa"/>
            <w:gridSpan w:val="2"/>
            <w:tcBorders>
              <w:top w:val="single" w:sz="6" w:space="0" w:color="auto"/>
              <w:bottom w:val="single" w:sz="6" w:space="0" w:color="auto"/>
            </w:tcBorders>
          </w:tcPr>
          <w:p w14:paraId="5845665D" w14:textId="77777777" w:rsidR="000059C0" w:rsidRPr="00E03557" w:rsidRDefault="000059C0" w:rsidP="000059C0">
            <w:pPr>
              <w:rPr>
                <w:b/>
                <w:bCs/>
              </w:rPr>
            </w:pPr>
            <w:r w:rsidRPr="00E03557">
              <w:rPr>
                <w:b/>
                <w:bCs/>
              </w:rPr>
              <w:t>Contact:</w:t>
            </w:r>
          </w:p>
        </w:tc>
        <w:tc>
          <w:tcPr>
            <w:tcW w:w="3403" w:type="dxa"/>
            <w:gridSpan w:val="2"/>
            <w:tcBorders>
              <w:top w:val="single" w:sz="6" w:space="0" w:color="auto"/>
              <w:bottom w:val="single" w:sz="6" w:space="0" w:color="auto"/>
            </w:tcBorders>
          </w:tcPr>
          <w:p w14:paraId="7974D081" w14:textId="2E92D2EB" w:rsidR="000059C0" w:rsidRPr="00BC1D31" w:rsidRDefault="000059C0" w:rsidP="000059C0">
            <w:pPr>
              <w:rPr>
                <w:highlight w:val="yellow"/>
              </w:rPr>
            </w:pPr>
            <w:r w:rsidRPr="00565768">
              <w:t>Khair ElZarrad</w:t>
            </w:r>
            <w:r w:rsidRPr="00565768">
              <w:br/>
              <w:t>FDA</w:t>
            </w:r>
            <w:r w:rsidRPr="00565768">
              <w:br/>
              <w:t>USA</w:t>
            </w:r>
          </w:p>
        </w:tc>
        <w:tc>
          <w:tcPr>
            <w:tcW w:w="4537" w:type="dxa"/>
            <w:tcBorders>
              <w:top w:val="single" w:sz="6" w:space="0" w:color="auto"/>
              <w:bottom w:val="single" w:sz="6" w:space="0" w:color="auto"/>
            </w:tcBorders>
          </w:tcPr>
          <w:p w14:paraId="116FD316" w14:textId="6F04364D" w:rsidR="000059C0" w:rsidRPr="00BC1D31" w:rsidRDefault="000059C0" w:rsidP="000059C0">
            <w:pPr>
              <w:rPr>
                <w:highlight w:val="yellow"/>
              </w:rPr>
            </w:pPr>
            <w:r w:rsidRPr="00565768">
              <w:t xml:space="preserve">Email: </w:t>
            </w:r>
            <w:hyperlink r:id="rId12" w:history="1">
              <w:r w:rsidR="009718B4" w:rsidRPr="00864F24">
                <w:rPr>
                  <w:rStyle w:val="Hyperlink"/>
                </w:rPr>
                <w:t>Mohammed.ElZarrad@fda.hhs.gov</w:t>
              </w:r>
            </w:hyperlink>
            <w:r w:rsidR="009718B4">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49D8ED24" w:rsidR="00E03557" w:rsidRPr="00BC1D31" w:rsidRDefault="00314553" w:rsidP="002E6647">
            <w:pPr>
              <w:rPr>
                <w:highlight w:val="yellow"/>
              </w:rPr>
            </w:pPr>
            <w:r w:rsidRPr="004126CE">
              <w:t>This document is the current draft of the deliverable 2 on “Regulatory considerations for AI for health”.  The presented document is a high-level, educational overview of some of the key regulatory considerations that can be used as a preliminary framework that can be further developed by the WG-RC together with other stakeholders.</w:t>
            </w:r>
          </w:p>
        </w:tc>
      </w:tr>
    </w:tbl>
    <w:p w14:paraId="373563A7" w14:textId="77777777" w:rsidR="006E377C" w:rsidRDefault="006E377C" w:rsidP="006E377C">
      <w:pPr>
        <w:sectPr w:rsidR="006E377C" w:rsidSect="007B7733">
          <w:headerReference w:type="default" r:id="rId13"/>
          <w:pgSz w:w="11907" w:h="16840" w:code="9"/>
          <w:pgMar w:top="1134" w:right="1134" w:bottom="1134" w:left="1134" w:header="426" w:footer="709" w:gutter="0"/>
          <w:cols w:space="708"/>
          <w:titlePg/>
          <w:docGrid w:linePitch="360"/>
        </w:sectPr>
      </w:pPr>
    </w:p>
    <w:tbl>
      <w:tblPr>
        <w:tblW w:w="9948" w:type="dxa"/>
        <w:tblLayout w:type="fixed"/>
        <w:tblLook w:val="0000" w:firstRow="0" w:lastRow="0" w:firstColumn="0" w:lastColumn="0" w:noHBand="0" w:noVBand="0"/>
      </w:tblPr>
      <w:tblGrid>
        <w:gridCol w:w="1418"/>
        <w:gridCol w:w="10"/>
        <w:gridCol w:w="2520"/>
        <w:gridCol w:w="2029"/>
        <w:gridCol w:w="3971"/>
      </w:tblGrid>
      <w:tr w:rsidR="006E377C" w14:paraId="36A9A6E7" w14:textId="77777777" w:rsidTr="000973B8">
        <w:trPr>
          <w:trHeight w:hRule="exact" w:val="1418"/>
        </w:trPr>
        <w:tc>
          <w:tcPr>
            <w:tcW w:w="1428" w:type="dxa"/>
            <w:gridSpan w:val="2"/>
          </w:tcPr>
          <w:p w14:paraId="163CE1DA" w14:textId="77777777" w:rsidR="006E377C" w:rsidRDefault="006E377C" w:rsidP="000973B8"/>
          <w:p w14:paraId="38B1160D" w14:textId="77777777" w:rsidR="006E377C" w:rsidRDefault="006E377C" w:rsidP="000973B8">
            <w:pPr>
              <w:spacing w:before="0"/>
              <w:rPr>
                <w:b/>
                <w:sz w:val="16"/>
              </w:rPr>
            </w:pPr>
          </w:p>
        </w:tc>
        <w:tc>
          <w:tcPr>
            <w:tcW w:w="8520" w:type="dxa"/>
            <w:gridSpan w:val="3"/>
          </w:tcPr>
          <w:p w14:paraId="7CA7D0DA" w14:textId="77777777" w:rsidR="006E377C" w:rsidRDefault="006E377C" w:rsidP="000973B8">
            <w:pPr>
              <w:spacing w:before="0"/>
              <w:rPr>
                <w:rFonts w:ascii="Arial" w:hAnsi="Arial" w:cs="Arial"/>
              </w:rPr>
            </w:pPr>
          </w:p>
          <w:p w14:paraId="4D043D1F" w14:textId="77777777" w:rsidR="006E377C" w:rsidRDefault="006E377C" w:rsidP="000973B8">
            <w:pPr>
              <w:spacing w:before="284"/>
              <w:rPr>
                <w:rFonts w:ascii="Arial" w:hAnsi="Arial" w:cs="Arial"/>
                <w:b/>
                <w:bCs/>
                <w:sz w:val="18"/>
              </w:rPr>
            </w:pPr>
            <w:r>
              <w:rPr>
                <w:rFonts w:ascii="Arial" w:hAnsi="Arial" w:cs="Arial"/>
                <w:b/>
                <w:bCs/>
                <w:color w:val="808080"/>
                <w:spacing w:val="100"/>
              </w:rPr>
              <w:t>International Telecommunication Union</w:t>
            </w:r>
          </w:p>
        </w:tc>
      </w:tr>
      <w:tr w:rsidR="006E377C" w14:paraId="037AD0DE" w14:textId="77777777" w:rsidTr="000973B8">
        <w:trPr>
          <w:trHeight w:hRule="exact" w:val="992"/>
        </w:trPr>
        <w:tc>
          <w:tcPr>
            <w:tcW w:w="1428" w:type="dxa"/>
            <w:gridSpan w:val="2"/>
          </w:tcPr>
          <w:p w14:paraId="2574C130" w14:textId="77777777" w:rsidR="006E377C" w:rsidRDefault="006E377C" w:rsidP="000973B8">
            <w:pPr>
              <w:spacing w:before="0"/>
            </w:pPr>
          </w:p>
        </w:tc>
        <w:tc>
          <w:tcPr>
            <w:tcW w:w="8520" w:type="dxa"/>
            <w:gridSpan w:val="3"/>
          </w:tcPr>
          <w:p w14:paraId="0B241D0A" w14:textId="77777777" w:rsidR="006E377C" w:rsidRDefault="006E377C" w:rsidP="000973B8"/>
        </w:tc>
      </w:tr>
      <w:tr w:rsidR="006E377C" w14:paraId="372F9050" w14:textId="77777777" w:rsidTr="000973B8">
        <w:tblPrEx>
          <w:tblCellMar>
            <w:left w:w="85" w:type="dxa"/>
            <w:right w:w="85" w:type="dxa"/>
          </w:tblCellMar>
        </w:tblPrEx>
        <w:trPr>
          <w:gridBefore w:val="2"/>
          <w:wBefore w:w="1428" w:type="dxa"/>
        </w:trPr>
        <w:tc>
          <w:tcPr>
            <w:tcW w:w="2520" w:type="dxa"/>
          </w:tcPr>
          <w:p w14:paraId="19AB8C06" w14:textId="77777777" w:rsidR="006E377C" w:rsidRDefault="006E377C" w:rsidP="000973B8">
            <w:pPr>
              <w:rPr>
                <w:b/>
                <w:sz w:val="18"/>
              </w:rPr>
            </w:pPr>
            <w:bookmarkStart w:id="11" w:name="dnume" w:colFirst="1" w:colLast="1"/>
            <w:r>
              <w:rPr>
                <w:rFonts w:ascii="Arial" w:hAnsi="Arial"/>
                <w:b/>
                <w:spacing w:val="40"/>
                <w:sz w:val="72"/>
              </w:rPr>
              <w:t>ITU-T</w:t>
            </w:r>
          </w:p>
        </w:tc>
        <w:tc>
          <w:tcPr>
            <w:tcW w:w="6000" w:type="dxa"/>
            <w:gridSpan w:val="2"/>
          </w:tcPr>
          <w:p w14:paraId="65277E92" w14:textId="77777777" w:rsidR="006E377C" w:rsidRPr="00C92738" w:rsidRDefault="006E377C" w:rsidP="000973B8">
            <w:pPr>
              <w:spacing w:before="240"/>
              <w:jc w:val="right"/>
              <w:rPr>
                <w:rFonts w:ascii="Arial" w:hAnsi="Arial" w:cs="Arial"/>
                <w:b/>
                <w:sz w:val="60"/>
              </w:rPr>
            </w:pPr>
            <w:r>
              <w:rPr>
                <w:rFonts w:ascii="Arial" w:hAnsi="Arial"/>
                <w:b/>
                <w:sz w:val="60"/>
              </w:rPr>
              <w:t>FG-AI4H Deliverable</w:t>
            </w:r>
          </w:p>
        </w:tc>
      </w:tr>
      <w:tr w:rsidR="006E377C" w14:paraId="45045B67" w14:textId="77777777" w:rsidTr="000973B8">
        <w:tblPrEx>
          <w:tblCellMar>
            <w:left w:w="85" w:type="dxa"/>
            <w:right w:w="85" w:type="dxa"/>
          </w:tblCellMar>
        </w:tblPrEx>
        <w:trPr>
          <w:gridBefore w:val="2"/>
          <w:wBefore w:w="1428" w:type="dxa"/>
          <w:trHeight w:val="974"/>
        </w:trPr>
        <w:tc>
          <w:tcPr>
            <w:tcW w:w="4549" w:type="dxa"/>
            <w:gridSpan w:val="2"/>
          </w:tcPr>
          <w:p w14:paraId="36C02EC5" w14:textId="77777777" w:rsidR="006E377C" w:rsidRPr="007777D2" w:rsidRDefault="006E377C" w:rsidP="000973B8">
            <w:pPr>
              <w:rPr>
                <w:b/>
              </w:rPr>
            </w:pPr>
            <w:bookmarkStart w:id="12" w:name="ddatee" w:colFirst="1" w:colLast="1"/>
            <w:bookmarkEnd w:id="11"/>
            <w:r w:rsidRPr="007777D2">
              <w:rPr>
                <w:rFonts w:ascii="Arial" w:hAnsi="Arial"/>
              </w:rPr>
              <w:t>TELECOMMUNICATION</w:t>
            </w:r>
            <w:r w:rsidRPr="007777D2">
              <w:rPr>
                <w:rFonts w:ascii="Arial" w:hAnsi="Arial"/>
              </w:rPr>
              <w:br/>
            </w:r>
            <w:proofErr w:type="gramStart"/>
            <w:r w:rsidRPr="007777D2">
              <w:rPr>
                <w:rFonts w:ascii="Arial" w:hAnsi="Arial"/>
              </w:rPr>
              <w:t>STANDARDIZATION  SECTOR</w:t>
            </w:r>
            <w:proofErr w:type="gramEnd"/>
            <w:r w:rsidRPr="007777D2">
              <w:rPr>
                <w:rFonts w:ascii="Arial" w:hAnsi="Arial"/>
              </w:rPr>
              <w:br/>
              <w:t>OF  ITU</w:t>
            </w:r>
          </w:p>
        </w:tc>
        <w:tc>
          <w:tcPr>
            <w:tcW w:w="3971" w:type="dxa"/>
          </w:tcPr>
          <w:p w14:paraId="05CF1004" w14:textId="77777777" w:rsidR="006E377C" w:rsidRPr="009635CB" w:rsidRDefault="006E377C" w:rsidP="000973B8">
            <w:pPr>
              <w:spacing w:before="284"/>
            </w:pPr>
          </w:p>
          <w:p w14:paraId="73A611C3" w14:textId="77777777" w:rsidR="006E377C" w:rsidRPr="007777D2" w:rsidRDefault="006E377C" w:rsidP="000973B8">
            <w:pPr>
              <w:wordWrap w:val="0"/>
              <w:spacing w:before="284"/>
              <w:jc w:val="right"/>
              <w:rPr>
                <w:rFonts w:ascii="Arial" w:hAnsi="Arial"/>
                <w:sz w:val="28"/>
              </w:rPr>
            </w:pPr>
            <w:r>
              <w:rPr>
                <w:rFonts w:ascii="Arial" w:hAnsi="Arial"/>
                <w:sz w:val="28"/>
              </w:rPr>
              <w:t>(draft - 30 04 2020)</w:t>
            </w:r>
          </w:p>
        </w:tc>
      </w:tr>
      <w:tr w:rsidR="006E377C" w14:paraId="57FEBEE9" w14:textId="77777777" w:rsidTr="000973B8">
        <w:trPr>
          <w:cantSplit/>
          <w:trHeight w:hRule="exact" w:val="3402"/>
        </w:trPr>
        <w:tc>
          <w:tcPr>
            <w:tcW w:w="1418" w:type="dxa"/>
          </w:tcPr>
          <w:p w14:paraId="5333581B" w14:textId="77777777" w:rsidR="006E377C" w:rsidRDefault="006E377C" w:rsidP="000973B8">
            <w:pPr>
              <w:tabs>
                <w:tab w:val="right" w:pos="9639"/>
              </w:tabs>
              <w:rPr>
                <w:rFonts w:ascii="Arial" w:hAnsi="Arial"/>
                <w:sz w:val="18"/>
              </w:rPr>
            </w:pPr>
            <w:bookmarkStart w:id="13" w:name="dsece" w:colFirst="1" w:colLast="1"/>
            <w:bookmarkEnd w:id="12"/>
          </w:p>
        </w:tc>
        <w:tc>
          <w:tcPr>
            <w:tcW w:w="8530" w:type="dxa"/>
            <w:gridSpan w:val="4"/>
            <w:tcBorders>
              <w:bottom w:val="single" w:sz="12" w:space="0" w:color="auto"/>
            </w:tcBorders>
            <w:vAlign w:val="bottom"/>
          </w:tcPr>
          <w:p w14:paraId="73C7EDE7" w14:textId="77777777" w:rsidR="006E377C" w:rsidRPr="007777D2" w:rsidRDefault="006E377C" w:rsidP="000973B8">
            <w:pPr>
              <w:tabs>
                <w:tab w:val="right" w:pos="9639"/>
              </w:tabs>
              <w:rPr>
                <w:rFonts w:ascii="Arial" w:hAnsi="Arial"/>
                <w:sz w:val="32"/>
              </w:rPr>
            </w:pPr>
          </w:p>
        </w:tc>
      </w:tr>
      <w:tr w:rsidR="006E377C" w14:paraId="350B062F" w14:textId="77777777" w:rsidTr="000973B8">
        <w:trPr>
          <w:cantSplit/>
          <w:trHeight w:hRule="exact" w:val="4536"/>
        </w:trPr>
        <w:tc>
          <w:tcPr>
            <w:tcW w:w="1418" w:type="dxa"/>
          </w:tcPr>
          <w:p w14:paraId="62EEE48F" w14:textId="77777777" w:rsidR="006E377C" w:rsidRDefault="006E377C" w:rsidP="000973B8">
            <w:pPr>
              <w:tabs>
                <w:tab w:val="right" w:pos="9639"/>
              </w:tabs>
              <w:rPr>
                <w:rFonts w:ascii="Arial" w:hAnsi="Arial"/>
                <w:sz w:val="18"/>
              </w:rPr>
            </w:pPr>
            <w:bookmarkStart w:id="14" w:name="c1tite" w:colFirst="1" w:colLast="1"/>
            <w:bookmarkEnd w:id="13"/>
          </w:p>
        </w:tc>
        <w:tc>
          <w:tcPr>
            <w:tcW w:w="8530" w:type="dxa"/>
            <w:gridSpan w:val="4"/>
          </w:tcPr>
          <w:p w14:paraId="01C31BB8" w14:textId="77777777" w:rsidR="006E377C" w:rsidRPr="00737170" w:rsidRDefault="006E377C" w:rsidP="000973B8">
            <w:pPr>
              <w:tabs>
                <w:tab w:val="right" w:pos="9639"/>
              </w:tabs>
              <w:rPr>
                <w:rFonts w:ascii="Arial" w:hAnsi="Arial" w:cs="Arial"/>
                <w:b/>
                <w:bCs/>
                <w:sz w:val="36"/>
              </w:rPr>
            </w:pPr>
            <w:r w:rsidRPr="00AB354A">
              <w:rPr>
                <w:rFonts w:ascii="Arial" w:hAnsi="Arial" w:cs="Arial"/>
                <w:b/>
                <w:bCs/>
                <w:sz w:val="36"/>
              </w:rPr>
              <w:t>DEL</w:t>
            </w:r>
            <w:r>
              <w:rPr>
                <w:rFonts w:ascii="Arial" w:hAnsi="Arial" w:cs="Arial"/>
                <w:b/>
                <w:bCs/>
                <w:sz w:val="36"/>
              </w:rPr>
              <w:t>0</w:t>
            </w:r>
            <w:r w:rsidRPr="00AB354A">
              <w:rPr>
                <w:rFonts w:ascii="Arial" w:hAnsi="Arial" w:cs="Arial"/>
                <w:b/>
                <w:bCs/>
                <w:sz w:val="36"/>
              </w:rPr>
              <w:t>2</w:t>
            </w:r>
            <w:r>
              <w:rPr>
                <w:rFonts w:ascii="Arial" w:hAnsi="Arial" w:cs="Arial"/>
                <w:b/>
                <w:bCs/>
                <w:sz w:val="36"/>
              </w:rPr>
              <w:br/>
            </w:r>
            <w:r w:rsidRPr="00AB354A">
              <w:rPr>
                <w:rFonts w:ascii="Arial" w:hAnsi="Arial" w:cs="Arial"/>
                <w:b/>
                <w:bCs/>
                <w:sz w:val="36"/>
              </w:rPr>
              <w:t xml:space="preserve">Outline </w:t>
            </w:r>
            <w:r>
              <w:rPr>
                <w:rFonts w:ascii="Arial" w:hAnsi="Arial" w:cs="Arial"/>
                <w:b/>
                <w:bCs/>
                <w:sz w:val="36"/>
              </w:rPr>
              <w:t>D</w:t>
            </w:r>
            <w:r w:rsidRPr="00AB354A">
              <w:rPr>
                <w:rFonts w:ascii="Arial" w:hAnsi="Arial" w:cs="Arial"/>
                <w:b/>
                <w:bCs/>
                <w:sz w:val="36"/>
              </w:rPr>
              <w:t xml:space="preserve">escribing </w:t>
            </w:r>
            <w:r>
              <w:rPr>
                <w:rFonts w:ascii="Arial" w:hAnsi="Arial" w:cs="Arial"/>
                <w:b/>
                <w:bCs/>
                <w:sz w:val="36"/>
              </w:rPr>
              <w:t>S</w:t>
            </w:r>
            <w:r w:rsidRPr="00AB354A">
              <w:rPr>
                <w:rFonts w:ascii="Arial" w:hAnsi="Arial" w:cs="Arial"/>
                <w:b/>
                <w:bCs/>
                <w:sz w:val="36"/>
              </w:rPr>
              <w:t xml:space="preserve">uggested </w:t>
            </w:r>
            <w:r>
              <w:rPr>
                <w:rFonts w:ascii="Arial" w:hAnsi="Arial" w:cs="Arial"/>
                <w:b/>
                <w:bCs/>
                <w:sz w:val="36"/>
              </w:rPr>
              <w:t>T</w:t>
            </w:r>
            <w:r w:rsidRPr="00AB354A">
              <w:rPr>
                <w:rFonts w:ascii="Arial" w:hAnsi="Arial" w:cs="Arial"/>
                <w:b/>
                <w:bCs/>
                <w:sz w:val="36"/>
              </w:rPr>
              <w:t xml:space="preserve">opics for the </w:t>
            </w:r>
            <w:r>
              <w:rPr>
                <w:rFonts w:ascii="Arial" w:hAnsi="Arial" w:cs="Arial"/>
                <w:b/>
                <w:bCs/>
                <w:sz w:val="36"/>
              </w:rPr>
              <w:t>R</w:t>
            </w:r>
            <w:r w:rsidRPr="00AB354A">
              <w:rPr>
                <w:rFonts w:ascii="Arial" w:hAnsi="Arial" w:cs="Arial"/>
                <w:b/>
                <w:bCs/>
                <w:sz w:val="36"/>
              </w:rPr>
              <w:t xml:space="preserve">egulatory </w:t>
            </w:r>
            <w:r>
              <w:rPr>
                <w:rFonts w:ascii="Arial" w:hAnsi="Arial" w:cs="Arial"/>
                <w:b/>
                <w:bCs/>
                <w:sz w:val="36"/>
              </w:rPr>
              <w:t>C</w:t>
            </w:r>
            <w:r w:rsidRPr="00AB354A">
              <w:rPr>
                <w:rFonts w:ascii="Arial" w:hAnsi="Arial" w:cs="Arial"/>
                <w:b/>
                <w:bCs/>
                <w:sz w:val="36"/>
              </w:rPr>
              <w:t xml:space="preserve">onsiderations on AI for </w:t>
            </w:r>
            <w:r>
              <w:rPr>
                <w:rFonts w:ascii="Arial" w:hAnsi="Arial" w:cs="Arial"/>
                <w:b/>
                <w:bCs/>
                <w:sz w:val="36"/>
              </w:rPr>
              <w:t>H</w:t>
            </w:r>
            <w:r w:rsidRPr="00AB354A">
              <w:rPr>
                <w:rFonts w:ascii="Arial" w:hAnsi="Arial" w:cs="Arial"/>
                <w:b/>
                <w:bCs/>
                <w:sz w:val="36"/>
              </w:rPr>
              <w:t xml:space="preserve">ealth </w:t>
            </w:r>
            <w:r>
              <w:rPr>
                <w:rFonts w:ascii="Arial" w:hAnsi="Arial" w:cs="Arial"/>
                <w:b/>
                <w:bCs/>
                <w:sz w:val="36"/>
              </w:rPr>
              <w:t>W</w:t>
            </w:r>
            <w:r w:rsidRPr="00AB354A">
              <w:rPr>
                <w:rFonts w:ascii="Arial" w:hAnsi="Arial" w:cs="Arial"/>
                <w:b/>
                <w:bCs/>
                <w:sz w:val="36"/>
              </w:rPr>
              <w:t xml:space="preserve">orking </w:t>
            </w:r>
            <w:r>
              <w:rPr>
                <w:rFonts w:ascii="Arial" w:hAnsi="Arial" w:cs="Arial"/>
                <w:b/>
                <w:bCs/>
                <w:sz w:val="36"/>
              </w:rPr>
              <w:t>G</w:t>
            </w:r>
            <w:r w:rsidRPr="00AB354A">
              <w:rPr>
                <w:rFonts w:ascii="Arial" w:hAnsi="Arial" w:cs="Arial"/>
                <w:b/>
                <w:bCs/>
                <w:sz w:val="36"/>
              </w:rPr>
              <w:t>roup</w:t>
            </w:r>
          </w:p>
        </w:tc>
      </w:tr>
      <w:bookmarkEnd w:id="14"/>
      <w:tr w:rsidR="006E377C" w14:paraId="5BDDE58A" w14:textId="77777777" w:rsidTr="000973B8">
        <w:trPr>
          <w:cantSplit/>
          <w:trHeight w:hRule="exact" w:val="1418"/>
        </w:trPr>
        <w:tc>
          <w:tcPr>
            <w:tcW w:w="1418" w:type="dxa"/>
          </w:tcPr>
          <w:p w14:paraId="02F91697" w14:textId="77777777" w:rsidR="006E377C" w:rsidRDefault="006E377C" w:rsidP="000973B8">
            <w:pPr>
              <w:tabs>
                <w:tab w:val="right" w:pos="9639"/>
              </w:tabs>
              <w:rPr>
                <w:rFonts w:ascii="Arial" w:hAnsi="Arial"/>
                <w:sz w:val="18"/>
              </w:rPr>
            </w:pPr>
          </w:p>
        </w:tc>
        <w:tc>
          <w:tcPr>
            <w:tcW w:w="8530" w:type="dxa"/>
            <w:gridSpan w:val="4"/>
            <w:vAlign w:val="bottom"/>
          </w:tcPr>
          <w:p w14:paraId="28E45D59" w14:textId="77777777" w:rsidR="006E377C" w:rsidRPr="00C92738" w:rsidRDefault="006E377C" w:rsidP="000973B8">
            <w:pPr>
              <w:tabs>
                <w:tab w:val="right" w:pos="9639"/>
              </w:tabs>
              <w:spacing w:before="60"/>
              <w:jc w:val="right"/>
              <w:rPr>
                <w:rFonts w:ascii="Arial" w:hAnsi="Arial" w:cs="Arial"/>
                <w:sz w:val="32"/>
              </w:rPr>
            </w:pPr>
            <w:bookmarkStart w:id="15" w:name="dnum2e"/>
            <w:bookmarkEnd w:id="15"/>
          </w:p>
        </w:tc>
      </w:tr>
    </w:tbl>
    <w:p w14:paraId="6ABBD78A" w14:textId="77777777" w:rsidR="006E377C" w:rsidRPr="007777D2" w:rsidRDefault="006E377C" w:rsidP="006E377C">
      <w:pPr>
        <w:spacing w:after="120"/>
        <w:jc w:val="center"/>
        <w:sectPr w:rsidR="006E377C" w:rsidRPr="007777D2" w:rsidSect="00BF75F5">
          <w:headerReference w:type="first" r:id="rId14"/>
          <w:footerReference w:type="first" r:id="rId15"/>
          <w:pgSz w:w="11907" w:h="16840" w:code="9"/>
          <w:pgMar w:top="1225" w:right="1281" w:bottom="1440" w:left="1140" w:header="720" w:footer="720" w:gutter="0"/>
          <w:cols w:space="720"/>
          <w:titlePg/>
          <w:docGrid w:linePitch="326"/>
        </w:sectPr>
      </w:pPr>
    </w:p>
    <w:p w14:paraId="4348C55D" w14:textId="77777777" w:rsidR="006E377C" w:rsidRPr="007777D2" w:rsidRDefault="006E377C" w:rsidP="006E377C">
      <w:pPr>
        <w:pStyle w:val="Headingb"/>
      </w:pPr>
      <w:bookmarkStart w:id="16" w:name="_Toc44995568"/>
      <w:r w:rsidRPr="007777D2">
        <w:lastRenderedPageBreak/>
        <w:t>Summary</w:t>
      </w:r>
    </w:p>
    <w:bookmarkEnd w:id="16"/>
    <w:p w14:paraId="59C860C4" w14:textId="4A1E867A" w:rsidR="006E377C" w:rsidRPr="004B797F" w:rsidRDefault="006E377C" w:rsidP="00051772">
      <w:pPr>
        <w:rPr>
          <w:lang w:bidi="ar-DZ"/>
        </w:rPr>
      </w:pPr>
      <w:r w:rsidRPr="004B797F">
        <w:rPr>
          <w:lang w:bidi="ar-DZ"/>
        </w:rPr>
        <w:t>This document presents regulatory considerations that can be used as a preliminary framework for further discussion by different stakeholders. The high-level overview should further foster the dialogue between different audiences such as developers and regulators. A not fully inclusive list of topics that is presented in this document contains the following topics:</w:t>
      </w:r>
    </w:p>
    <w:p w14:paraId="77353330" w14:textId="77777777" w:rsidR="006E377C" w:rsidRPr="004B797F" w:rsidRDefault="006E377C" w:rsidP="00051772">
      <w:pPr>
        <w:numPr>
          <w:ilvl w:val="0"/>
          <w:numId w:val="29"/>
        </w:numPr>
        <w:overflowPunct w:val="0"/>
        <w:autoSpaceDE w:val="0"/>
        <w:autoSpaceDN w:val="0"/>
        <w:adjustRightInd w:val="0"/>
        <w:ind w:left="567" w:hanging="567"/>
        <w:textAlignment w:val="baseline"/>
        <w:rPr>
          <w:lang w:val="en-US" w:eastAsia="en-US"/>
        </w:rPr>
      </w:pPr>
      <w:r w:rsidRPr="004B797F">
        <w:rPr>
          <w:lang w:val="en-US" w:eastAsia="en-US"/>
        </w:rPr>
        <w:t>Pre-specification, Documentation, Transparency, and Traceability as Part of a Quality System</w:t>
      </w:r>
    </w:p>
    <w:p w14:paraId="4EF9BF88" w14:textId="77777777" w:rsidR="006E377C" w:rsidRPr="004B797F" w:rsidRDefault="006E377C" w:rsidP="00051772">
      <w:pPr>
        <w:numPr>
          <w:ilvl w:val="0"/>
          <w:numId w:val="29"/>
        </w:numPr>
        <w:overflowPunct w:val="0"/>
        <w:autoSpaceDE w:val="0"/>
        <w:autoSpaceDN w:val="0"/>
        <w:adjustRightInd w:val="0"/>
        <w:ind w:left="567" w:hanging="567"/>
        <w:textAlignment w:val="baseline"/>
        <w:rPr>
          <w:lang w:val="en-US" w:eastAsia="en-US"/>
        </w:rPr>
      </w:pPr>
      <w:r w:rsidRPr="004B797F">
        <w:rPr>
          <w:lang w:val="en-US" w:eastAsia="en-US"/>
        </w:rPr>
        <w:t>Risk Management</w:t>
      </w:r>
    </w:p>
    <w:p w14:paraId="5E35B16D" w14:textId="77777777" w:rsidR="006E377C" w:rsidRPr="004B797F" w:rsidRDefault="006E377C" w:rsidP="00051772">
      <w:pPr>
        <w:numPr>
          <w:ilvl w:val="0"/>
          <w:numId w:val="29"/>
        </w:numPr>
        <w:overflowPunct w:val="0"/>
        <w:autoSpaceDE w:val="0"/>
        <w:autoSpaceDN w:val="0"/>
        <w:adjustRightInd w:val="0"/>
        <w:ind w:left="567" w:hanging="567"/>
        <w:textAlignment w:val="baseline"/>
        <w:rPr>
          <w:lang w:val="en-US" w:eastAsia="en-US"/>
        </w:rPr>
      </w:pPr>
      <w:r w:rsidRPr="004B797F">
        <w:rPr>
          <w:lang w:val="en-US" w:eastAsia="en-US"/>
        </w:rPr>
        <w:t>Total Product Lifecycle Approach</w:t>
      </w:r>
    </w:p>
    <w:p w14:paraId="4CE48773" w14:textId="77777777" w:rsidR="006E377C" w:rsidRPr="004B797F" w:rsidRDefault="006E377C" w:rsidP="00051772">
      <w:pPr>
        <w:numPr>
          <w:ilvl w:val="0"/>
          <w:numId w:val="29"/>
        </w:numPr>
        <w:overflowPunct w:val="0"/>
        <w:autoSpaceDE w:val="0"/>
        <w:autoSpaceDN w:val="0"/>
        <w:adjustRightInd w:val="0"/>
        <w:ind w:left="567" w:hanging="567"/>
        <w:textAlignment w:val="baseline"/>
        <w:rPr>
          <w:lang w:val="en-US" w:eastAsia="en-US"/>
        </w:rPr>
      </w:pPr>
      <w:r w:rsidRPr="004B797F">
        <w:rPr>
          <w:lang w:val="en-US" w:eastAsia="en-US"/>
        </w:rPr>
        <w:t>Relevance and Suitability of the Intended Use</w:t>
      </w:r>
    </w:p>
    <w:p w14:paraId="762D3358" w14:textId="77777777" w:rsidR="006E377C" w:rsidRPr="004B797F" w:rsidRDefault="006E377C" w:rsidP="00051772">
      <w:pPr>
        <w:numPr>
          <w:ilvl w:val="0"/>
          <w:numId w:val="29"/>
        </w:numPr>
        <w:overflowPunct w:val="0"/>
        <w:autoSpaceDE w:val="0"/>
        <w:autoSpaceDN w:val="0"/>
        <w:adjustRightInd w:val="0"/>
        <w:ind w:left="567" w:hanging="567"/>
        <w:textAlignment w:val="baseline"/>
        <w:rPr>
          <w:lang w:val="en-US" w:eastAsia="en-US"/>
        </w:rPr>
      </w:pPr>
      <w:r w:rsidRPr="004B797F">
        <w:rPr>
          <w:lang w:val="en-US" w:eastAsia="en-US"/>
        </w:rPr>
        <w:t xml:space="preserve">Data Quality </w:t>
      </w:r>
    </w:p>
    <w:p w14:paraId="3F17BEBD" w14:textId="77777777" w:rsidR="006E377C" w:rsidRPr="004B797F" w:rsidRDefault="006E377C" w:rsidP="00051772">
      <w:pPr>
        <w:numPr>
          <w:ilvl w:val="0"/>
          <w:numId w:val="29"/>
        </w:numPr>
        <w:overflowPunct w:val="0"/>
        <w:autoSpaceDE w:val="0"/>
        <w:autoSpaceDN w:val="0"/>
        <w:adjustRightInd w:val="0"/>
        <w:ind w:left="567" w:hanging="567"/>
        <w:textAlignment w:val="baseline"/>
        <w:rPr>
          <w:lang w:val="en-US" w:eastAsia="en-US"/>
        </w:rPr>
      </w:pPr>
      <w:r w:rsidRPr="004B797F">
        <w:rPr>
          <w:lang w:val="en-US" w:eastAsia="en-US"/>
        </w:rPr>
        <w:t>Analytical and Clinical validation</w:t>
      </w:r>
    </w:p>
    <w:p w14:paraId="0CFD3799" w14:textId="77777777" w:rsidR="006E377C" w:rsidRPr="004B797F" w:rsidRDefault="006E377C" w:rsidP="00051772">
      <w:pPr>
        <w:numPr>
          <w:ilvl w:val="0"/>
          <w:numId w:val="29"/>
        </w:numPr>
        <w:overflowPunct w:val="0"/>
        <w:autoSpaceDE w:val="0"/>
        <w:autoSpaceDN w:val="0"/>
        <w:adjustRightInd w:val="0"/>
        <w:ind w:left="567" w:hanging="567"/>
        <w:textAlignment w:val="baseline"/>
        <w:rPr>
          <w:lang w:val="en-US" w:eastAsia="en-US"/>
        </w:rPr>
      </w:pPr>
      <w:r w:rsidRPr="004B797F">
        <w:rPr>
          <w:lang w:val="en-US" w:eastAsia="en-US"/>
        </w:rPr>
        <w:t>Ethics and Privacy</w:t>
      </w:r>
    </w:p>
    <w:p w14:paraId="694AA160" w14:textId="77777777" w:rsidR="006E377C" w:rsidRPr="004B797F" w:rsidRDefault="006E377C" w:rsidP="00051772">
      <w:pPr>
        <w:numPr>
          <w:ilvl w:val="0"/>
          <w:numId w:val="29"/>
        </w:numPr>
        <w:overflowPunct w:val="0"/>
        <w:autoSpaceDE w:val="0"/>
        <w:autoSpaceDN w:val="0"/>
        <w:adjustRightInd w:val="0"/>
        <w:ind w:left="567" w:hanging="567"/>
        <w:textAlignment w:val="baseline"/>
        <w:rPr>
          <w:lang w:val="en-US" w:eastAsia="en-US"/>
        </w:rPr>
      </w:pPr>
      <w:r w:rsidRPr="004B797F">
        <w:rPr>
          <w:lang w:val="en-US" w:eastAsia="en-US"/>
        </w:rPr>
        <w:t xml:space="preserve">Engagement </w:t>
      </w:r>
    </w:p>
    <w:p w14:paraId="6F1DD3F0" w14:textId="77777777" w:rsidR="006E377C" w:rsidRPr="004B797F" w:rsidRDefault="006E377C" w:rsidP="006E377C">
      <w:pPr>
        <w:pStyle w:val="Headingb"/>
      </w:pPr>
      <w:r w:rsidRPr="004B797F">
        <w:t>Keywords</w:t>
      </w:r>
    </w:p>
    <w:p w14:paraId="665885E3" w14:textId="77777777" w:rsidR="006E377C" w:rsidRPr="004B797F" w:rsidRDefault="006E377C" w:rsidP="006E377C">
      <w:pPr>
        <w:rPr>
          <w:lang w:bidi="ar-DZ"/>
        </w:rPr>
      </w:pPr>
      <w:r w:rsidRPr="004B797F">
        <w:rPr>
          <w:lang w:bidi="ar-DZ"/>
        </w:rPr>
        <w:t>Regulatory considerations</w:t>
      </w:r>
    </w:p>
    <w:p w14:paraId="6D153E49" w14:textId="77777777" w:rsidR="006E377C" w:rsidRPr="004B797F" w:rsidRDefault="006E377C" w:rsidP="006E377C">
      <w:pPr>
        <w:rPr>
          <w:lang w:bidi="ar-DZ"/>
        </w:rPr>
      </w:pPr>
    </w:p>
    <w:p w14:paraId="63037B24" w14:textId="77777777" w:rsidR="006E377C" w:rsidRPr="004B797F" w:rsidRDefault="006E377C" w:rsidP="006E377C">
      <w:pPr>
        <w:pStyle w:val="Headingb"/>
      </w:pPr>
      <w:r w:rsidRPr="004B797F">
        <w:t>Change Log</w:t>
      </w:r>
    </w:p>
    <w:p w14:paraId="17980167" w14:textId="77777777" w:rsidR="006E377C" w:rsidRDefault="006E377C" w:rsidP="006E377C">
      <w:r w:rsidRPr="004B797F">
        <w:t xml:space="preserve">This document is an updated version of the Deliverable 2 “AI4H regulatory best </w:t>
      </w:r>
      <w:proofErr w:type="gramStart"/>
      <w:r w:rsidRPr="004B797F">
        <w:t>practices”  approved</w:t>
      </w:r>
      <w:proofErr w:type="gramEnd"/>
      <w:r w:rsidRPr="004B797F">
        <w:t xml:space="preserve"> at the ITU-T Focus Group on AI for Health (FG-AI4H) meeting held in New Delhi, 13-15 November 2019.</w:t>
      </w:r>
      <w:r>
        <w:t xml:space="preserve"> </w:t>
      </w:r>
    </w:p>
    <w:p w14:paraId="3D7A806B" w14:textId="77777777" w:rsidR="006E377C" w:rsidRPr="009635CB" w:rsidRDefault="006E377C" w:rsidP="006E377C"/>
    <w:tbl>
      <w:tblPr>
        <w:tblW w:w="9923" w:type="dxa"/>
        <w:jc w:val="center"/>
        <w:tblLayout w:type="fixed"/>
        <w:tblCellMar>
          <w:left w:w="57" w:type="dxa"/>
          <w:right w:w="57" w:type="dxa"/>
        </w:tblCellMar>
        <w:tblLook w:val="0000" w:firstRow="0" w:lastRow="0" w:firstColumn="0" w:lastColumn="0" w:noHBand="0" w:noVBand="0"/>
      </w:tblPr>
      <w:tblGrid>
        <w:gridCol w:w="1617"/>
        <w:gridCol w:w="2777"/>
        <w:gridCol w:w="1617"/>
        <w:gridCol w:w="2295"/>
        <w:gridCol w:w="1617"/>
      </w:tblGrid>
      <w:tr w:rsidR="006E377C" w:rsidRPr="004C46CD" w14:paraId="3051BF50" w14:textId="77777777" w:rsidTr="000973B8">
        <w:trPr>
          <w:cantSplit/>
          <w:trHeight w:val="204"/>
          <w:jc w:val="center"/>
        </w:trPr>
        <w:tc>
          <w:tcPr>
            <w:tcW w:w="1617" w:type="dxa"/>
          </w:tcPr>
          <w:p w14:paraId="1F9D64F6" w14:textId="77777777" w:rsidR="006E377C" w:rsidRPr="009635CB" w:rsidRDefault="006E377C" w:rsidP="000973B8">
            <w:pPr>
              <w:rPr>
                <w:b/>
                <w:bCs/>
              </w:rPr>
            </w:pPr>
            <w:r w:rsidRPr="009635CB">
              <w:rPr>
                <w:b/>
                <w:bCs/>
              </w:rPr>
              <w:t>Editor:</w:t>
            </w:r>
          </w:p>
        </w:tc>
        <w:tc>
          <w:tcPr>
            <w:tcW w:w="4394" w:type="dxa"/>
            <w:gridSpan w:val="2"/>
          </w:tcPr>
          <w:p w14:paraId="7436EDE8" w14:textId="77777777" w:rsidR="006E377C" w:rsidRPr="00565768" w:rsidRDefault="006E377C" w:rsidP="000973B8">
            <w:pPr>
              <w:rPr>
                <w:lang w:val="de-DE"/>
              </w:rPr>
            </w:pPr>
            <w:r w:rsidRPr="00565768">
              <w:rPr>
                <w:lang w:val="de-DE"/>
              </w:rPr>
              <w:t>Jackie Ma</w:t>
            </w:r>
            <w:r w:rsidRPr="00565768">
              <w:rPr>
                <w:lang w:val="de-DE" w:bidi="he-IL"/>
              </w:rPr>
              <w:br/>
            </w:r>
            <w:r w:rsidRPr="00565768">
              <w:rPr>
                <w:lang w:val="de-DE"/>
              </w:rPr>
              <w:t>Fraunhofer HHI</w:t>
            </w:r>
            <w:r w:rsidRPr="00565768">
              <w:rPr>
                <w:lang w:val="de-DE"/>
              </w:rPr>
              <w:br/>
              <w:t>Germany</w:t>
            </w:r>
          </w:p>
        </w:tc>
        <w:tc>
          <w:tcPr>
            <w:tcW w:w="3912" w:type="dxa"/>
            <w:gridSpan w:val="2"/>
          </w:tcPr>
          <w:p w14:paraId="7A51D47D" w14:textId="77777777" w:rsidR="006E377C" w:rsidRPr="00565768" w:rsidRDefault="006E377C" w:rsidP="000973B8">
            <w:r w:rsidRPr="00565768">
              <w:t xml:space="preserve">Email: </w:t>
            </w:r>
            <w:r>
              <w:br/>
            </w:r>
            <w:r w:rsidRPr="00565768">
              <w:t>jackie.ma@hhi.fraunhofer.de</w:t>
            </w:r>
          </w:p>
        </w:tc>
      </w:tr>
      <w:tr w:rsidR="006E377C" w:rsidRPr="004C46CD" w14:paraId="5A12DBAD" w14:textId="77777777" w:rsidTr="000973B8">
        <w:trPr>
          <w:cantSplit/>
          <w:trHeight w:val="204"/>
          <w:jc w:val="center"/>
        </w:trPr>
        <w:tc>
          <w:tcPr>
            <w:tcW w:w="1617" w:type="dxa"/>
          </w:tcPr>
          <w:p w14:paraId="4B253C4D" w14:textId="77777777" w:rsidR="006E377C" w:rsidRPr="009635CB" w:rsidRDefault="006E377C" w:rsidP="000973B8">
            <w:pPr>
              <w:rPr>
                <w:b/>
                <w:bCs/>
              </w:rPr>
            </w:pPr>
          </w:p>
        </w:tc>
        <w:tc>
          <w:tcPr>
            <w:tcW w:w="4394" w:type="dxa"/>
            <w:gridSpan w:val="2"/>
          </w:tcPr>
          <w:p w14:paraId="6E872073" w14:textId="77777777" w:rsidR="006E377C" w:rsidRPr="00565768" w:rsidRDefault="006E377C" w:rsidP="000973B8">
            <w:pPr>
              <w:rPr>
                <w:lang w:val="de-DE"/>
              </w:rPr>
            </w:pPr>
            <w:r w:rsidRPr="00565768">
              <w:rPr>
                <w:lang w:val="de-DE"/>
              </w:rPr>
              <w:t>Khair ElZarrad</w:t>
            </w:r>
            <w:r w:rsidRPr="00565768">
              <w:rPr>
                <w:lang w:val="de-DE"/>
              </w:rPr>
              <w:br/>
              <w:t>FDA</w:t>
            </w:r>
            <w:r w:rsidRPr="00565768">
              <w:rPr>
                <w:lang w:val="de-DE"/>
              </w:rPr>
              <w:br/>
              <w:t>USA</w:t>
            </w:r>
          </w:p>
        </w:tc>
        <w:tc>
          <w:tcPr>
            <w:tcW w:w="3912" w:type="dxa"/>
            <w:gridSpan w:val="2"/>
          </w:tcPr>
          <w:p w14:paraId="50F4CABF" w14:textId="77777777" w:rsidR="006E377C" w:rsidRPr="00565768" w:rsidRDefault="006E377C" w:rsidP="000973B8">
            <w:r w:rsidRPr="00565768">
              <w:t>Email: Mohammed.ElZarrad@fda.hhs.gov</w:t>
            </w:r>
          </w:p>
        </w:tc>
      </w:tr>
      <w:tr w:rsidR="006E377C" w:rsidRPr="004C46CD" w14:paraId="5068B4F3" w14:textId="77777777" w:rsidTr="000973B8">
        <w:trPr>
          <w:gridAfter w:val="1"/>
          <w:wAfter w:w="1617" w:type="dxa"/>
          <w:cantSplit/>
          <w:trHeight w:val="204"/>
          <w:jc w:val="center"/>
        </w:trPr>
        <w:tc>
          <w:tcPr>
            <w:tcW w:w="4394" w:type="dxa"/>
            <w:gridSpan w:val="2"/>
          </w:tcPr>
          <w:p w14:paraId="208250F8" w14:textId="77777777" w:rsidR="006E377C" w:rsidRPr="00565768" w:rsidRDefault="006E377C" w:rsidP="000973B8">
            <w:pPr>
              <w:rPr>
                <w:highlight w:val="yellow"/>
                <w:lang w:val="en-US"/>
              </w:rPr>
            </w:pPr>
          </w:p>
        </w:tc>
        <w:tc>
          <w:tcPr>
            <w:tcW w:w="3912" w:type="dxa"/>
            <w:gridSpan w:val="2"/>
          </w:tcPr>
          <w:p w14:paraId="4268FAC2" w14:textId="77777777" w:rsidR="006E377C" w:rsidRPr="004C46CD" w:rsidRDefault="006E377C" w:rsidP="000973B8"/>
        </w:tc>
      </w:tr>
    </w:tbl>
    <w:p w14:paraId="5BF2AB43" w14:textId="77777777" w:rsidR="006E377C" w:rsidRDefault="006E377C" w:rsidP="006E377C"/>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E377C" w:rsidRPr="004C46CD" w14:paraId="4C36F6B0" w14:textId="77777777" w:rsidTr="000973B8">
        <w:trPr>
          <w:cantSplit/>
          <w:trHeight w:val="204"/>
          <w:jc w:val="center"/>
        </w:trPr>
        <w:tc>
          <w:tcPr>
            <w:tcW w:w="1617" w:type="dxa"/>
          </w:tcPr>
          <w:p w14:paraId="07A11324" w14:textId="77777777" w:rsidR="006E377C" w:rsidRPr="009635CB" w:rsidRDefault="006E377C" w:rsidP="000973B8">
            <w:pPr>
              <w:rPr>
                <w:b/>
                <w:bCs/>
              </w:rPr>
            </w:pPr>
            <w:r>
              <w:rPr>
                <w:b/>
                <w:bCs/>
              </w:rPr>
              <w:t>Contributors</w:t>
            </w:r>
            <w:r w:rsidRPr="009635CB">
              <w:rPr>
                <w:b/>
                <w:bCs/>
              </w:rPr>
              <w:t>:</w:t>
            </w:r>
          </w:p>
        </w:tc>
        <w:tc>
          <w:tcPr>
            <w:tcW w:w="4394" w:type="dxa"/>
          </w:tcPr>
          <w:p w14:paraId="496811D6" w14:textId="77777777" w:rsidR="006E377C" w:rsidRPr="00667676" w:rsidRDefault="006E377C" w:rsidP="000973B8">
            <w:r w:rsidRPr="00667676">
              <w:t>Naomi Lee</w:t>
            </w:r>
            <w:r w:rsidRPr="00667676">
              <w:rPr>
                <w:lang w:bidi="he-IL"/>
              </w:rPr>
              <w:br/>
            </w:r>
            <w:r w:rsidRPr="00667676">
              <w:t>Lancet</w:t>
            </w:r>
            <w:r w:rsidRPr="00667676">
              <w:br/>
              <w:t>UK</w:t>
            </w:r>
          </w:p>
        </w:tc>
        <w:tc>
          <w:tcPr>
            <w:tcW w:w="3912" w:type="dxa"/>
          </w:tcPr>
          <w:p w14:paraId="38811CB4" w14:textId="77777777" w:rsidR="006E377C" w:rsidRPr="00D34EE5" w:rsidRDefault="006E377C" w:rsidP="000973B8">
            <w:r w:rsidRPr="004C46CD">
              <w:t xml:space="preserve">Email: </w:t>
            </w:r>
            <w:r>
              <w:br/>
            </w:r>
            <w:r w:rsidRPr="00667676">
              <w:t>naomi.lee@lancet.com</w:t>
            </w:r>
          </w:p>
        </w:tc>
      </w:tr>
      <w:tr w:rsidR="006E377C" w:rsidRPr="004C46CD" w14:paraId="132E62AD" w14:textId="77777777" w:rsidTr="000973B8">
        <w:trPr>
          <w:cantSplit/>
          <w:trHeight w:val="204"/>
          <w:jc w:val="center"/>
        </w:trPr>
        <w:tc>
          <w:tcPr>
            <w:tcW w:w="1617" w:type="dxa"/>
          </w:tcPr>
          <w:p w14:paraId="73A29AD9" w14:textId="77777777" w:rsidR="006E377C" w:rsidRDefault="006E377C" w:rsidP="000973B8">
            <w:pPr>
              <w:rPr>
                <w:b/>
                <w:bCs/>
              </w:rPr>
            </w:pPr>
          </w:p>
        </w:tc>
        <w:tc>
          <w:tcPr>
            <w:tcW w:w="4394" w:type="dxa"/>
          </w:tcPr>
          <w:p w14:paraId="401B59AA" w14:textId="77777777" w:rsidR="006E377C" w:rsidRPr="00667676" w:rsidRDefault="006E377C" w:rsidP="000973B8">
            <w:r w:rsidRPr="00667676">
              <w:rPr>
                <w:lang w:val="de-DE"/>
              </w:rPr>
              <w:t>Rose Purcell</w:t>
            </w:r>
            <w:r w:rsidRPr="00667676">
              <w:rPr>
                <w:lang w:val="de-DE"/>
              </w:rPr>
              <w:br/>
              <w:t>FDA</w:t>
            </w:r>
            <w:r w:rsidRPr="00667676">
              <w:rPr>
                <w:lang w:val="de-DE"/>
              </w:rPr>
              <w:br/>
              <w:t>USA</w:t>
            </w:r>
          </w:p>
        </w:tc>
        <w:tc>
          <w:tcPr>
            <w:tcW w:w="3912" w:type="dxa"/>
          </w:tcPr>
          <w:p w14:paraId="744B98B6" w14:textId="77777777" w:rsidR="006E377C" w:rsidRPr="00D34EE5" w:rsidRDefault="006E377C" w:rsidP="000973B8">
            <w:r w:rsidRPr="00565768">
              <w:t>Email:</w:t>
            </w:r>
            <w:r>
              <w:br/>
            </w:r>
            <w:r w:rsidRPr="00667676">
              <w:t>Rosemarie.Purcell@fda.hhs.gov</w:t>
            </w:r>
          </w:p>
        </w:tc>
      </w:tr>
      <w:tr w:rsidR="006E377C" w:rsidRPr="004C46CD" w14:paraId="1A245EA2" w14:textId="77777777" w:rsidTr="000973B8">
        <w:trPr>
          <w:cantSplit/>
          <w:trHeight w:val="204"/>
          <w:jc w:val="center"/>
        </w:trPr>
        <w:tc>
          <w:tcPr>
            <w:tcW w:w="1617" w:type="dxa"/>
          </w:tcPr>
          <w:p w14:paraId="758C3154" w14:textId="77777777" w:rsidR="006E377C" w:rsidRPr="009635CB" w:rsidRDefault="006E377C" w:rsidP="000973B8">
            <w:pPr>
              <w:rPr>
                <w:b/>
                <w:bCs/>
              </w:rPr>
            </w:pPr>
          </w:p>
        </w:tc>
        <w:tc>
          <w:tcPr>
            <w:tcW w:w="4394" w:type="dxa"/>
          </w:tcPr>
          <w:p w14:paraId="1E4D6358" w14:textId="77777777" w:rsidR="006E377C" w:rsidRPr="00667676" w:rsidRDefault="006E377C" w:rsidP="000973B8">
            <w:r w:rsidRPr="00667676">
              <w:t xml:space="preserve">Judith Van </w:t>
            </w:r>
            <w:proofErr w:type="spellStart"/>
            <w:r w:rsidRPr="00667676">
              <w:t>Andel</w:t>
            </w:r>
            <w:proofErr w:type="spellEnd"/>
            <w:r w:rsidRPr="00667676">
              <w:br/>
              <w:t>WHO</w:t>
            </w:r>
          </w:p>
        </w:tc>
        <w:tc>
          <w:tcPr>
            <w:tcW w:w="3912" w:type="dxa"/>
          </w:tcPr>
          <w:p w14:paraId="19E8FC51" w14:textId="77777777" w:rsidR="006E377C" w:rsidRPr="00D34EE5" w:rsidRDefault="006E377C" w:rsidP="000973B8">
            <w:r w:rsidRPr="004C46CD">
              <w:t xml:space="preserve">Email: </w:t>
            </w:r>
            <w:r>
              <w:br/>
            </w:r>
            <w:r w:rsidRPr="00667676">
              <w:t>jvan@who.int</w:t>
            </w:r>
          </w:p>
        </w:tc>
      </w:tr>
      <w:tr w:rsidR="006E377C" w:rsidRPr="004C46CD" w14:paraId="1A6418B8" w14:textId="77777777" w:rsidTr="000973B8">
        <w:trPr>
          <w:cantSplit/>
          <w:trHeight w:val="204"/>
          <w:jc w:val="center"/>
        </w:trPr>
        <w:tc>
          <w:tcPr>
            <w:tcW w:w="1617" w:type="dxa"/>
          </w:tcPr>
          <w:p w14:paraId="004F30F7" w14:textId="77777777" w:rsidR="006E377C" w:rsidRPr="009635CB" w:rsidRDefault="006E377C" w:rsidP="000973B8">
            <w:pPr>
              <w:rPr>
                <w:b/>
                <w:bCs/>
              </w:rPr>
            </w:pPr>
          </w:p>
        </w:tc>
        <w:tc>
          <w:tcPr>
            <w:tcW w:w="4394" w:type="dxa"/>
          </w:tcPr>
          <w:p w14:paraId="79162B79" w14:textId="77777777" w:rsidR="006E377C" w:rsidRPr="00667676" w:rsidRDefault="006E377C" w:rsidP="000973B8">
            <w:r w:rsidRPr="00667676">
              <w:t>Sameer Pujari</w:t>
            </w:r>
            <w:r w:rsidRPr="00667676">
              <w:rPr>
                <w:lang w:bidi="he-IL"/>
              </w:rPr>
              <w:br/>
            </w:r>
            <w:r w:rsidRPr="00667676">
              <w:t>WHO</w:t>
            </w:r>
            <w:r w:rsidRPr="00667676">
              <w:br/>
            </w:r>
          </w:p>
        </w:tc>
        <w:tc>
          <w:tcPr>
            <w:tcW w:w="3912" w:type="dxa"/>
          </w:tcPr>
          <w:p w14:paraId="628EC68E" w14:textId="77777777" w:rsidR="006E377C" w:rsidRPr="00667676" w:rsidRDefault="006E377C" w:rsidP="000973B8">
            <w:r w:rsidRPr="004C46CD">
              <w:t xml:space="preserve">Email: </w:t>
            </w:r>
            <w:r>
              <w:br/>
            </w:r>
            <w:r w:rsidRPr="00667676">
              <w:t>pujaris@who.int</w:t>
            </w:r>
          </w:p>
        </w:tc>
      </w:tr>
    </w:tbl>
    <w:p w14:paraId="0D150A3D" w14:textId="77777777" w:rsidR="006E377C" w:rsidRPr="007777D2" w:rsidRDefault="006E377C" w:rsidP="006E377C"/>
    <w:p w14:paraId="7B366CE5" w14:textId="77777777" w:rsidR="006E377C" w:rsidRPr="009635CB" w:rsidRDefault="006E377C" w:rsidP="006E377C">
      <w:pPr>
        <w:jc w:val="center"/>
      </w:pPr>
      <w:r w:rsidRPr="007777D2">
        <w:br w:type="page"/>
      </w:r>
    </w:p>
    <w:p w14:paraId="71FC89DF" w14:textId="77777777" w:rsidR="006E377C" w:rsidRPr="001E1939" w:rsidRDefault="006E377C" w:rsidP="006E377C">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6E377C" w:rsidRPr="00D8148E" w14:paraId="01F0B164" w14:textId="77777777" w:rsidTr="000973B8">
        <w:trPr>
          <w:tblHeader/>
        </w:trPr>
        <w:tc>
          <w:tcPr>
            <w:tcW w:w="9889" w:type="dxa"/>
          </w:tcPr>
          <w:p w14:paraId="00421372" w14:textId="77777777" w:rsidR="006E377C" w:rsidRPr="00D8148E" w:rsidRDefault="006E377C" w:rsidP="000973B8">
            <w:pPr>
              <w:pStyle w:val="toc0"/>
            </w:pPr>
            <w:r w:rsidRPr="00D8148E">
              <w:tab/>
              <w:t>Page</w:t>
            </w:r>
          </w:p>
        </w:tc>
      </w:tr>
      <w:tr w:rsidR="006E377C" w:rsidRPr="004B797F" w14:paraId="515F460E" w14:textId="77777777" w:rsidTr="000973B8">
        <w:tc>
          <w:tcPr>
            <w:tcW w:w="9889" w:type="dxa"/>
          </w:tcPr>
          <w:p w14:paraId="0A7D587C" w14:textId="21846F39" w:rsidR="00051772" w:rsidRDefault="006E377C">
            <w:pPr>
              <w:pStyle w:val="TOC1"/>
              <w:rPr>
                <w:rFonts w:asciiTheme="minorHAnsi" w:eastAsiaTheme="minorEastAsia" w:hAnsiTheme="minorHAnsi" w:cstheme="minorBidi"/>
                <w:sz w:val="22"/>
                <w:szCs w:val="22"/>
                <w:lang w:eastAsia="en-GB"/>
              </w:rPr>
            </w:pPr>
            <w:r w:rsidRPr="004B797F">
              <w:rPr>
                <w:rFonts w:eastAsia="MS Mincho"/>
                <w:b/>
                <w:bCs/>
                <w:caps/>
                <w:lang w:val="en-US"/>
              </w:rPr>
              <w:fldChar w:fldCharType="begin"/>
            </w:r>
            <w:r w:rsidRPr="004B797F">
              <w:instrText xml:space="preserve"> TOC \o "1-3" \h \z \t "Annex_NoTitle,1,Appendix_NoTitle,1,Annex_No &amp; title,1,Appendix_No &amp; title,1" </w:instrText>
            </w:r>
            <w:r w:rsidRPr="004B797F">
              <w:rPr>
                <w:rFonts w:eastAsia="MS Mincho"/>
                <w:b/>
                <w:bCs/>
                <w:caps/>
                <w:lang w:val="en-US"/>
              </w:rPr>
              <w:fldChar w:fldCharType="separate"/>
            </w:r>
            <w:hyperlink w:anchor="_Toc39498175" w:history="1">
              <w:r w:rsidR="00051772" w:rsidRPr="005D155C">
                <w:rPr>
                  <w:rStyle w:val="Hyperlink"/>
                  <w:lang w:bidi="ar-DZ"/>
                </w:rPr>
                <w:t>1</w:t>
              </w:r>
              <w:r w:rsidR="00051772">
                <w:rPr>
                  <w:rFonts w:asciiTheme="minorHAnsi" w:eastAsiaTheme="minorEastAsia" w:hAnsiTheme="minorHAnsi" w:cstheme="minorBidi"/>
                  <w:sz w:val="22"/>
                  <w:szCs w:val="22"/>
                  <w:lang w:eastAsia="en-GB"/>
                </w:rPr>
                <w:tab/>
              </w:r>
              <w:r w:rsidR="00051772" w:rsidRPr="005D155C">
                <w:rPr>
                  <w:rStyle w:val="Hyperlink"/>
                  <w:lang w:bidi="ar-DZ"/>
                </w:rPr>
                <w:t>Scope</w:t>
              </w:r>
              <w:r w:rsidR="00051772">
                <w:rPr>
                  <w:webHidden/>
                </w:rPr>
                <w:tab/>
              </w:r>
              <w:r w:rsidR="00051772">
                <w:rPr>
                  <w:webHidden/>
                </w:rPr>
                <w:fldChar w:fldCharType="begin"/>
              </w:r>
              <w:r w:rsidR="00051772">
                <w:rPr>
                  <w:webHidden/>
                </w:rPr>
                <w:instrText xml:space="preserve"> PAGEREF _Toc39498175 \h </w:instrText>
              </w:r>
              <w:r w:rsidR="00051772">
                <w:rPr>
                  <w:webHidden/>
                </w:rPr>
              </w:r>
              <w:r w:rsidR="00051772">
                <w:rPr>
                  <w:webHidden/>
                </w:rPr>
                <w:fldChar w:fldCharType="separate"/>
              </w:r>
              <w:r w:rsidR="00051772">
                <w:rPr>
                  <w:webHidden/>
                </w:rPr>
                <w:t>4</w:t>
              </w:r>
              <w:r w:rsidR="00051772">
                <w:rPr>
                  <w:webHidden/>
                </w:rPr>
                <w:fldChar w:fldCharType="end"/>
              </w:r>
            </w:hyperlink>
          </w:p>
          <w:p w14:paraId="05B839EF" w14:textId="6F6E95C8" w:rsidR="00051772" w:rsidRDefault="00051772">
            <w:pPr>
              <w:pStyle w:val="TOC1"/>
              <w:rPr>
                <w:rFonts w:asciiTheme="minorHAnsi" w:eastAsiaTheme="minorEastAsia" w:hAnsiTheme="minorHAnsi" w:cstheme="minorBidi"/>
                <w:sz w:val="22"/>
                <w:szCs w:val="22"/>
                <w:lang w:eastAsia="en-GB"/>
              </w:rPr>
            </w:pPr>
            <w:hyperlink w:anchor="_Toc39498176" w:history="1">
              <w:r w:rsidRPr="005D155C">
                <w:rPr>
                  <w:rStyle w:val="Hyperlink"/>
                  <w:highlight w:val="yellow"/>
                  <w:lang w:bidi="ar-DZ"/>
                </w:rPr>
                <w:t>2</w:t>
              </w:r>
              <w:r>
                <w:rPr>
                  <w:rFonts w:asciiTheme="minorHAnsi" w:eastAsiaTheme="minorEastAsia" w:hAnsiTheme="minorHAnsi" w:cstheme="minorBidi"/>
                  <w:sz w:val="22"/>
                  <w:szCs w:val="22"/>
                  <w:lang w:eastAsia="en-GB"/>
                </w:rPr>
                <w:tab/>
              </w:r>
              <w:r w:rsidRPr="005D155C">
                <w:rPr>
                  <w:rStyle w:val="Hyperlink"/>
                  <w:lang w:bidi="ar-DZ"/>
                </w:rPr>
                <w:t>References [</w:t>
              </w:r>
              <w:r w:rsidRPr="005D155C">
                <w:rPr>
                  <w:rStyle w:val="Hyperlink"/>
                  <w:highlight w:val="yellow"/>
                  <w:lang w:bidi="ar-DZ"/>
                </w:rPr>
                <w:t>ADD REFERENCES]</w:t>
              </w:r>
              <w:r>
                <w:rPr>
                  <w:webHidden/>
                </w:rPr>
                <w:tab/>
              </w:r>
              <w:r>
                <w:rPr>
                  <w:webHidden/>
                </w:rPr>
                <w:fldChar w:fldCharType="begin"/>
              </w:r>
              <w:r>
                <w:rPr>
                  <w:webHidden/>
                </w:rPr>
                <w:instrText xml:space="preserve"> PAGEREF _Toc39498176 \h </w:instrText>
              </w:r>
              <w:r>
                <w:rPr>
                  <w:webHidden/>
                </w:rPr>
              </w:r>
              <w:r>
                <w:rPr>
                  <w:webHidden/>
                </w:rPr>
                <w:fldChar w:fldCharType="separate"/>
              </w:r>
              <w:r>
                <w:rPr>
                  <w:webHidden/>
                </w:rPr>
                <w:t>4</w:t>
              </w:r>
              <w:r>
                <w:rPr>
                  <w:webHidden/>
                </w:rPr>
                <w:fldChar w:fldCharType="end"/>
              </w:r>
            </w:hyperlink>
          </w:p>
          <w:p w14:paraId="079331BC" w14:textId="445566CC" w:rsidR="00051772" w:rsidRDefault="00051772">
            <w:pPr>
              <w:pStyle w:val="TOC1"/>
              <w:rPr>
                <w:rFonts w:asciiTheme="minorHAnsi" w:eastAsiaTheme="minorEastAsia" w:hAnsiTheme="minorHAnsi" w:cstheme="minorBidi"/>
                <w:sz w:val="22"/>
                <w:szCs w:val="22"/>
                <w:lang w:eastAsia="en-GB"/>
              </w:rPr>
            </w:pPr>
            <w:hyperlink w:anchor="_Toc39498177" w:history="1">
              <w:r w:rsidRPr="005D155C">
                <w:rPr>
                  <w:rStyle w:val="Hyperlink"/>
                  <w:lang w:bidi="ar-DZ"/>
                </w:rPr>
                <w:t>3</w:t>
              </w:r>
              <w:r>
                <w:rPr>
                  <w:rFonts w:asciiTheme="minorHAnsi" w:eastAsiaTheme="minorEastAsia" w:hAnsiTheme="minorHAnsi" w:cstheme="minorBidi"/>
                  <w:sz w:val="22"/>
                  <w:szCs w:val="22"/>
                  <w:lang w:eastAsia="en-GB"/>
                </w:rPr>
                <w:tab/>
              </w:r>
              <w:r w:rsidRPr="005D155C">
                <w:rPr>
                  <w:rStyle w:val="Hyperlink"/>
                  <w:lang w:bidi="ar-DZ"/>
                </w:rPr>
                <w:t>Terms and definitions</w:t>
              </w:r>
              <w:r>
                <w:rPr>
                  <w:webHidden/>
                </w:rPr>
                <w:tab/>
              </w:r>
              <w:r>
                <w:rPr>
                  <w:webHidden/>
                </w:rPr>
                <w:fldChar w:fldCharType="begin"/>
              </w:r>
              <w:r>
                <w:rPr>
                  <w:webHidden/>
                </w:rPr>
                <w:instrText xml:space="preserve"> PAGEREF _Toc39498177 \h </w:instrText>
              </w:r>
              <w:r>
                <w:rPr>
                  <w:webHidden/>
                </w:rPr>
              </w:r>
              <w:r>
                <w:rPr>
                  <w:webHidden/>
                </w:rPr>
                <w:fldChar w:fldCharType="separate"/>
              </w:r>
              <w:r>
                <w:rPr>
                  <w:webHidden/>
                </w:rPr>
                <w:t>4</w:t>
              </w:r>
              <w:r>
                <w:rPr>
                  <w:webHidden/>
                </w:rPr>
                <w:fldChar w:fldCharType="end"/>
              </w:r>
            </w:hyperlink>
          </w:p>
          <w:p w14:paraId="34E7BDB5" w14:textId="68D0AD83"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78" w:history="1">
              <w:r w:rsidRPr="005D155C">
                <w:rPr>
                  <w:rStyle w:val="Hyperlink"/>
                  <w:lang w:bidi="ar-DZ"/>
                </w:rPr>
                <w:t>3.1</w:t>
              </w:r>
              <w:r>
                <w:rPr>
                  <w:rFonts w:asciiTheme="minorHAnsi" w:eastAsiaTheme="minorEastAsia" w:hAnsiTheme="minorHAnsi" w:cstheme="minorBidi"/>
                  <w:sz w:val="22"/>
                  <w:szCs w:val="22"/>
                  <w:lang w:eastAsia="en-GB"/>
                </w:rPr>
                <w:tab/>
              </w:r>
              <w:r w:rsidRPr="005D155C">
                <w:rPr>
                  <w:rStyle w:val="Hyperlink"/>
                  <w:lang w:bidi="ar-DZ"/>
                </w:rPr>
                <w:t>Terms defined elsewhere</w:t>
              </w:r>
              <w:r>
                <w:rPr>
                  <w:webHidden/>
                </w:rPr>
                <w:tab/>
              </w:r>
              <w:r>
                <w:rPr>
                  <w:webHidden/>
                </w:rPr>
                <w:fldChar w:fldCharType="begin"/>
              </w:r>
              <w:r>
                <w:rPr>
                  <w:webHidden/>
                </w:rPr>
                <w:instrText xml:space="preserve"> PAGEREF _Toc39498178 \h </w:instrText>
              </w:r>
              <w:r>
                <w:rPr>
                  <w:webHidden/>
                </w:rPr>
              </w:r>
              <w:r>
                <w:rPr>
                  <w:webHidden/>
                </w:rPr>
                <w:fldChar w:fldCharType="separate"/>
              </w:r>
              <w:r>
                <w:rPr>
                  <w:webHidden/>
                </w:rPr>
                <w:t>4</w:t>
              </w:r>
              <w:r>
                <w:rPr>
                  <w:webHidden/>
                </w:rPr>
                <w:fldChar w:fldCharType="end"/>
              </w:r>
            </w:hyperlink>
          </w:p>
          <w:p w14:paraId="39659C60" w14:textId="2B133EED" w:rsidR="00051772" w:rsidRDefault="00051772">
            <w:pPr>
              <w:pStyle w:val="TOC1"/>
              <w:rPr>
                <w:rFonts w:asciiTheme="minorHAnsi" w:eastAsiaTheme="minorEastAsia" w:hAnsiTheme="minorHAnsi" w:cstheme="minorBidi"/>
                <w:sz w:val="22"/>
                <w:szCs w:val="22"/>
                <w:lang w:eastAsia="en-GB"/>
              </w:rPr>
            </w:pPr>
            <w:hyperlink w:anchor="_Toc39498179" w:history="1">
              <w:r w:rsidRPr="005D155C">
                <w:rPr>
                  <w:rStyle w:val="Hyperlink"/>
                  <w:lang w:bidi="ar-DZ"/>
                </w:rPr>
                <w:t>4</w:t>
              </w:r>
              <w:r>
                <w:rPr>
                  <w:rFonts w:asciiTheme="minorHAnsi" w:eastAsiaTheme="minorEastAsia" w:hAnsiTheme="minorHAnsi" w:cstheme="minorBidi"/>
                  <w:sz w:val="22"/>
                  <w:szCs w:val="22"/>
                  <w:lang w:eastAsia="en-GB"/>
                </w:rPr>
                <w:tab/>
              </w:r>
              <w:r w:rsidRPr="005D155C">
                <w:rPr>
                  <w:rStyle w:val="Hyperlink"/>
                  <w:lang w:bidi="ar-DZ"/>
                </w:rPr>
                <w:t>Abbreviations</w:t>
              </w:r>
              <w:r>
                <w:rPr>
                  <w:webHidden/>
                </w:rPr>
                <w:tab/>
              </w:r>
              <w:r>
                <w:rPr>
                  <w:webHidden/>
                </w:rPr>
                <w:fldChar w:fldCharType="begin"/>
              </w:r>
              <w:r>
                <w:rPr>
                  <w:webHidden/>
                </w:rPr>
                <w:instrText xml:space="preserve"> PAGEREF _Toc39498179 \h </w:instrText>
              </w:r>
              <w:r>
                <w:rPr>
                  <w:webHidden/>
                </w:rPr>
              </w:r>
              <w:r>
                <w:rPr>
                  <w:webHidden/>
                </w:rPr>
                <w:fldChar w:fldCharType="separate"/>
              </w:r>
              <w:r>
                <w:rPr>
                  <w:webHidden/>
                </w:rPr>
                <w:t>5</w:t>
              </w:r>
              <w:r>
                <w:rPr>
                  <w:webHidden/>
                </w:rPr>
                <w:fldChar w:fldCharType="end"/>
              </w:r>
            </w:hyperlink>
          </w:p>
          <w:p w14:paraId="0A2CDDA1" w14:textId="4668E0BC" w:rsidR="00051772" w:rsidRDefault="00051772">
            <w:pPr>
              <w:pStyle w:val="TOC1"/>
              <w:rPr>
                <w:rFonts w:asciiTheme="minorHAnsi" w:eastAsiaTheme="minorEastAsia" w:hAnsiTheme="minorHAnsi" w:cstheme="minorBidi"/>
                <w:sz w:val="22"/>
                <w:szCs w:val="22"/>
                <w:lang w:eastAsia="en-GB"/>
              </w:rPr>
            </w:pPr>
            <w:hyperlink w:anchor="_Toc39498180" w:history="1">
              <w:r w:rsidRPr="005D155C">
                <w:rPr>
                  <w:rStyle w:val="Hyperlink"/>
                  <w:lang w:bidi="ar-DZ"/>
                </w:rPr>
                <w:t>5</w:t>
              </w:r>
              <w:r>
                <w:rPr>
                  <w:rFonts w:asciiTheme="minorHAnsi" w:eastAsiaTheme="minorEastAsia" w:hAnsiTheme="minorHAnsi" w:cstheme="minorBidi"/>
                  <w:sz w:val="22"/>
                  <w:szCs w:val="22"/>
                  <w:lang w:eastAsia="en-GB"/>
                </w:rPr>
                <w:tab/>
              </w:r>
              <w:r w:rsidRPr="005D155C">
                <w:rPr>
                  <w:rStyle w:val="Hyperlink"/>
                  <w:lang w:bidi="ar-DZ"/>
                </w:rPr>
                <w:t>Conventions of some regulatory considerations for AI for health</w:t>
              </w:r>
              <w:r>
                <w:rPr>
                  <w:webHidden/>
                </w:rPr>
                <w:tab/>
              </w:r>
              <w:r>
                <w:rPr>
                  <w:webHidden/>
                </w:rPr>
                <w:fldChar w:fldCharType="begin"/>
              </w:r>
              <w:r>
                <w:rPr>
                  <w:webHidden/>
                </w:rPr>
                <w:instrText xml:space="preserve"> PAGEREF _Toc39498180 \h </w:instrText>
              </w:r>
              <w:r>
                <w:rPr>
                  <w:webHidden/>
                </w:rPr>
              </w:r>
              <w:r>
                <w:rPr>
                  <w:webHidden/>
                </w:rPr>
                <w:fldChar w:fldCharType="separate"/>
              </w:r>
              <w:r>
                <w:rPr>
                  <w:webHidden/>
                </w:rPr>
                <w:t>5</w:t>
              </w:r>
              <w:r>
                <w:rPr>
                  <w:webHidden/>
                </w:rPr>
                <w:fldChar w:fldCharType="end"/>
              </w:r>
            </w:hyperlink>
          </w:p>
          <w:p w14:paraId="763F194A" w14:textId="5E6F6411"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81" w:history="1">
              <w:r w:rsidRPr="005D155C">
                <w:rPr>
                  <w:rStyle w:val="Hyperlink"/>
                  <w:lang w:val="en-US"/>
                </w:rPr>
                <w:t>5.1</w:t>
              </w:r>
              <w:r>
                <w:rPr>
                  <w:rFonts w:asciiTheme="minorHAnsi" w:eastAsiaTheme="minorEastAsia" w:hAnsiTheme="minorHAnsi" w:cstheme="minorBidi"/>
                  <w:sz w:val="22"/>
                  <w:szCs w:val="22"/>
                  <w:lang w:eastAsia="en-GB"/>
                </w:rPr>
                <w:tab/>
              </w:r>
              <w:r w:rsidRPr="005D155C">
                <w:rPr>
                  <w:rStyle w:val="Hyperlink"/>
                  <w:lang w:val="en-US"/>
                </w:rPr>
                <w:t>Scope and structure of the field of AI for health</w:t>
              </w:r>
              <w:r>
                <w:rPr>
                  <w:webHidden/>
                </w:rPr>
                <w:tab/>
              </w:r>
              <w:r>
                <w:rPr>
                  <w:webHidden/>
                </w:rPr>
                <w:fldChar w:fldCharType="begin"/>
              </w:r>
              <w:r>
                <w:rPr>
                  <w:webHidden/>
                </w:rPr>
                <w:instrText xml:space="preserve"> PAGEREF _Toc39498181 \h </w:instrText>
              </w:r>
              <w:r>
                <w:rPr>
                  <w:webHidden/>
                </w:rPr>
              </w:r>
              <w:r>
                <w:rPr>
                  <w:webHidden/>
                </w:rPr>
                <w:fldChar w:fldCharType="separate"/>
              </w:r>
              <w:r>
                <w:rPr>
                  <w:webHidden/>
                </w:rPr>
                <w:t>5</w:t>
              </w:r>
              <w:r>
                <w:rPr>
                  <w:webHidden/>
                </w:rPr>
                <w:fldChar w:fldCharType="end"/>
              </w:r>
            </w:hyperlink>
          </w:p>
          <w:p w14:paraId="6DBA27BD" w14:textId="72116AEF"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82" w:history="1">
              <w:r w:rsidRPr="005D155C">
                <w:rPr>
                  <w:rStyle w:val="Hyperlink"/>
                  <w:lang w:val="en-US"/>
                </w:rPr>
                <w:t>5.2</w:t>
              </w:r>
              <w:r>
                <w:rPr>
                  <w:rFonts w:asciiTheme="minorHAnsi" w:eastAsiaTheme="minorEastAsia" w:hAnsiTheme="minorHAnsi" w:cstheme="minorBidi"/>
                  <w:sz w:val="22"/>
                  <w:szCs w:val="22"/>
                  <w:lang w:eastAsia="en-GB"/>
                </w:rPr>
                <w:tab/>
              </w:r>
              <w:r w:rsidRPr="005D155C">
                <w:rPr>
                  <w:rStyle w:val="Hyperlink"/>
                  <w:lang w:val="en-US"/>
                </w:rPr>
                <w:t>Definitions in evaluation and assessment of health applications</w:t>
              </w:r>
              <w:r>
                <w:rPr>
                  <w:webHidden/>
                </w:rPr>
                <w:tab/>
              </w:r>
              <w:r>
                <w:rPr>
                  <w:webHidden/>
                </w:rPr>
                <w:fldChar w:fldCharType="begin"/>
              </w:r>
              <w:r>
                <w:rPr>
                  <w:webHidden/>
                </w:rPr>
                <w:instrText xml:space="preserve"> PAGEREF _Toc39498182 \h </w:instrText>
              </w:r>
              <w:r>
                <w:rPr>
                  <w:webHidden/>
                </w:rPr>
              </w:r>
              <w:r>
                <w:rPr>
                  <w:webHidden/>
                </w:rPr>
                <w:fldChar w:fldCharType="separate"/>
              </w:r>
              <w:r>
                <w:rPr>
                  <w:webHidden/>
                </w:rPr>
                <w:t>6</w:t>
              </w:r>
              <w:r>
                <w:rPr>
                  <w:webHidden/>
                </w:rPr>
                <w:fldChar w:fldCharType="end"/>
              </w:r>
            </w:hyperlink>
          </w:p>
          <w:p w14:paraId="1993613E" w14:textId="521F58D9" w:rsidR="00051772" w:rsidRDefault="00051772">
            <w:pPr>
              <w:pStyle w:val="TOC1"/>
              <w:rPr>
                <w:rFonts w:asciiTheme="minorHAnsi" w:eastAsiaTheme="minorEastAsia" w:hAnsiTheme="minorHAnsi" w:cstheme="minorBidi"/>
                <w:sz w:val="22"/>
                <w:szCs w:val="22"/>
                <w:lang w:eastAsia="en-GB"/>
              </w:rPr>
            </w:pPr>
            <w:hyperlink w:anchor="_Toc39498183" w:history="1">
              <w:r w:rsidRPr="005D155C">
                <w:rPr>
                  <w:rStyle w:val="Hyperlink"/>
                  <w:lang w:bidi="ar-DZ"/>
                </w:rPr>
                <w:t>6</w:t>
              </w:r>
              <w:r>
                <w:rPr>
                  <w:rFonts w:asciiTheme="minorHAnsi" w:eastAsiaTheme="minorEastAsia" w:hAnsiTheme="minorHAnsi" w:cstheme="minorBidi"/>
                  <w:sz w:val="22"/>
                  <w:szCs w:val="22"/>
                  <w:lang w:eastAsia="en-GB"/>
                </w:rPr>
                <w:tab/>
              </w:r>
              <w:r w:rsidRPr="005D155C">
                <w:rPr>
                  <w:rStyle w:val="Hyperlink"/>
                  <w:lang w:bidi="ar-DZ"/>
                </w:rPr>
                <w:t>Introduction &amp; Purpose</w:t>
              </w:r>
              <w:r>
                <w:rPr>
                  <w:webHidden/>
                </w:rPr>
                <w:tab/>
              </w:r>
              <w:r>
                <w:rPr>
                  <w:webHidden/>
                </w:rPr>
                <w:fldChar w:fldCharType="begin"/>
              </w:r>
              <w:r>
                <w:rPr>
                  <w:webHidden/>
                </w:rPr>
                <w:instrText xml:space="preserve"> PAGEREF _Toc39498183 \h </w:instrText>
              </w:r>
              <w:r>
                <w:rPr>
                  <w:webHidden/>
                </w:rPr>
              </w:r>
              <w:r>
                <w:rPr>
                  <w:webHidden/>
                </w:rPr>
                <w:fldChar w:fldCharType="separate"/>
              </w:r>
              <w:r>
                <w:rPr>
                  <w:webHidden/>
                </w:rPr>
                <w:t>6</w:t>
              </w:r>
              <w:r>
                <w:rPr>
                  <w:webHidden/>
                </w:rPr>
                <w:fldChar w:fldCharType="end"/>
              </w:r>
            </w:hyperlink>
          </w:p>
          <w:p w14:paraId="46064A6F" w14:textId="75E3EFF8" w:rsidR="00051772" w:rsidRDefault="00051772">
            <w:pPr>
              <w:pStyle w:val="TOC1"/>
              <w:rPr>
                <w:rFonts w:asciiTheme="minorHAnsi" w:eastAsiaTheme="minorEastAsia" w:hAnsiTheme="minorHAnsi" w:cstheme="minorBidi"/>
                <w:sz w:val="22"/>
                <w:szCs w:val="22"/>
                <w:lang w:eastAsia="en-GB"/>
              </w:rPr>
            </w:pPr>
            <w:hyperlink w:anchor="_Toc39498184" w:history="1">
              <w:r w:rsidRPr="005D155C">
                <w:rPr>
                  <w:rStyle w:val="Hyperlink"/>
                  <w:lang w:bidi="ar-DZ"/>
                </w:rPr>
                <w:t>7</w:t>
              </w:r>
              <w:r>
                <w:rPr>
                  <w:rFonts w:asciiTheme="minorHAnsi" w:eastAsiaTheme="minorEastAsia" w:hAnsiTheme="minorHAnsi" w:cstheme="minorBidi"/>
                  <w:sz w:val="22"/>
                  <w:szCs w:val="22"/>
                  <w:lang w:eastAsia="en-GB"/>
                </w:rPr>
                <w:tab/>
              </w:r>
              <w:r w:rsidRPr="005D155C">
                <w:rPr>
                  <w:rStyle w:val="Hyperlink"/>
                </w:rPr>
                <w:t xml:space="preserve">Discussion: </w:t>
              </w:r>
              <w:r w:rsidRPr="005D155C">
                <w:rPr>
                  <w:rStyle w:val="Hyperlink"/>
                  <w:rFonts w:eastAsia="Calibri"/>
                  <w:lang w:val="en-US"/>
                </w:rPr>
                <w:t>Regulatory Considerations (not fully inclusive)</w:t>
              </w:r>
              <w:r>
                <w:rPr>
                  <w:webHidden/>
                </w:rPr>
                <w:tab/>
              </w:r>
              <w:r>
                <w:rPr>
                  <w:webHidden/>
                </w:rPr>
                <w:fldChar w:fldCharType="begin"/>
              </w:r>
              <w:r>
                <w:rPr>
                  <w:webHidden/>
                </w:rPr>
                <w:instrText xml:space="preserve"> PAGEREF _Toc39498184 \h </w:instrText>
              </w:r>
              <w:r>
                <w:rPr>
                  <w:webHidden/>
                </w:rPr>
              </w:r>
              <w:r>
                <w:rPr>
                  <w:webHidden/>
                </w:rPr>
                <w:fldChar w:fldCharType="separate"/>
              </w:r>
              <w:r>
                <w:rPr>
                  <w:webHidden/>
                </w:rPr>
                <w:t>7</w:t>
              </w:r>
              <w:r>
                <w:rPr>
                  <w:webHidden/>
                </w:rPr>
                <w:fldChar w:fldCharType="end"/>
              </w:r>
            </w:hyperlink>
          </w:p>
          <w:p w14:paraId="7A626607" w14:textId="2E5B7965"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85" w:history="1">
              <w:r w:rsidRPr="005D155C">
                <w:rPr>
                  <w:rStyle w:val="Hyperlink"/>
                  <w:rFonts w:eastAsia="Calibri"/>
                  <w:lang w:val="en-US"/>
                </w:rPr>
                <w:t>7.1</w:t>
              </w:r>
              <w:r>
                <w:rPr>
                  <w:rFonts w:asciiTheme="minorHAnsi" w:eastAsiaTheme="minorEastAsia" w:hAnsiTheme="minorHAnsi" w:cstheme="minorBidi"/>
                  <w:sz w:val="22"/>
                  <w:szCs w:val="22"/>
                  <w:lang w:eastAsia="en-GB"/>
                </w:rPr>
                <w:tab/>
              </w:r>
              <w:r w:rsidRPr="005D155C">
                <w:rPr>
                  <w:rStyle w:val="Hyperlink"/>
                  <w:rFonts w:eastAsia="Calibri"/>
                  <w:lang w:val="en-US"/>
                </w:rPr>
                <w:t>Pre-specification, Documentation, Transparency, and Traceability as Part of a Quality System</w:t>
              </w:r>
              <w:r>
                <w:rPr>
                  <w:webHidden/>
                </w:rPr>
                <w:tab/>
              </w:r>
              <w:r>
                <w:rPr>
                  <w:webHidden/>
                </w:rPr>
                <w:fldChar w:fldCharType="begin"/>
              </w:r>
              <w:r>
                <w:rPr>
                  <w:webHidden/>
                </w:rPr>
                <w:instrText xml:space="preserve"> PAGEREF _Toc39498185 \h </w:instrText>
              </w:r>
              <w:r>
                <w:rPr>
                  <w:webHidden/>
                </w:rPr>
              </w:r>
              <w:r>
                <w:rPr>
                  <w:webHidden/>
                </w:rPr>
                <w:fldChar w:fldCharType="separate"/>
              </w:r>
              <w:r>
                <w:rPr>
                  <w:webHidden/>
                </w:rPr>
                <w:t>7</w:t>
              </w:r>
              <w:r>
                <w:rPr>
                  <w:webHidden/>
                </w:rPr>
                <w:fldChar w:fldCharType="end"/>
              </w:r>
            </w:hyperlink>
          </w:p>
          <w:p w14:paraId="2BF1155A" w14:textId="463BC84F"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86" w:history="1">
              <w:r w:rsidRPr="005D155C">
                <w:rPr>
                  <w:rStyle w:val="Hyperlink"/>
                  <w:rFonts w:eastAsia="Calibri"/>
                  <w:lang w:val="en-US"/>
                </w:rPr>
                <w:t>7.2</w:t>
              </w:r>
              <w:r>
                <w:rPr>
                  <w:rFonts w:asciiTheme="minorHAnsi" w:eastAsiaTheme="minorEastAsia" w:hAnsiTheme="minorHAnsi" w:cstheme="minorBidi"/>
                  <w:sz w:val="22"/>
                  <w:szCs w:val="22"/>
                  <w:lang w:eastAsia="en-GB"/>
                </w:rPr>
                <w:tab/>
              </w:r>
              <w:r w:rsidRPr="005D155C">
                <w:rPr>
                  <w:rStyle w:val="Hyperlink"/>
                  <w:rFonts w:eastAsia="Calibri"/>
                  <w:lang w:val="en-US"/>
                </w:rPr>
                <w:t>Risk Management</w:t>
              </w:r>
              <w:r>
                <w:rPr>
                  <w:webHidden/>
                </w:rPr>
                <w:tab/>
              </w:r>
              <w:r>
                <w:rPr>
                  <w:webHidden/>
                </w:rPr>
                <w:fldChar w:fldCharType="begin"/>
              </w:r>
              <w:r>
                <w:rPr>
                  <w:webHidden/>
                </w:rPr>
                <w:instrText xml:space="preserve"> PAGEREF _Toc39498186 \h </w:instrText>
              </w:r>
              <w:r>
                <w:rPr>
                  <w:webHidden/>
                </w:rPr>
              </w:r>
              <w:r>
                <w:rPr>
                  <w:webHidden/>
                </w:rPr>
                <w:fldChar w:fldCharType="separate"/>
              </w:r>
              <w:r>
                <w:rPr>
                  <w:webHidden/>
                </w:rPr>
                <w:t>7</w:t>
              </w:r>
              <w:r>
                <w:rPr>
                  <w:webHidden/>
                </w:rPr>
                <w:fldChar w:fldCharType="end"/>
              </w:r>
            </w:hyperlink>
          </w:p>
          <w:p w14:paraId="5ACCEC72" w14:textId="77ABA865"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87" w:history="1">
              <w:r w:rsidRPr="005D155C">
                <w:rPr>
                  <w:rStyle w:val="Hyperlink"/>
                  <w:rFonts w:eastAsia="Calibri"/>
                  <w:lang w:val="en-US"/>
                </w:rPr>
                <w:t>7.3</w:t>
              </w:r>
              <w:r>
                <w:rPr>
                  <w:rFonts w:asciiTheme="minorHAnsi" w:eastAsiaTheme="minorEastAsia" w:hAnsiTheme="minorHAnsi" w:cstheme="minorBidi"/>
                  <w:sz w:val="22"/>
                  <w:szCs w:val="22"/>
                  <w:lang w:eastAsia="en-GB"/>
                </w:rPr>
                <w:tab/>
              </w:r>
              <w:r w:rsidRPr="005D155C">
                <w:rPr>
                  <w:rStyle w:val="Hyperlink"/>
                  <w:rFonts w:eastAsia="Calibri"/>
                  <w:lang w:val="en-US"/>
                </w:rPr>
                <w:t>Total Product Lifecycle Approach</w:t>
              </w:r>
              <w:r>
                <w:rPr>
                  <w:webHidden/>
                </w:rPr>
                <w:tab/>
              </w:r>
              <w:r>
                <w:rPr>
                  <w:webHidden/>
                </w:rPr>
                <w:fldChar w:fldCharType="begin"/>
              </w:r>
              <w:r>
                <w:rPr>
                  <w:webHidden/>
                </w:rPr>
                <w:instrText xml:space="preserve"> PAGEREF _Toc39498187 \h </w:instrText>
              </w:r>
              <w:r>
                <w:rPr>
                  <w:webHidden/>
                </w:rPr>
              </w:r>
              <w:r>
                <w:rPr>
                  <w:webHidden/>
                </w:rPr>
                <w:fldChar w:fldCharType="separate"/>
              </w:r>
              <w:r>
                <w:rPr>
                  <w:webHidden/>
                </w:rPr>
                <w:t>8</w:t>
              </w:r>
              <w:r>
                <w:rPr>
                  <w:webHidden/>
                </w:rPr>
                <w:fldChar w:fldCharType="end"/>
              </w:r>
            </w:hyperlink>
          </w:p>
          <w:p w14:paraId="0297A796" w14:textId="3D64FEE1"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88" w:history="1">
              <w:r w:rsidRPr="005D155C">
                <w:rPr>
                  <w:rStyle w:val="Hyperlink"/>
                  <w:rFonts w:eastAsia="Calibri"/>
                  <w:lang w:val="en-US"/>
                </w:rPr>
                <w:t>7.4</w:t>
              </w:r>
              <w:r>
                <w:rPr>
                  <w:rFonts w:asciiTheme="minorHAnsi" w:eastAsiaTheme="minorEastAsia" w:hAnsiTheme="minorHAnsi" w:cstheme="minorBidi"/>
                  <w:sz w:val="22"/>
                  <w:szCs w:val="22"/>
                  <w:lang w:eastAsia="en-GB"/>
                </w:rPr>
                <w:tab/>
              </w:r>
              <w:r w:rsidRPr="005D155C">
                <w:rPr>
                  <w:rStyle w:val="Hyperlink"/>
                  <w:rFonts w:eastAsia="Calibri"/>
                  <w:lang w:val="en-US"/>
                </w:rPr>
                <w:t>Relevance and suitability of the intended use</w:t>
              </w:r>
              <w:r>
                <w:rPr>
                  <w:webHidden/>
                </w:rPr>
                <w:tab/>
              </w:r>
              <w:r>
                <w:rPr>
                  <w:webHidden/>
                </w:rPr>
                <w:fldChar w:fldCharType="begin"/>
              </w:r>
              <w:r>
                <w:rPr>
                  <w:webHidden/>
                </w:rPr>
                <w:instrText xml:space="preserve"> PAGEREF _Toc39498188 \h </w:instrText>
              </w:r>
              <w:r>
                <w:rPr>
                  <w:webHidden/>
                </w:rPr>
              </w:r>
              <w:r>
                <w:rPr>
                  <w:webHidden/>
                </w:rPr>
                <w:fldChar w:fldCharType="separate"/>
              </w:r>
              <w:r>
                <w:rPr>
                  <w:webHidden/>
                </w:rPr>
                <w:t>9</w:t>
              </w:r>
              <w:r>
                <w:rPr>
                  <w:webHidden/>
                </w:rPr>
                <w:fldChar w:fldCharType="end"/>
              </w:r>
            </w:hyperlink>
          </w:p>
          <w:p w14:paraId="0F04D4A0" w14:textId="638DC655"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89" w:history="1">
              <w:r w:rsidRPr="005D155C">
                <w:rPr>
                  <w:rStyle w:val="Hyperlink"/>
                  <w:rFonts w:eastAsia="Calibri"/>
                  <w:lang w:val="en-US"/>
                </w:rPr>
                <w:t>7.5</w:t>
              </w:r>
              <w:r>
                <w:rPr>
                  <w:rFonts w:asciiTheme="minorHAnsi" w:eastAsiaTheme="minorEastAsia" w:hAnsiTheme="minorHAnsi" w:cstheme="minorBidi"/>
                  <w:sz w:val="22"/>
                  <w:szCs w:val="22"/>
                  <w:lang w:eastAsia="en-GB"/>
                </w:rPr>
                <w:tab/>
              </w:r>
              <w:r w:rsidRPr="005D155C">
                <w:rPr>
                  <w:rStyle w:val="Hyperlink"/>
                  <w:rFonts w:eastAsia="Calibri"/>
                  <w:lang w:val="en-US"/>
                </w:rPr>
                <w:t>Data quality</w:t>
              </w:r>
              <w:r>
                <w:rPr>
                  <w:webHidden/>
                </w:rPr>
                <w:tab/>
              </w:r>
              <w:r>
                <w:rPr>
                  <w:webHidden/>
                </w:rPr>
                <w:fldChar w:fldCharType="begin"/>
              </w:r>
              <w:r>
                <w:rPr>
                  <w:webHidden/>
                </w:rPr>
                <w:instrText xml:space="preserve"> PAGEREF _Toc39498189 \h </w:instrText>
              </w:r>
              <w:r>
                <w:rPr>
                  <w:webHidden/>
                </w:rPr>
              </w:r>
              <w:r>
                <w:rPr>
                  <w:webHidden/>
                </w:rPr>
                <w:fldChar w:fldCharType="separate"/>
              </w:r>
              <w:r>
                <w:rPr>
                  <w:webHidden/>
                </w:rPr>
                <w:t>9</w:t>
              </w:r>
              <w:r>
                <w:rPr>
                  <w:webHidden/>
                </w:rPr>
                <w:fldChar w:fldCharType="end"/>
              </w:r>
            </w:hyperlink>
          </w:p>
          <w:p w14:paraId="475DBB45" w14:textId="55A7073A"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90" w:history="1">
              <w:r w:rsidRPr="005D155C">
                <w:rPr>
                  <w:rStyle w:val="Hyperlink"/>
                  <w:rFonts w:eastAsia="Calibri"/>
                  <w:lang w:val="en-US"/>
                </w:rPr>
                <w:t>7.6</w:t>
              </w:r>
              <w:r>
                <w:rPr>
                  <w:rFonts w:asciiTheme="minorHAnsi" w:eastAsiaTheme="minorEastAsia" w:hAnsiTheme="minorHAnsi" w:cstheme="minorBidi"/>
                  <w:sz w:val="22"/>
                  <w:szCs w:val="22"/>
                  <w:lang w:eastAsia="en-GB"/>
                </w:rPr>
                <w:tab/>
              </w:r>
              <w:r w:rsidRPr="005D155C">
                <w:rPr>
                  <w:rStyle w:val="Hyperlink"/>
                  <w:rFonts w:eastAsia="Calibri"/>
                  <w:lang w:val="en-US"/>
                </w:rPr>
                <w:t>Analytical and clinical validation</w:t>
              </w:r>
              <w:r>
                <w:rPr>
                  <w:webHidden/>
                </w:rPr>
                <w:tab/>
              </w:r>
              <w:r>
                <w:rPr>
                  <w:webHidden/>
                </w:rPr>
                <w:fldChar w:fldCharType="begin"/>
              </w:r>
              <w:r>
                <w:rPr>
                  <w:webHidden/>
                </w:rPr>
                <w:instrText xml:space="preserve"> PAGEREF _Toc39498190 \h </w:instrText>
              </w:r>
              <w:r>
                <w:rPr>
                  <w:webHidden/>
                </w:rPr>
              </w:r>
              <w:r>
                <w:rPr>
                  <w:webHidden/>
                </w:rPr>
                <w:fldChar w:fldCharType="separate"/>
              </w:r>
              <w:r>
                <w:rPr>
                  <w:webHidden/>
                </w:rPr>
                <w:t>10</w:t>
              </w:r>
              <w:r>
                <w:rPr>
                  <w:webHidden/>
                </w:rPr>
                <w:fldChar w:fldCharType="end"/>
              </w:r>
            </w:hyperlink>
          </w:p>
          <w:p w14:paraId="71E618EF" w14:textId="32D6273F"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91" w:history="1">
              <w:r w:rsidRPr="005D155C">
                <w:rPr>
                  <w:rStyle w:val="Hyperlink"/>
                  <w:rFonts w:eastAsia="Calibri"/>
                  <w:lang w:val="en-US"/>
                </w:rPr>
                <w:t>7.7</w:t>
              </w:r>
              <w:r>
                <w:rPr>
                  <w:rFonts w:asciiTheme="minorHAnsi" w:eastAsiaTheme="minorEastAsia" w:hAnsiTheme="minorHAnsi" w:cstheme="minorBidi"/>
                  <w:sz w:val="22"/>
                  <w:szCs w:val="22"/>
                  <w:lang w:eastAsia="en-GB"/>
                </w:rPr>
                <w:tab/>
              </w:r>
              <w:r w:rsidRPr="005D155C">
                <w:rPr>
                  <w:rStyle w:val="Hyperlink"/>
                  <w:rFonts w:eastAsia="Calibri"/>
                  <w:lang w:val="en-US"/>
                </w:rPr>
                <w:t>Ethics and privacy</w:t>
              </w:r>
              <w:r>
                <w:rPr>
                  <w:webHidden/>
                </w:rPr>
                <w:tab/>
              </w:r>
              <w:r>
                <w:rPr>
                  <w:webHidden/>
                </w:rPr>
                <w:fldChar w:fldCharType="begin"/>
              </w:r>
              <w:r>
                <w:rPr>
                  <w:webHidden/>
                </w:rPr>
                <w:instrText xml:space="preserve"> PAGEREF _Toc39498191 \h </w:instrText>
              </w:r>
              <w:r>
                <w:rPr>
                  <w:webHidden/>
                </w:rPr>
              </w:r>
              <w:r>
                <w:rPr>
                  <w:webHidden/>
                </w:rPr>
                <w:fldChar w:fldCharType="separate"/>
              </w:r>
              <w:r>
                <w:rPr>
                  <w:webHidden/>
                </w:rPr>
                <w:t>10</w:t>
              </w:r>
              <w:r>
                <w:rPr>
                  <w:webHidden/>
                </w:rPr>
                <w:fldChar w:fldCharType="end"/>
              </w:r>
            </w:hyperlink>
          </w:p>
          <w:p w14:paraId="235784FC" w14:textId="34DE4987"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92" w:history="1">
              <w:r w:rsidRPr="005D155C">
                <w:rPr>
                  <w:rStyle w:val="Hyperlink"/>
                  <w:lang w:val="en-US"/>
                </w:rPr>
                <w:t>7.8</w:t>
              </w:r>
              <w:r>
                <w:rPr>
                  <w:rFonts w:asciiTheme="minorHAnsi" w:eastAsiaTheme="minorEastAsia" w:hAnsiTheme="minorHAnsi" w:cstheme="minorBidi"/>
                  <w:sz w:val="22"/>
                  <w:szCs w:val="22"/>
                  <w:lang w:eastAsia="en-GB"/>
                </w:rPr>
                <w:tab/>
              </w:r>
              <w:r w:rsidRPr="005D155C">
                <w:rPr>
                  <w:rStyle w:val="Hyperlink"/>
                  <w:lang w:val="en-US"/>
                </w:rPr>
                <w:t>Engagement</w:t>
              </w:r>
              <w:r>
                <w:rPr>
                  <w:webHidden/>
                </w:rPr>
                <w:tab/>
              </w:r>
              <w:r>
                <w:rPr>
                  <w:webHidden/>
                </w:rPr>
                <w:fldChar w:fldCharType="begin"/>
              </w:r>
              <w:r>
                <w:rPr>
                  <w:webHidden/>
                </w:rPr>
                <w:instrText xml:space="preserve"> PAGEREF _Toc39498192 \h </w:instrText>
              </w:r>
              <w:r>
                <w:rPr>
                  <w:webHidden/>
                </w:rPr>
              </w:r>
              <w:r>
                <w:rPr>
                  <w:webHidden/>
                </w:rPr>
                <w:fldChar w:fldCharType="separate"/>
              </w:r>
              <w:r>
                <w:rPr>
                  <w:webHidden/>
                </w:rPr>
                <w:t>10</w:t>
              </w:r>
              <w:r>
                <w:rPr>
                  <w:webHidden/>
                </w:rPr>
                <w:fldChar w:fldCharType="end"/>
              </w:r>
            </w:hyperlink>
          </w:p>
          <w:p w14:paraId="6F956A45" w14:textId="461DA62C" w:rsidR="00051772" w:rsidRDefault="00051772">
            <w:pPr>
              <w:pStyle w:val="TOC2"/>
              <w:tabs>
                <w:tab w:val="left" w:pos="1531"/>
              </w:tabs>
              <w:rPr>
                <w:rFonts w:asciiTheme="minorHAnsi" w:eastAsiaTheme="minorEastAsia" w:hAnsiTheme="minorHAnsi" w:cstheme="minorBidi"/>
                <w:sz w:val="22"/>
                <w:szCs w:val="22"/>
                <w:lang w:eastAsia="en-GB"/>
              </w:rPr>
            </w:pPr>
            <w:hyperlink w:anchor="_Toc39498193" w:history="1">
              <w:r w:rsidRPr="005D155C">
                <w:rPr>
                  <w:rStyle w:val="Hyperlink"/>
                  <w:lang w:val="en-US"/>
                </w:rPr>
                <w:t>7.9</w:t>
              </w:r>
              <w:r>
                <w:rPr>
                  <w:rFonts w:asciiTheme="minorHAnsi" w:eastAsiaTheme="minorEastAsia" w:hAnsiTheme="minorHAnsi" w:cstheme="minorBidi"/>
                  <w:sz w:val="22"/>
                  <w:szCs w:val="22"/>
                  <w:lang w:eastAsia="en-GB"/>
                </w:rPr>
                <w:tab/>
              </w:r>
              <w:r w:rsidRPr="005D155C">
                <w:rPr>
                  <w:rStyle w:val="Hyperlink"/>
                  <w:lang w:val="en-US"/>
                </w:rPr>
                <w:t>Other</w:t>
              </w:r>
              <w:r>
                <w:rPr>
                  <w:webHidden/>
                </w:rPr>
                <w:tab/>
              </w:r>
              <w:r>
                <w:rPr>
                  <w:webHidden/>
                </w:rPr>
                <w:fldChar w:fldCharType="begin"/>
              </w:r>
              <w:r>
                <w:rPr>
                  <w:webHidden/>
                </w:rPr>
                <w:instrText xml:space="preserve"> PAGEREF _Toc39498193 \h </w:instrText>
              </w:r>
              <w:r>
                <w:rPr>
                  <w:webHidden/>
                </w:rPr>
              </w:r>
              <w:r>
                <w:rPr>
                  <w:webHidden/>
                </w:rPr>
                <w:fldChar w:fldCharType="separate"/>
              </w:r>
              <w:r>
                <w:rPr>
                  <w:webHidden/>
                </w:rPr>
                <w:t>11</w:t>
              </w:r>
              <w:r>
                <w:rPr>
                  <w:webHidden/>
                </w:rPr>
                <w:fldChar w:fldCharType="end"/>
              </w:r>
            </w:hyperlink>
          </w:p>
          <w:p w14:paraId="521AD825" w14:textId="6FF9205E" w:rsidR="00051772" w:rsidRDefault="00051772">
            <w:pPr>
              <w:pStyle w:val="TOC1"/>
              <w:rPr>
                <w:rFonts w:asciiTheme="minorHAnsi" w:eastAsiaTheme="minorEastAsia" w:hAnsiTheme="minorHAnsi" w:cstheme="minorBidi"/>
                <w:sz w:val="22"/>
                <w:szCs w:val="22"/>
                <w:lang w:eastAsia="en-GB"/>
              </w:rPr>
            </w:pPr>
            <w:hyperlink w:anchor="_Toc39498194" w:history="1">
              <w:r w:rsidRPr="005D155C">
                <w:rPr>
                  <w:rStyle w:val="Hyperlink"/>
                  <w:lang w:bidi="ar-DZ"/>
                </w:rPr>
                <w:t>8</w:t>
              </w:r>
              <w:r>
                <w:rPr>
                  <w:rFonts w:asciiTheme="minorHAnsi" w:eastAsiaTheme="minorEastAsia" w:hAnsiTheme="minorHAnsi" w:cstheme="minorBidi"/>
                  <w:sz w:val="22"/>
                  <w:szCs w:val="22"/>
                  <w:lang w:eastAsia="en-GB"/>
                </w:rPr>
                <w:tab/>
              </w:r>
              <w:r w:rsidRPr="005D155C">
                <w:rPr>
                  <w:rStyle w:val="Hyperlink"/>
                </w:rPr>
                <w:t>Practical implications of regulating and assessing AI for health in low-resource settings</w:t>
              </w:r>
              <w:r>
                <w:rPr>
                  <w:webHidden/>
                </w:rPr>
                <w:tab/>
              </w:r>
              <w:r>
                <w:rPr>
                  <w:webHidden/>
                </w:rPr>
                <w:fldChar w:fldCharType="begin"/>
              </w:r>
              <w:r>
                <w:rPr>
                  <w:webHidden/>
                </w:rPr>
                <w:instrText xml:space="preserve"> PAGEREF _Toc39498194 \h </w:instrText>
              </w:r>
              <w:r>
                <w:rPr>
                  <w:webHidden/>
                </w:rPr>
              </w:r>
              <w:r>
                <w:rPr>
                  <w:webHidden/>
                </w:rPr>
                <w:fldChar w:fldCharType="separate"/>
              </w:r>
              <w:r>
                <w:rPr>
                  <w:webHidden/>
                </w:rPr>
                <w:t>11</w:t>
              </w:r>
              <w:r>
                <w:rPr>
                  <w:webHidden/>
                </w:rPr>
                <w:fldChar w:fldCharType="end"/>
              </w:r>
            </w:hyperlink>
          </w:p>
          <w:p w14:paraId="796FCED9" w14:textId="08D7AF0F" w:rsidR="006E377C" w:rsidRPr="004B797F" w:rsidRDefault="006E377C" w:rsidP="000973B8">
            <w:pPr>
              <w:pStyle w:val="TableofFigures"/>
              <w:rPr>
                <w:rFonts w:eastAsia="Times New Roman"/>
              </w:rPr>
            </w:pPr>
            <w:r w:rsidRPr="004B797F">
              <w:rPr>
                <w:rFonts w:eastAsia="Batang"/>
              </w:rPr>
              <w:fldChar w:fldCharType="end"/>
            </w:r>
          </w:p>
        </w:tc>
      </w:tr>
    </w:tbl>
    <w:p w14:paraId="60AE5C81" w14:textId="77777777" w:rsidR="006E377C" w:rsidRPr="004B797F" w:rsidRDefault="006E377C" w:rsidP="006E377C"/>
    <w:p w14:paraId="1C1FB0F5" w14:textId="77777777" w:rsidR="006E377C" w:rsidRPr="004B797F" w:rsidRDefault="006E377C" w:rsidP="006E377C">
      <w:pPr>
        <w:keepNext/>
        <w:jc w:val="center"/>
        <w:rPr>
          <w:b/>
          <w:bCs/>
        </w:rPr>
      </w:pPr>
      <w:r w:rsidRPr="004B797F">
        <w:rPr>
          <w:b/>
          <w:bCs/>
        </w:rPr>
        <w:t>List of Figures</w:t>
      </w:r>
    </w:p>
    <w:tbl>
      <w:tblPr>
        <w:tblW w:w="9889" w:type="dxa"/>
        <w:tblLayout w:type="fixed"/>
        <w:tblLook w:val="04A0" w:firstRow="1" w:lastRow="0" w:firstColumn="1" w:lastColumn="0" w:noHBand="0" w:noVBand="1"/>
      </w:tblPr>
      <w:tblGrid>
        <w:gridCol w:w="9889"/>
      </w:tblGrid>
      <w:tr w:rsidR="006E377C" w:rsidRPr="004B797F" w14:paraId="1FD8C1BB" w14:textId="77777777" w:rsidTr="000973B8">
        <w:trPr>
          <w:tblHeader/>
        </w:trPr>
        <w:tc>
          <w:tcPr>
            <w:tcW w:w="9889" w:type="dxa"/>
          </w:tcPr>
          <w:p w14:paraId="06D476A8" w14:textId="77777777" w:rsidR="006E377C" w:rsidRPr="004B797F" w:rsidRDefault="006E377C" w:rsidP="000973B8">
            <w:pPr>
              <w:pStyle w:val="toc0"/>
              <w:keepNext/>
            </w:pPr>
            <w:r w:rsidRPr="004B797F">
              <w:tab/>
              <w:t>Page</w:t>
            </w:r>
          </w:p>
        </w:tc>
      </w:tr>
      <w:tr w:rsidR="006E377C" w:rsidRPr="00D8148E" w14:paraId="20D34953" w14:textId="77777777" w:rsidTr="000973B8">
        <w:tc>
          <w:tcPr>
            <w:tcW w:w="9889" w:type="dxa"/>
          </w:tcPr>
          <w:p w14:paraId="4C9A8FF4" w14:textId="5DEB45CD" w:rsidR="00051772" w:rsidRDefault="006E377C">
            <w:pPr>
              <w:pStyle w:val="TableofFigures"/>
              <w:rPr>
                <w:rFonts w:asciiTheme="minorHAnsi" w:eastAsiaTheme="minorEastAsia" w:hAnsiTheme="minorHAnsi" w:cstheme="minorBidi"/>
                <w:noProof/>
                <w:sz w:val="22"/>
                <w:szCs w:val="22"/>
                <w:lang w:eastAsia="en-GB"/>
              </w:rPr>
            </w:pPr>
            <w:r w:rsidRPr="004B797F">
              <w:rPr>
                <w:rFonts w:eastAsia="Times New Roman"/>
              </w:rPr>
              <w:fldChar w:fldCharType="begin"/>
            </w:r>
            <w:r w:rsidRPr="004B797F">
              <w:rPr>
                <w:rFonts w:eastAsia="Times New Roman"/>
              </w:rPr>
              <w:instrText xml:space="preserve"> TOC \h \z \t "Figure_No &amp; title" \c </w:instrText>
            </w:r>
            <w:r w:rsidRPr="004B797F">
              <w:rPr>
                <w:rFonts w:eastAsia="Times New Roman"/>
              </w:rPr>
              <w:fldChar w:fldCharType="separate"/>
            </w:r>
            <w:hyperlink w:anchor="_Toc39498208" w:history="1">
              <w:r w:rsidR="00051772" w:rsidRPr="002556A5">
                <w:rPr>
                  <w:rStyle w:val="Hyperlink"/>
                  <w:noProof/>
                  <w:lang w:bidi="ar-DZ"/>
                </w:rPr>
                <w:t>Figure 1: S</w:t>
              </w:r>
              <w:r w:rsidR="00051772" w:rsidRPr="002556A5">
                <w:rPr>
                  <w:rStyle w:val="Hyperlink"/>
                  <w:rFonts w:eastAsia="Times New Roman"/>
                  <w:noProof/>
                </w:rPr>
                <w:t xml:space="preserve">pectrum of development and healthcare delivery </w:t>
              </w:r>
              <w:r w:rsidR="00051772" w:rsidRPr="002556A5">
                <w:rPr>
                  <w:rStyle w:val="Hyperlink"/>
                  <w:rFonts w:eastAsia="Times New Roman"/>
                  <w:noProof/>
                  <w:highlight w:val="yellow"/>
                </w:rPr>
                <w:t>[1]</w:t>
              </w:r>
              <w:r w:rsidR="00051772">
                <w:rPr>
                  <w:noProof/>
                  <w:webHidden/>
                </w:rPr>
                <w:tab/>
              </w:r>
              <w:r w:rsidR="00051772">
                <w:rPr>
                  <w:noProof/>
                  <w:webHidden/>
                </w:rPr>
                <w:fldChar w:fldCharType="begin"/>
              </w:r>
              <w:r w:rsidR="00051772">
                <w:rPr>
                  <w:noProof/>
                  <w:webHidden/>
                </w:rPr>
                <w:instrText xml:space="preserve"> PAGEREF _Toc39498208 \h </w:instrText>
              </w:r>
              <w:r w:rsidR="00051772">
                <w:rPr>
                  <w:noProof/>
                  <w:webHidden/>
                </w:rPr>
              </w:r>
              <w:r w:rsidR="00051772">
                <w:rPr>
                  <w:noProof/>
                  <w:webHidden/>
                </w:rPr>
                <w:fldChar w:fldCharType="separate"/>
              </w:r>
              <w:r w:rsidR="00051772">
                <w:rPr>
                  <w:noProof/>
                  <w:webHidden/>
                </w:rPr>
                <w:t>5</w:t>
              </w:r>
              <w:r w:rsidR="00051772">
                <w:rPr>
                  <w:noProof/>
                  <w:webHidden/>
                </w:rPr>
                <w:fldChar w:fldCharType="end"/>
              </w:r>
            </w:hyperlink>
          </w:p>
          <w:p w14:paraId="609171DC" w14:textId="27BA96EE" w:rsidR="00051772" w:rsidRDefault="00051772">
            <w:pPr>
              <w:pStyle w:val="TableofFigures"/>
              <w:rPr>
                <w:rFonts w:asciiTheme="minorHAnsi" w:eastAsiaTheme="minorEastAsia" w:hAnsiTheme="minorHAnsi" w:cstheme="minorBidi"/>
                <w:noProof/>
                <w:sz w:val="22"/>
                <w:szCs w:val="22"/>
                <w:lang w:eastAsia="en-GB"/>
              </w:rPr>
            </w:pPr>
            <w:hyperlink w:anchor="_Toc39498209" w:history="1">
              <w:r w:rsidRPr="002556A5">
                <w:rPr>
                  <w:rStyle w:val="Hyperlink"/>
                  <w:noProof/>
                </w:rPr>
                <w:t>Figure 2: Domains of health technology regulation, assessment  and management for drugs and devices [2]</w:t>
              </w:r>
              <w:r>
                <w:rPr>
                  <w:noProof/>
                  <w:webHidden/>
                </w:rPr>
                <w:tab/>
              </w:r>
              <w:r>
                <w:rPr>
                  <w:noProof/>
                  <w:webHidden/>
                </w:rPr>
                <w:fldChar w:fldCharType="begin"/>
              </w:r>
              <w:r>
                <w:rPr>
                  <w:noProof/>
                  <w:webHidden/>
                </w:rPr>
                <w:instrText xml:space="preserve"> PAGEREF _Toc39498209 \h </w:instrText>
              </w:r>
              <w:r>
                <w:rPr>
                  <w:noProof/>
                  <w:webHidden/>
                </w:rPr>
              </w:r>
              <w:r>
                <w:rPr>
                  <w:noProof/>
                  <w:webHidden/>
                </w:rPr>
                <w:fldChar w:fldCharType="separate"/>
              </w:r>
              <w:r>
                <w:rPr>
                  <w:noProof/>
                  <w:webHidden/>
                </w:rPr>
                <w:t>6</w:t>
              </w:r>
              <w:r>
                <w:rPr>
                  <w:noProof/>
                  <w:webHidden/>
                </w:rPr>
                <w:fldChar w:fldCharType="end"/>
              </w:r>
            </w:hyperlink>
          </w:p>
          <w:p w14:paraId="46C9E62E" w14:textId="0F4DE448" w:rsidR="00051772" w:rsidRDefault="00051772">
            <w:pPr>
              <w:pStyle w:val="TableofFigures"/>
              <w:rPr>
                <w:rFonts w:asciiTheme="minorHAnsi" w:eastAsiaTheme="minorEastAsia" w:hAnsiTheme="minorHAnsi" w:cstheme="minorBidi"/>
                <w:noProof/>
                <w:sz w:val="22"/>
                <w:szCs w:val="22"/>
                <w:lang w:eastAsia="en-GB"/>
              </w:rPr>
            </w:pPr>
            <w:hyperlink w:anchor="_Toc39498210" w:history="1">
              <w:r w:rsidRPr="002556A5">
                <w:rPr>
                  <w:rStyle w:val="Hyperlink"/>
                  <w:noProof/>
                  <w:lang w:bidi="ar-DZ"/>
                </w:rPr>
                <w:t xml:space="preserve">Figure 3: SaMD IMDRF risk categorization </w:t>
              </w:r>
              <w:r w:rsidRPr="002556A5">
                <w:rPr>
                  <w:rStyle w:val="Hyperlink"/>
                  <w:noProof/>
                  <w:highlight w:val="yellow"/>
                  <w:lang w:bidi="ar-DZ"/>
                </w:rPr>
                <w:t>[3]</w:t>
              </w:r>
              <w:r>
                <w:rPr>
                  <w:noProof/>
                  <w:webHidden/>
                </w:rPr>
                <w:tab/>
              </w:r>
              <w:r>
                <w:rPr>
                  <w:noProof/>
                  <w:webHidden/>
                </w:rPr>
                <w:fldChar w:fldCharType="begin"/>
              </w:r>
              <w:r>
                <w:rPr>
                  <w:noProof/>
                  <w:webHidden/>
                </w:rPr>
                <w:instrText xml:space="preserve"> PAGEREF _Toc39498210 \h </w:instrText>
              </w:r>
              <w:r>
                <w:rPr>
                  <w:noProof/>
                  <w:webHidden/>
                </w:rPr>
              </w:r>
              <w:r>
                <w:rPr>
                  <w:noProof/>
                  <w:webHidden/>
                </w:rPr>
                <w:fldChar w:fldCharType="separate"/>
              </w:r>
              <w:r>
                <w:rPr>
                  <w:noProof/>
                  <w:webHidden/>
                </w:rPr>
                <w:t>8</w:t>
              </w:r>
              <w:r>
                <w:rPr>
                  <w:noProof/>
                  <w:webHidden/>
                </w:rPr>
                <w:fldChar w:fldCharType="end"/>
              </w:r>
            </w:hyperlink>
          </w:p>
          <w:p w14:paraId="4A9043B5" w14:textId="48BEF652" w:rsidR="00051772" w:rsidRDefault="00051772">
            <w:pPr>
              <w:pStyle w:val="TableofFigures"/>
              <w:rPr>
                <w:rFonts w:asciiTheme="minorHAnsi" w:eastAsiaTheme="minorEastAsia" w:hAnsiTheme="minorHAnsi" w:cstheme="minorBidi"/>
                <w:noProof/>
                <w:sz w:val="22"/>
                <w:szCs w:val="22"/>
                <w:lang w:eastAsia="en-GB"/>
              </w:rPr>
            </w:pPr>
            <w:hyperlink w:anchor="_Toc39498211" w:history="1">
              <w:r w:rsidRPr="002556A5">
                <w:rPr>
                  <w:rStyle w:val="Hyperlink"/>
                  <w:noProof/>
                  <w:lang w:bidi="ar-DZ"/>
                </w:rPr>
                <w:t>Figure 4: Overlay of FDA’s TPLC approach on AI/ML workflow</w:t>
              </w:r>
              <w:r w:rsidRPr="002556A5">
                <w:rPr>
                  <w:rStyle w:val="Hyperlink"/>
                  <w:noProof/>
                  <w:highlight w:val="yellow"/>
                  <w:lang w:bidi="ar-DZ"/>
                </w:rPr>
                <w:t xml:space="preserve"> [4]</w:t>
              </w:r>
              <w:r>
                <w:rPr>
                  <w:noProof/>
                  <w:webHidden/>
                </w:rPr>
                <w:tab/>
              </w:r>
              <w:r>
                <w:rPr>
                  <w:noProof/>
                  <w:webHidden/>
                </w:rPr>
                <w:fldChar w:fldCharType="begin"/>
              </w:r>
              <w:r>
                <w:rPr>
                  <w:noProof/>
                  <w:webHidden/>
                </w:rPr>
                <w:instrText xml:space="preserve"> PAGEREF _Toc39498211 \h </w:instrText>
              </w:r>
              <w:r>
                <w:rPr>
                  <w:noProof/>
                  <w:webHidden/>
                </w:rPr>
              </w:r>
              <w:r>
                <w:rPr>
                  <w:noProof/>
                  <w:webHidden/>
                </w:rPr>
                <w:fldChar w:fldCharType="separate"/>
              </w:r>
              <w:r>
                <w:rPr>
                  <w:noProof/>
                  <w:webHidden/>
                </w:rPr>
                <w:t>9</w:t>
              </w:r>
              <w:r>
                <w:rPr>
                  <w:noProof/>
                  <w:webHidden/>
                </w:rPr>
                <w:fldChar w:fldCharType="end"/>
              </w:r>
            </w:hyperlink>
          </w:p>
          <w:p w14:paraId="2C75087C" w14:textId="1B825E28" w:rsidR="006E377C" w:rsidRPr="0060241A" w:rsidRDefault="006E377C" w:rsidP="000973B8">
            <w:pPr>
              <w:pStyle w:val="TableofFigures"/>
              <w:rPr>
                <w:rFonts w:eastAsia="Times New Roman"/>
              </w:rPr>
            </w:pPr>
            <w:r w:rsidRPr="004B797F">
              <w:rPr>
                <w:rFonts w:eastAsia="Times New Roman"/>
              </w:rPr>
              <w:fldChar w:fldCharType="end"/>
            </w:r>
          </w:p>
        </w:tc>
      </w:tr>
    </w:tbl>
    <w:p w14:paraId="6B58DDDC" w14:textId="77777777" w:rsidR="00051772" w:rsidRPr="004B797F" w:rsidRDefault="00051772" w:rsidP="00051772"/>
    <w:p w14:paraId="4B442DA4" w14:textId="77777777" w:rsidR="00051772" w:rsidRPr="004B797F" w:rsidRDefault="00051772" w:rsidP="00051772">
      <w:pPr>
        <w:keepNext/>
        <w:jc w:val="center"/>
        <w:rPr>
          <w:b/>
          <w:bCs/>
        </w:rPr>
      </w:pPr>
      <w:r w:rsidRPr="004B797F">
        <w:rPr>
          <w:b/>
          <w:bCs/>
        </w:rPr>
        <w:t>List of Tables</w:t>
      </w:r>
    </w:p>
    <w:tbl>
      <w:tblPr>
        <w:tblW w:w="9889" w:type="dxa"/>
        <w:tblLayout w:type="fixed"/>
        <w:tblLook w:val="04A0" w:firstRow="1" w:lastRow="0" w:firstColumn="1" w:lastColumn="0" w:noHBand="0" w:noVBand="1"/>
      </w:tblPr>
      <w:tblGrid>
        <w:gridCol w:w="9889"/>
      </w:tblGrid>
      <w:tr w:rsidR="00051772" w:rsidRPr="004B797F" w14:paraId="09DFA34D" w14:textId="77777777" w:rsidTr="005470E8">
        <w:trPr>
          <w:tblHeader/>
        </w:trPr>
        <w:tc>
          <w:tcPr>
            <w:tcW w:w="9889" w:type="dxa"/>
          </w:tcPr>
          <w:p w14:paraId="1197DC00" w14:textId="77777777" w:rsidR="00051772" w:rsidRPr="004B797F" w:rsidRDefault="00051772" w:rsidP="005470E8">
            <w:pPr>
              <w:pStyle w:val="toc0"/>
              <w:keepNext/>
            </w:pPr>
            <w:r w:rsidRPr="004B797F">
              <w:tab/>
              <w:t>Page</w:t>
            </w:r>
          </w:p>
        </w:tc>
      </w:tr>
      <w:tr w:rsidR="00051772" w:rsidRPr="004B797F" w14:paraId="0532EE17" w14:textId="77777777" w:rsidTr="005470E8">
        <w:tc>
          <w:tcPr>
            <w:tcW w:w="9889" w:type="dxa"/>
          </w:tcPr>
          <w:p w14:paraId="63887665" w14:textId="77777777" w:rsidR="00051772" w:rsidRPr="004B797F" w:rsidRDefault="00051772" w:rsidP="005470E8">
            <w:pPr>
              <w:pStyle w:val="TableofFigures"/>
              <w:rPr>
                <w:rFonts w:eastAsia="Times New Roman"/>
              </w:rPr>
            </w:pPr>
            <w:r w:rsidRPr="004B797F">
              <w:rPr>
                <w:rFonts w:eastAsia="Times New Roman"/>
              </w:rPr>
              <w:fldChar w:fldCharType="begin"/>
            </w:r>
            <w:r w:rsidRPr="004B797F">
              <w:rPr>
                <w:rFonts w:eastAsia="Times New Roman"/>
              </w:rPr>
              <w:instrText xml:space="preserve"> TOC \h \z \t "Table_No &amp; title" \c </w:instrText>
            </w:r>
            <w:r w:rsidRPr="004B797F">
              <w:rPr>
                <w:rFonts w:eastAsia="Times New Roman"/>
              </w:rPr>
              <w:fldChar w:fldCharType="separate"/>
            </w:r>
            <w:r>
              <w:rPr>
                <w:rFonts w:eastAsia="Times New Roman"/>
                <w:b/>
                <w:bCs/>
                <w:noProof/>
                <w:lang w:val="en-US"/>
              </w:rPr>
              <w:t>No table of figures entries found.</w:t>
            </w:r>
            <w:r w:rsidRPr="004B797F">
              <w:rPr>
                <w:rFonts w:eastAsia="Times New Roman"/>
              </w:rPr>
              <w:fldChar w:fldCharType="end"/>
            </w:r>
          </w:p>
        </w:tc>
      </w:tr>
    </w:tbl>
    <w:p w14:paraId="64B0CB8B" w14:textId="77777777" w:rsidR="006E377C" w:rsidRPr="007F15CA" w:rsidRDefault="006E377C" w:rsidP="006E377C"/>
    <w:p w14:paraId="6D7D7DE4" w14:textId="77777777" w:rsidR="006E377C" w:rsidRDefault="006E377C" w:rsidP="006E377C"/>
    <w:p w14:paraId="02539156" w14:textId="77777777" w:rsidR="006E377C" w:rsidRPr="007777D2" w:rsidRDefault="006E377C" w:rsidP="006E377C">
      <w:pPr>
        <w:sectPr w:rsidR="006E377C" w:rsidRPr="007777D2" w:rsidSect="00BF75F5">
          <w:headerReference w:type="even" r:id="rId16"/>
          <w:headerReference w:type="default" r:id="rId17"/>
          <w:footerReference w:type="default" r:id="rId18"/>
          <w:headerReference w:type="first" r:id="rId19"/>
          <w:footerReference w:type="first" r:id="rId20"/>
          <w:pgSz w:w="11907" w:h="16840" w:code="9"/>
          <w:pgMar w:top="851" w:right="1134" w:bottom="851" w:left="1134" w:header="567" w:footer="567" w:gutter="0"/>
          <w:pgNumType w:fmt="lowerRoman" w:start="1"/>
          <w:cols w:space="720"/>
          <w:docGrid w:linePitch="326"/>
        </w:sectPr>
      </w:pPr>
    </w:p>
    <w:p w14:paraId="5AFB4D4F" w14:textId="77777777" w:rsidR="006E377C" w:rsidRDefault="006E377C" w:rsidP="006E377C">
      <w:pPr>
        <w:pStyle w:val="RecNo"/>
      </w:pPr>
      <w:r>
        <w:lastRenderedPageBreak/>
        <w:t>ITU-T FG-AI4H Deliverable 2</w:t>
      </w:r>
    </w:p>
    <w:p w14:paraId="75D1AAF6" w14:textId="77777777" w:rsidR="006E377C" w:rsidRPr="007777D2" w:rsidRDefault="006E377C" w:rsidP="006E377C">
      <w:pPr>
        <w:pStyle w:val="Rectitle"/>
      </w:pPr>
      <w:r w:rsidRPr="00AE37B5">
        <w:rPr>
          <w:bCs/>
        </w:rPr>
        <w:t>Outline describing suggested topics for the regulatory considerations on AI for health working group</w:t>
      </w:r>
    </w:p>
    <w:p w14:paraId="0798995B" w14:textId="77777777" w:rsidR="006E377C" w:rsidRPr="007777D2" w:rsidRDefault="006E377C" w:rsidP="006E377C">
      <w:pPr>
        <w:rPr>
          <w:lang w:eastAsia="en-US" w:bidi="ar-DZ"/>
        </w:rPr>
      </w:pPr>
    </w:p>
    <w:p w14:paraId="043FE073" w14:textId="77777777" w:rsidR="006E377C" w:rsidRPr="007777D2" w:rsidRDefault="006E377C" w:rsidP="006E377C">
      <w:pPr>
        <w:pStyle w:val="Headingb"/>
      </w:pPr>
      <w:r w:rsidRPr="007777D2">
        <w:t>Summary</w:t>
      </w:r>
    </w:p>
    <w:p w14:paraId="1AF1B3AC" w14:textId="77777777" w:rsidR="00051772" w:rsidRDefault="006E377C" w:rsidP="00051772">
      <w:bookmarkStart w:id="17" w:name="_Toc401158818"/>
      <w:r w:rsidRPr="00EC29E6">
        <w:rPr>
          <w:lang w:bidi="ar-DZ"/>
        </w:rPr>
        <w:t>This document presents regulatory considerations that can be used as a preliminary framework for further discussion by different stakeholders. The high-level overview should further foster the dialogue between different audiences such as developers and regulators. A not fully inclusive list of topics that is presented in this document contains the following topics:</w:t>
      </w:r>
    </w:p>
    <w:p w14:paraId="046A68A0" w14:textId="2A8D7092" w:rsidR="006E377C" w:rsidRPr="00051772" w:rsidRDefault="006E377C" w:rsidP="00051772">
      <w:pPr>
        <w:numPr>
          <w:ilvl w:val="0"/>
          <w:numId w:val="28"/>
        </w:numPr>
        <w:overflowPunct w:val="0"/>
        <w:autoSpaceDE w:val="0"/>
        <w:autoSpaceDN w:val="0"/>
        <w:adjustRightInd w:val="0"/>
        <w:ind w:left="567" w:hanging="567"/>
        <w:textAlignment w:val="baseline"/>
      </w:pPr>
      <w:r w:rsidRPr="00051772">
        <w:t>Pre-specification, Documentation, Transparency, and Traceability as Part of a Quality System</w:t>
      </w:r>
    </w:p>
    <w:p w14:paraId="013C7F45" w14:textId="77777777" w:rsidR="006E377C" w:rsidRPr="00051772" w:rsidRDefault="006E377C" w:rsidP="00051772">
      <w:pPr>
        <w:numPr>
          <w:ilvl w:val="0"/>
          <w:numId w:val="28"/>
        </w:numPr>
        <w:overflowPunct w:val="0"/>
        <w:autoSpaceDE w:val="0"/>
        <w:autoSpaceDN w:val="0"/>
        <w:adjustRightInd w:val="0"/>
        <w:ind w:left="567" w:hanging="567"/>
        <w:textAlignment w:val="baseline"/>
      </w:pPr>
      <w:r w:rsidRPr="00051772">
        <w:t>Risk Management</w:t>
      </w:r>
    </w:p>
    <w:p w14:paraId="08EB35F0" w14:textId="77777777" w:rsidR="006E377C" w:rsidRPr="00051772" w:rsidRDefault="006E377C" w:rsidP="00051772">
      <w:pPr>
        <w:numPr>
          <w:ilvl w:val="0"/>
          <w:numId w:val="28"/>
        </w:numPr>
        <w:overflowPunct w:val="0"/>
        <w:autoSpaceDE w:val="0"/>
        <w:autoSpaceDN w:val="0"/>
        <w:adjustRightInd w:val="0"/>
        <w:ind w:left="567" w:hanging="567"/>
        <w:textAlignment w:val="baseline"/>
      </w:pPr>
      <w:r w:rsidRPr="00051772">
        <w:t>Total Product Lifecycle Approach</w:t>
      </w:r>
    </w:p>
    <w:p w14:paraId="4280F0AF" w14:textId="77777777" w:rsidR="006E377C" w:rsidRPr="00051772" w:rsidRDefault="006E377C" w:rsidP="00051772">
      <w:pPr>
        <w:numPr>
          <w:ilvl w:val="0"/>
          <w:numId w:val="28"/>
        </w:numPr>
        <w:overflowPunct w:val="0"/>
        <w:autoSpaceDE w:val="0"/>
        <w:autoSpaceDN w:val="0"/>
        <w:adjustRightInd w:val="0"/>
        <w:ind w:left="567" w:hanging="567"/>
        <w:textAlignment w:val="baseline"/>
      </w:pPr>
      <w:r w:rsidRPr="00051772">
        <w:t>Relevance and Suitability of the Intended Use</w:t>
      </w:r>
    </w:p>
    <w:p w14:paraId="679E4D44" w14:textId="77777777" w:rsidR="006E377C" w:rsidRPr="00051772" w:rsidRDefault="006E377C" w:rsidP="00051772">
      <w:pPr>
        <w:numPr>
          <w:ilvl w:val="0"/>
          <w:numId w:val="28"/>
        </w:numPr>
        <w:overflowPunct w:val="0"/>
        <w:autoSpaceDE w:val="0"/>
        <w:autoSpaceDN w:val="0"/>
        <w:adjustRightInd w:val="0"/>
        <w:ind w:left="567" w:hanging="567"/>
        <w:textAlignment w:val="baseline"/>
      </w:pPr>
      <w:r w:rsidRPr="00051772">
        <w:t xml:space="preserve">Data Quality </w:t>
      </w:r>
    </w:p>
    <w:p w14:paraId="3F070A36" w14:textId="77777777" w:rsidR="006E377C" w:rsidRPr="00051772" w:rsidRDefault="006E377C" w:rsidP="00051772">
      <w:pPr>
        <w:numPr>
          <w:ilvl w:val="0"/>
          <w:numId w:val="28"/>
        </w:numPr>
        <w:overflowPunct w:val="0"/>
        <w:autoSpaceDE w:val="0"/>
        <w:autoSpaceDN w:val="0"/>
        <w:adjustRightInd w:val="0"/>
        <w:ind w:left="567" w:hanging="567"/>
        <w:textAlignment w:val="baseline"/>
      </w:pPr>
      <w:r w:rsidRPr="00051772">
        <w:t>Analytical and Clinical validation</w:t>
      </w:r>
    </w:p>
    <w:p w14:paraId="0C1F91A9" w14:textId="77777777" w:rsidR="006E377C" w:rsidRPr="00051772" w:rsidRDefault="006E377C" w:rsidP="00051772">
      <w:pPr>
        <w:numPr>
          <w:ilvl w:val="0"/>
          <w:numId w:val="28"/>
        </w:numPr>
        <w:overflowPunct w:val="0"/>
        <w:autoSpaceDE w:val="0"/>
        <w:autoSpaceDN w:val="0"/>
        <w:adjustRightInd w:val="0"/>
        <w:ind w:left="567" w:hanging="567"/>
        <w:textAlignment w:val="baseline"/>
      </w:pPr>
      <w:r w:rsidRPr="00051772">
        <w:t>Ethics and Privacy</w:t>
      </w:r>
    </w:p>
    <w:p w14:paraId="3223C448" w14:textId="77777777" w:rsidR="006E377C" w:rsidRPr="00051772" w:rsidRDefault="006E377C" w:rsidP="00051772">
      <w:pPr>
        <w:numPr>
          <w:ilvl w:val="0"/>
          <w:numId w:val="28"/>
        </w:numPr>
        <w:overflowPunct w:val="0"/>
        <w:autoSpaceDE w:val="0"/>
        <w:autoSpaceDN w:val="0"/>
        <w:adjustRightInd w:val="0"/>
        <w:ind w:left="567" w:hanging="567"/>
        <w:textAlignment w:val="baseline"/>
      </w:pPr>
      <w:r w:rsidRPr="00051772">
        <w:t xml:space="preserve">Engagement </w:t>
      </w:r>
    </w:p>
    <w:p w14:paraId="212DC75D" w14:textId="77777777" w:rsidR="006E377C" w:rsidRPr="00EC29E6" w:rsidRDefault="006E377C" w:rsidP="006E377C">
      <w:pPr>
        <w:pStyle w:val="Heading1"/>
        <w:numPr>
          <w:ilvl w:val="0"/>
          <w:numId w:val="1"/>
        </w:numPr>
        <w:rPr>
          <w:lang w:bidi="ar-DZ"/>
        </w:rPr>
      </w:pPr>
      <w:bookmarkStart w:id="18" w:name="_Toc39498175"/>
      <w:r w:rsidRPr="00EC29E6">
        <w:rPr>
          <w:lang w:bidi="ar-DZ"/>
        </w:rPr>
        <w:t>Scope</w:t>
      </w:r>
      <w:bookmarkEnd w:id="17"/>
      <w:bookmarkEnd w:id="18"/>
    </w:p>
    <w:p w14:paraId="74460004" w14:textId="77777777" w:rsidR="006E377C" w:rsidRPr="00EC29E6" w:rsidRDefault="006E377C" w:rsidP="00051772">
      <w:r w:rsidRPr="00EC29E6">
        <w:t xml:space="preserve">This deliverables document has broad scope in order to be accessible for a wider audience. The non-inclusive list of topics for regulatory considerations in this document can be used as an overview of preliminary basic concepts that are key in regulatory aspects of AI in health. </w:t>
      </w:r>
    </w:p>
    <w:p w14:paraId="3C7B935D" w14:textId="77777777" w:rsidR="006E377C" w:rsidRPr="004B797F" w:rsidRDefault="006E377C" w:rsidP="006E377C">
      <w:pPr>
        <w:pStyle w:val="Heading1"/>
        <w:numPr>
          <w:ilvl w:val="0"/>
          <w:numId w:val="1"/>
        </w:numPr>
        <w:rPr>
          <w:highlight w:val="yellow"/>
          <w:lang w:bidi="ar-DZ"/>
        </w:rPr>
      </w:pPr>
      <w:bookmarkStart w:id="19" w:name="_Toc401158819"/>
      <w:bookmarkStart w:id="20" w:name="_Toc39498176"/>
      <w:r w:rsidRPr="00A6090E">
        <w:rPr>
          <w:lang w:bidi="ar-DZ"/>
        </w:rPr>
        <w:t>References</w:t>
      </w:r>
      <w:bookmarkEnd w:id="19"/>
      <w:r w:rsidRPr="00A6090E">
        <w:rPr>
          <w:lang w:bidi="ar-DZ"/>
        </w:rPr>
        <w:t xml:space="preserve"> [</w:t>
      </w:r>
      <w:r>
        <w:rPr>
          <w:highlight w:val="yellow"/>
          <w:lang w:bidi="ar-DZ"/>
        </w:rPr>
        <w:t>ADD REFERENCES]</w:t>
      </w:r>
      <w:bookmarkEnd w:id="20"/>
    </w:p>
    <w:p w14:paraId="6BD11EA4" w14:textId="77777777" w:rsidR="006E377C" w:rsidRDefault="006E377C" w:rsidP="006E377C">
      <w:pPr>
        <w:numPr>
          <w:ilvl w:val="0"/>
          <w:numId w:val="21"/>
        </w:numPr>
        <w:tabs>
          <w:tab w:val="clear" w:pos="576"/>
        </w:tabs>
        <w:overflowPunct w:val="0"/>
        <w:autoSpaceDE w:val="0"/>
        <w:autoSpaceDN w:val="0"/>
        <w:adjustRightInd w:val="0"/>
        <w:ind w:left="567" w:hanging="567"/>
        <w:textAlignment w:val="baseline"/>
      </w:pPr>
      <w:bookmarkStart w:id="21" w:name="_Hlk39234382"/>
      <w:r>
        <w:t>WHO Document [</w:t>
      </w:r>
      <w:r w:rsidRPr="00A6090E">
        <w:rPr>
          <w:highlight w:val="yellow"/>
        </w:rPr>
        <w:t>add cite</w:t>
      </w:r>
      <w:r>
        <w:t>]</w:t>
      </w:r>
    </w:p>
    <w:bookmarkEnd w:id="21"/>
    <w:p w14:paraId="50915AD6" w14:textId="77777777" w:rsidR="006E377C" w:rsidRDefault="006E377C" w:rsidP="006E377C">
      <w:pPr>
        <w:numPr>
          <w:ilvl w:val="0"/>
          <w:numId w:val="21"/>
        </w:numPr>
        <w:tabs>
          <w:tab w:val="clear" w:pos="576"/>
        </w:tabs>
        <w:overflowPunct w:val="0"/>
        <w:autoSpaceDE w:val="0"/>
        <w:autoSpaceDN w:val="0"/>
        <w:adjustRightInd w:val="0"/>
        <w:ind w:hanging="576"/>
        <w:textAlignment w:val="baseline"/>
      </w:pPr>
      <w:r>
        <w:t>WHO Document [</w:t>
      </w:r>
      <w:r w:rsidRPr="00A6090E">
        <w:rPr>
          <w:highlight w:val="yellow"/>
        </w:rPr>
        <w:t>add cite</w:t>
      </w:r>
      <w:r>
        <w:t>]</w:t>
      </w:r>
    </w:p>
    <w:p w14:paraId="735694E3" w14:textId="77777777" w:rsidR="006E377C" w:rsidRDefault="006E377C" w:rsidP="006E377C">
      <w:pPr>
        <w:numPr>
          <w:ilvl w:val="0"/>
          <w:numId w:val="21"/>
        </w:numPr>
        <w:tabs>
          <w:tab w:val="clear" w:pos="576"/>
        </w:tabs>
        <w:overflowPunct w:val="0"/>
        <w:autoSpaceDE w:val="0"/>
        <w:autoSpaceDN w:val="0"/>
        <w:adjustRightInd w:val="0"/>
        <w:ind w:hanging="576"/>
        <w:textAlignment w:val="baseline"/>
      </w:pPr>
      <w:r>
        <w:t xml:space="preserve">“Software as a Medical Device”: Possible Framework for Risk Categorization and Corresponding Considerations,” </w:t>
      </w:r>
      <w:hyperlink r:id="rId21" w:history="1">
        <w:r w:rsidRPr="00F0195D">
          <w:rPr>
            <w:rStyle w:val="Hyperlink"/>
          </w:rPr>
          <w:t>http://www.imdrf.org/docs/imdrf/final/technical/imdrf-tech-140918-samd-framework-risk-categorization-141013.pdf</w:t>
        </w:r>
      </w:hyperlink>
    </w:p>
    <w:p w14:paraId="5B9ABDCD" w14:textId="77777777" w:rsidR="006E377C" w:rsidRPr="0047450D" w:rsidRDefault="006E377C" w:rsidP="006E377C">
      <w:pPr>
        <w:numPr>
          <w:ilvl w:val="0"/>
          <w:numId w:val="21"/>
        </w:numPr>
        <w:overflowPunct w:val="0"/>
        <w:autoSpaceDE w:val="0"/>
        <w:autoSpaceDN w:val="0"/>
        <w:adjustRightInd w:val="0"/>
        <w:ind w:hanging="576"/>
        <w:textAlignment w:val="baseline"/>
        <w:rPr>
          <w:lang w:bidi="ar-DZ"/>
        </w:rPr>
      </w:pPr>
      <w:r w:rsidRPr="003263EF">
        <w:t>"</w:t>
      </w:r>
      <w:r w:rsidRPr="00AB6BF7">
        <w:t xml:space="preserve"> FDA, </w:t>
      </w:r>
      <w:r w:rsidRPr="00AB6BF7">
        <w:rPr>
          <w:iCs/>
        </w:rPr>
        <w:t>Proposed Regulatory Framework for Modifications to Artificial Intelligence/Machine Learning (AI/ML)—Based Software as a Medical Device(</w:t>
      </w:r>
      <w:proofErr w:type="spellStart"/>
      <w:r w:rsidRPr="00AB6BF7">
        <w:rPr>
          <w:iCs/>
        </w:rPr>
        <w:t>SaMD</w:t>
      </w:r>
      <w:proofErr w:type="spellEnd"/>
      <w:r w:rsidRPr="00AB6BF7">
        <w:rPr>
          <w:iCs/>
        </w:rPr>
        <w:t xml:space="preserve">),”  </w:t>
      </w:r>
      <w:hyperlink r:id="rId22" w:history="1">
        <w:r w:rsidRPr="003263EF">
          <w:rPr>
            <w:rStyle w:val="Hyperlink"/>
            <w:iCs/>
          </w:rPr>
          <w:t>https://www.fda.gov/media/122535/download</w:t>
        </w:r>
      </w:hyperlink>
      <w:r w:rsidRPr="003263EF">
        <w:rPr>
          <w:i/>
          <w:iCs/>
        </w:rPr>
        <w:t> </w:t>
      </w:r>
      <w:bookmarkStart w:id="22" w:name="_Toc401158820"/>
    </w:p>
    <w:p w14:paraId="5A704CB2" w14:textId="77777777" w:rsidR="006E377C" w:rsidRDefault="006E377C" w:rsidP="006E377C">
      <w:pPr>
        <w:numPr>
          <w:ilvl w:val="0"/>
          <w:numId w:val="21"/>
        </w:numPr>
        <w:overflowPunct w:val="0"/>
        <w:autoSpaceDE w:val="0"/>
        <w:autoSpaceDN w:val="0"/>
        <w:adjustRightInd w:val="0"/>
        <w:ind w:hanging="576"/>
        <w:textAlignment w:val="baseline"/>
      </w:pPr>
      <w:r>
        <w:t xml:space="preserve">“Software as a Medical Device (SAMD): Clinical Evaluation,”  </w:t>
      </w:r>
      <w:hyperlink r:id="rId23" w:history="1">
        <w:r w:rsidRPr="000615EE">
          <w:rPr>
            <w:rStyle w:val="Hyperlink"/>
          </w:rPr>
          <w:t>http://www.imdrf.org/docs/imdrf/final/technical/imdrf-tech-170921-samd-n41-clinical-evaluation_1.pdf</w:t>
        </w:r>
      </w:hyperlink>
    </w:p>
    <w:p w14:paraId="213B1FBC" w14:textId="77777777" w:rsidR="006E377C" w:rsidRDefault="006E377C" w:rsidP="006E377C">
      <w:pPr>
        <w:pStyle w:val="Heading1"/>
        <w:numPr>
          <w:ilvl w:val="0"/>
          <w:numId w:val="1"/>
        </w:numPr>
        <w:rPr>
          <w:lang w:bidi="ar-DZ"/>
        </w:rPr>
      </w:pPr>
      <w:bookmarkStart w:id="23" w:name="_Toc39498177"/>
      <w:r>
        <w:rPr>
          <w:lang w:bidi="ar-DZ"/>
        </w:rPr>
        <w:t>Terms and definitions</w:t>
      </w:r>
      <w:bookmarkEnd w:id="22"/>
      <w:bookmarkEnd w:id="23"/>
    </w:p>
    <w:p w14:paraId="743D2551" w14:textId="77777777" w:rsidR="006E377C" w:rsidRDefault="006E377C" w:rsidP="006E377C">
      <w:pPr>
        <w:pStyle w:val="Heading2"/>
        <w:numPr>
          <w:ilvl w:val="1"/>
          <w:numId w:val="1"/>
        </w:numPr>
        <w:rPr>
          <w:lang w:bidi="ar-DZ"/>
        </w:rPr>
      </w:pPr>
      <w:bookmarkStart w:id="24" w:name="_Toc401158821"/>
      <w:bookmarkStart w:id="25" w:name="_Toc39498178"/>
      <w:r>
        <w:rPr>
          <w:lang w:bidi="ar-DZ"/>
        </w:rPr>
        <w:t>Terms defined elsewhere</w:t>
      </w:r>
      <w:bookmarkEnd w:id="24"/>
      <w:bookmarkEnd w:id="25"/>
    </w:p>
    <w:p w14:paraId="68CD9334" w14:textId="77777777" w:rsidR="006E377C" w:rsidRDefault="006E377C" w:rsidP="006E377C">
      <w:r w:rsidRPr="0078001F">
        <w:t xml:space="preserve">This </w:t>
      </w:r>
      <w:r>
        <w:t>document</w:t>
      </w:r>
      <w:r w:rsidRPr="0078001F">
        <w:t xml:space="preserve"> uses the following terms defined elsewhere</w:t>
      </w:r>
      <w:r>
        <w:t>:</w:t>
      </w:r>
    </w:p>
    <w:p w14:paraId="3195189E" w14:textId="77777777" w:rsidR="006E377C" w:rsidRPr="009635CB" w:rsidRDefault="006E377C" w:rsidP="00051772">
      <w:pPr>
        <w:rPr>
          <w:lang w:bidi="ar-DZ"/>
        </w:rPr>
      </w:pPr>
      <w:r w:rsidRPr="009635CB">
        <w:rPr>
          <w:b/>
          <w:bCs/>
        </w:rPr>
        <w:t>3.1.</w:t>
      </w:r>
      <w:r w:rsidRPr="009635CB">
        <w:rPr>
          <w:b/>
          <w:bCs/>
        </w:rPr>
        <w:fldChar w:fldCharType="begin"/>
      </w:r>
      <w:r w:rsidRPr="009635CB">
        <w:rPr>
          <w:b/>
          <w:bCs/>
        </w:rPr>
        <w:instrText xml:space="preserve"> SEQ DEF31 </w:instrText>
      </w:r>
      <w:r w:rsidRPr="009635CB">
        <w:rPr>
          <w:b/>
          <w:bCs/>
        </w:rPr>
        <w:fldChar w:fldCharType="separate"/>
      </w:r>
      <w:r>
        <w:rPr>
          <w:b/>
          <w:bCs/>
          <w:noProof/>
        </w:rPr>
        <w:t>1</w:t>
      </w:r>
      <w:r w:rsidRPr="009635CB">
        <w:rPr>
          <w:b/>
          <w:bCs/>
        </w:rPr>
        <w:fldChar w:fldCharType="end"/>
      </w:r>
      <w:r w:rsidRPr="009635CB">
        <w:rPr>
          <w:b/>
          <w:bCs/>
        </w:rPr>
        <w:tab/>
      </w:r>
      <w:bookmarkStart w:id="26" w:name="_Toc401158822"/>
      <w:r>
        <w:rPr>
          <w:b/>
          <w:bCs/>
        </w:rPr>
        <w:t>Software</w:t>
      </w:r>
      <w:r>
        <w:rPr>
          <w:b/>
        </w:rPr>
        <w:t xml:space="preserve"> as a Medical Device</w:t>
      </w:r>
      <w:r>
        <w:t xml:space="preserve"> [1]: Software intended to be used for one or more medical purposes that perform these purposes without being part of a hardware medical device</w:t>
      </w:r>
      <w:r>
        <w:rPr>
          <w:lang w:bidi="ar-DZ"/>
        </w:rPr>
        <w:t xml:space="preserve"> Terms defined here</w:t>
      </w:r>
      <w:bookmarkEnd w:id="26"/>
    </w:p>
    <w:p w14:paraId="3FDE405D" w14:textId="77777777" w:rsidR="006E377C" w:rsidRPr="00650EC2" w:rsidRDefault="006E377C" w:rsidP="006E377C">
      <w:r w:rsidRPr="0078001F">
        <w:lastRenderedPageBreak/>
        <w:t xml:space="preserve">This </w:t>
      </w:r>
      <w:r>
        <w:t>document</w:t>
      </w:r>
      <w:r w:rsidRPr="0078001F">
        <w:t xml:space="preserve"> defines the following terms</w:t>
      </w:r>
      <w:r>
        <w:t>:</w:t>
      </w:r>
    </w:p>
    <w:p w14:paraId="4C57F6E4" w14:textId="77777777" w:rsidR="006E377C" w:rsidRDefault="006E377C" w:rsidP="00051772">
      <w:r w:rsidRPr="009635CB">
        <w:rPr>
          <w:b/>
          <w:bCs/>
        </w:rPr>
        <w:t>3.</w:t>
      </w:r>
      <w:r>
        <w:rPr>
          <w:b/>
          <w:bCs/>
        </w:rPr>
        <w:t>2</w:t>
      </w:r>
      <w:r w:rsidRPr="009635CB">
        <w:rPr>
          <w:b/>
          <w:bCs/>
        </w:rPr>
        <w:t>.</w:t>
      </w:r>
      <w:r w:rsidRPr="009635CB">
        <w:rPr>
          <w:b/>
          <w:bCs/>
        </w:rPr>
        <w:fldChar w:fldCharType="begin"/>
      </w:r>
      <w:r w:rsidRPr="009635CB">
        <w:rPr>
          <w:b/>
          <w:bCs/>
        </w:rPr>
        <w:instrText xml:space="preserve"> SEQ D</w:instrText>
      </w:r>
      <w:r>
        <w:rPr>
          <w:b/>
          <w:bCs/>
        </w:rPr>
        <w:instrText>EF32</w:instrText>
      </w:r>
      <w:r w:rsidRPr="009635CB">
        <w:rPr>
          <w:b/>
          <w:bCs/>
        </w:rPr>
        <w:instrText xml:space="preserve"> </w:instrText>
      </w:r>
      <w:r w:rsidRPr="009635CB">
        <w:rPr>
          <w:b/>
          <w:bCs/>
        </w:rPr>
        <w:fldChar w:fldCharType="separate"/>
      </w:r>
      <w:r>
        <w:rPr>
          <w:b/>
          <w:bCs/>
          <w:noProof/>
        </w:rPr>
        <w:t>1</w:t>
      </w:r>
      <w:r w:rsidRPr="009635CB">
        <w:rPr>
          <w:b/>
          <w:bCs/>
        </w:rPr>
        <w:fldChar w:fldCharType="end"/>
      </w:r>
      <w:r w:rsidRPr="009635CB">
        <w:rPr>
          <w:b/>
          <w:bCs/>
        </w:rPr>
        <w:tab/>
      </w:r>
      <w:r>
        <w:rPr>
          <w:b/>
          <w:bCs/>
        </w:rPr>
        <w:t>AI Solution</w:t>
      </w:r>
      <w:r w:rsidRPr="009635CB">
        <w:rPr>
          <w:b/>
          <w:bCs/>
        </w:rPr>
        <w:t>:</w:t>
      </w:r>
      <w:r>
        <w:rPr>
          <w:b/>
          <w:bCs/>
        </w:rPr>
        <w:t xml:space="preserve"> </w:t>
      </w:r>
      <w:r w:rsidRPr="002318EF">
        <w:t>For the purposes of this document, “AI solutions” includes multiple technologies such as machine learning</w:t>
      </w:r>
      <w:r>
        <w:t xml:space="preserve"> (ML)</w:t>
      </w:r>
      <w:r w:rsidRPr="002318EF">
        <w:t>, deep learning, computer vision, neural networks, and natural language processing (NLP) that, individually or in combination, add intelligence to applications.</w:t>
      </w:r>
    </w:p>
    <w:p w14:paraId="65A77120" w14:textId="77777777" w:rsidR="006E377C" w:rsidRPr="00467172" w:rsidRDefault="006E377C" w:rsidP="006E377C">
      <w:pPr>
        <w:pStyle w:val="Heading1"/>
        <w:numPr>
          <w:ilvl w:val="0"/>
          <w:numId w:val="1"/>
        </w:numPr>
        <w:rPr>
          <w:lang w:bidi="ar-DZ"/>
        </w:rPr>
      </w:pPr>
      <w:bookmarkStart w:id="27" w:name="_Toc401158823"/>
      <w:bookmarkStart w:id="28" w:name="_Toc39498179"/>
      <w:r w:rsidRPr="00467172">
        <w:rPr>
          <w:lang w:bidi="ar-DZ"/>
        </w:rPr>
        <w:t>Abbreviations</w:t>
      </w:r>
      <w:bookmarkEnd w:id="27"/>
      <w:bookmarkEnd w:id="28"/>
    </w:p>
    <w:tbl>
      <w:tblPr>
        <w:tblW w:w="0" w:type="auto"/>
        <w:tblLook w:val="01E0" w:firstRow="1" w:lastRow="1" w:firstColumn="1" w:lastColumn="1" w:noHBand="0" w:noVBand="0"/>
      </w:tblPr>
      <w:tblGrid>
        <w:gridCol w:w="1368"/>
        <w:gridCol w:w="8208"/>
      </w:tblGrid>
      <w:tr w:rsidR="006E377C" w:rsidRPr="00320C88" w14:paraId="6B013812" w14:textId="77777777" w:rsidTr="000973B8">
        <w:tc>
          <w:tcPr>
            <w:tcW w:w="1368" w:type="dxa"/>
          </w:tcPr>
          <w:p w14:paraId="63ABD2D5" w14:textId="77777777" w:rsidR="006E377C" w:rsidRPr="009635CB" w:rsidRDefault="006E377C" w:rsidP="000973B8">
            <w:pPr>
              <w:rPr>
                <w:highlight w:val="yellow"/>
              </w:rPr>
            </w:pPr>
            <w:r w:rsidRPr="00AE37B5">
              <w:t>AI</w:t>
            </w:r>
          </w:p>
        </w:tc>
        <w:tc>
          <w:tcPr>
            <w:tcW w:w="8208" w:type="dxa"/>
          </w:tcPr>
          <w:p w14:paraId="51C41908" w14:textId="77777777" w:rsidR="006E377C" w:rsidRPr="009635CB" w:rsidRDefault="006E377C" w:rsidP="000973B8">
            <w:r>
              <w:t>Artificial intelligence</w:t>
            </w:r>
          </w:p>
        </w:tc>
      </w:tr>
      <w:tr w:rsidR="006E377C" w:rsidRPr="00320C88" w14:paraId="6AD278C1" w14:textId="77777777" w:rsidTr="000973B8">
        <w:tc>
          <w:tcPr>
            <w:tcW w:w="1368" w:type="dxa"/>
          </w:tcPr>
          <w:p w14:paraId="28D10785" w14:textId="77777777" w:rsidR="006E377C" w:rsidRPr="00320C88" w:rsidRDefault="006E377C" w:rsidP="000973B8">
            <w:pPr>
              <w:rPr>
                <w:rFonts w:eastAsia="Times New Roman"/>
                <w:lang w:bidi="ar-DZ"/>
              </w:rPr>
            </w:pPr>
            <w:r>
              <w:t>AI4H</w:t>
            </w:r>
          </w:p>
        </w:tc>
        <w:tc>
          <w:tcPr>
            <w:tcW w:w="8208" w:type="dxa"/>
          </w:tcPr>
          <w:p w14:paraId="761A5241" w14:textId="77777777" w:rsidR="006E377C" w:rsidRPr="00320C88" w:rsidRDefault="006E377C" w:rsidP="000973B8">
            <w:pPr>
              <w:rPr>
                <w:rFonts w:eastAsia="Times New Roman"/>
                <w:lang w:bidi="ar-DZ"/>
              </w:rPr>
            </w:pPr>
            <w:r>
              <w:t>Artificial intelligence for health</w:t>
            </w:r>
          </w:p>
        </w:tc>
      </w:tr>
      <w:tr w:rsidR="006E377C" w:rsidRPr="00320C88" w14:paraId="694CE593" w14:textId="77777777" w:rsidTr="000973B8">
        <w:tc>
          <w:tcPr>
            <w:tcW w:w="1368" w:type="dxa"/>
          </w:tcPr>
          <w:p w14:paraId="276F68BE" w14:textId="77777777" w:rsidR="006E377C" w:rsidRPr="00320C88" w:rsidRDefault="006E377C" w:rsidP="000973B8">
            <w:pPr>
              <w:rPr>
                <w:rFonts w:eastAsia="Times New Roman"/>
                <w:lang w:bidi="ar-DZ"/>
              </w:rPr>
            </w:pPr>
            <w:r>
              <w:t>FDA</w:t>
            </w:r>
          </w:p>
        </w:tc>
        <w:tc>
          <w:tcPr>
            <w:tcW w:w="8208" w:type="dxa"/>
          </w:tcPr>
          <w:p w14:paraId="781218C3" w14:textId="77777777" w:rsidR="006E377C" w:rsidRPr="00320C88" w:rsidRDefault="006E377C" w:rsidP="000973B8">
            <w:pPr>
              <w:rPr>
                <w:rFonts w:eastAsia="Times New Roman"/>
                <w:lang w:bidi="ar-DZ"/>
              </w:rPr>
            </w:pPr>
            <w:r>
              <w:t>Food and Drug Administration</w:t>
            </w:r>
          </w:p>
        </w:tc>
      </w:tr>
      <w:tr w:rsidR="006E377C" w:rsidRPr="00320C88" w14:paraId="15006D93" w14:textId="77777777" w:rsidTr="000973B8">
        <w:tc>
          <w:tcPr>
            <w:tcW w:w="1368" w:type="dxa"/>
          </w:tcPr>
          <w:p w14:paraId="4610389B" w14:textId="77777777" w:rsidR="006E377C" w:rsidRPr="00320C88" w:rsidRDefault="006E377C" w:rsidP="000973B8">
            <w:pPr>
              <w:rPr>
                <w:rFonts w:eastAsia="Times New Roman"/>
                <w:lang w:bidi="ar-DZ"/>
              </w:rPr>
            </w:pPr>
            <w:r>
              <w:t>IMDRF</w:t>
            </w:r>
          </w:p>
        </w:tc>
        <w:tc>
          <w:tcPr>
            <w:tcW w:w="8208" w:type="dxa"/>
          </w:tcPr>
          <w:p w14:paraId="775863FA" w14:textId="77777777" w:rsidR="006E377C" w:rsidRPr="00320C88" w:rsidRDefault="006E377C" w:rsidP="000973B8">
            <w:pPr>
              <w:rPr>
                <w:rFonts w:eastAsia="Times New Roman"/>
                <w:lang w:bidi="ar-DZ"/>
              </w:rPr>
            </w:pPr>
            <w:r>
              <w:t>International Medical Device Regulators Forum</w:t>
            </w:r>
          </w:p>
        </w:tc>
      </w:tr>
      <w:tr w:rsidR="006E377C" w:rsidRPr="00320C88" w14:paraId="66929A64" w14:textId="77777777" w:rsidTr="000973B8">
        <w:tc>
          <w:tcPr>
            <w:tcW w:w="1368" w:type="dxa"/>
          </w:tcPr>
          <w:p w14:paraId="4C786EB4" w14:textId="77777777" w:rsidR="006E377C" w:rsidRPr="00320C88" w:rsidRDefault="006E377C" w:rsidP="000973B8">
            <w:pPr>
              <w:rPr>
                <w:rFonts w:eastAsia="Times New Roman"/>
                <w:lang w:bidi="ar-DZ"/>
              </w:rPr>
            </w:pPr>
            <w:r>
              <w:t>ITU</w:t>
            </w:r>
          </w:p>
        </w:tc>
        <w:tc>
          <w:tcPr>
            <w:tcW w:w="8208" w:type="dxa"/>
          </w:tcPr>
          <w:p w14:paraId="433BC21D" w14:textId="77777777" w:rsidR="006E377C" w:rsidRPr="00320C88" w:rsidRDefault="006E377C" w:rsidP="000973B8">
            <w:pPr>
              <w:rPr>
                <w:rFonts w:eastAsia="Times New Roman"/>
                <w:lang w:bidi="ar-DZ"/>
              </w:rPr>
            </w:pPr>
            <w:r>
              <w:t>International Telecommunication Union</w:t>
            </w:r>
          </w:p>
        </w:tc>
      </w:tr>
      <w:tr w:rsidR="006E377C" w:rsidRPr="00320C88" w14:paraId="694A68CF" w14:textId="77777777" w:rsidTr="000973B8">
        <w:tc>
          <w:tcPr>
            <w:tcW w:w="1368" w:type="dxa"/>
          </w:tcPr>
          <w:p w14:paraId="2139CF96" w14:textId="77777777" w:rsidR="006E377C" w:rsidRPr="00320C88" w:rsidRDefault="006E377C" w:rsidP="000973B8">
            <w:pPr>
              <w:rPr>
                <w:rFonts w:eastAsia="Times New Roman"/>
                <w:lang w:bidi="ar-DZ"/>
              </w:rPr>
            </w:pPr>
            <w:proofErr w:type="spellStart"/>
            <w:r>
              <w:t>SaMD</w:t>
            </w:r>
            <w:proofErr w:type="spellEnd"/>
          </w:p>
        </w:tc>
        <w:tc>
          <w:tcPr>
            <w:tcW w:w="8208" w:type="dxa"/>
          </w:tcPr>
          <w:p w14:paraId="41DD7E7D" w14:textId="77777777" w:rsidR="006E377C" w:rsidRPr="00320C88" w:rsidRDefault="006E377C" w:rsidP="000973B8">
            <w:pPr>
              <w:rPr>
                <w:rFonts w:eastAsia="Times New Roman"/>
                <w:lang w:bidi="ar-DZ"/>
              </w:rPr>
            </w:pPr>
            <w:r>
              <w:t>Software-as-a-medical device</w:t>
            </w:r>
          </w:p>
        </w:tc>
      </w:tr>
      <w:tr w:rsidR="006E377C" w:rsidRPr="00320C88" w14:paraId="069FB88E" w14:textId="77777777" w:rsidTr="000973B8">
        <w:tc>
          <w:tcPr>
            <w:tcW w:w="1368" w:type="dxa"/>
          </w:tcPr>
          <w:p w14:paraId="66A3C083" w14:textId="77777777" w:rsidR="006E377C" w:rsidRPr="00320C88" w:rsidRDefault="006E377C" w:rsidP="000973B8">
            <w:pPr>
              <w:rPr>
                <w:rFonts w:eastAsia="Times New Roman"/>
                <w:lang w:bidi="ar-DZ"/>
              </w:rPr>
            </w:pPr>
            <w:r>
              <w:t>WG-RC</w:t>
            </w:r>
          </w:p>
        </w:tc>
        <w:tc>
          <w:tcPr>
            <w:tcW w:w="8208" w:type="dxa"/>
          </w:tcPr>
          <w:p w14:paraId="331D5056" w14:textId="77777777" w:rsidR="006E377C" w:rsidRPr="00320C88" w:rsidRDefault="006E377C" w:rsidP="000973B8">
            <w:pPr>
              <w:rPr>
                <w:rFonts w:eastAsia="Times New Roman"/>
                <w:lang w:bidi="ar-DZ"/>
              </w:rPr>
            </w:pPr>
            <w:r>
              <w:t>Working group on Regulatory considerations</w:t>
            </w:r>
          </w:p>
        </w:tc>
      </w:tr>
      <w:tr w:rsidR="006E377C" w:rsidRPr="00320C88" w14:paraId="4C25CD74" w14:textId="77777777" w:rsidTr="000973B8">
        <w:tc>
          <w:tcPr>
            <w:tcW w:w="1368" w:type="dxa"/>
          </w:tcPr>
          <w:p w14:paraId="3877D3BD" w14:textId="77777777" w:rsidR="006E377C" w:rsidRPr="00320C88" w:rsidRDefault="006E377C" w:rsidP="000973B8">
            <w:pPr>
              <w:rPr>
                <w:rFonts w:eastAsia="Times New Roman"/>
                <w:lang w:bidi="ar-DZ"/>
              </w:rPr>
            </w:pPr>
            <w:r>
              <w:t>WHO</w:t>
            </w:r>
          </w:p>
        </w:tc>
        <w:tc>
          <w:tcPr>
            <w:tcW w:w="8208" w:type="dxa"/>
          </w:tcPr>
          <w:p w14:paraId="6802BD51" w14:textId="77777777" w:rsidR="006E377C" w:rsidRPr="00320C88" w:rsidRDefault="006E377C" w:rsidP="000973B8">
            <w:pPr>
              <w:rPr>
                <w:rFonts w:eastAsia="Times New Roman"/>
                <w:lang w:bidi="ar-DZ"/>
              </w:rPr>
            </w:pPr>
            <w:r>
              <w:t>World Health Organization</w:t>
            </w:r>
          </w:p>
        </w:tc>
      </w:tr>
      <w:tr w:rsidR="006E377C" w:rsidRPr="00320C88" w14:paraId="33C274FA" w14:textId="77777777" w:rsidTr="000973B8">
        <w:tc>
          <w:tcPr>
            <w:tcW w:w="1368" w:type="dxa"/>
          </w:tcPr>
          <w:p w14:paraId="6147ACBC" w14:textId="77777777" w:rsidR="006E377C" w:rsidRPr="00320C88" w:rsidRDefault="006E377C" w:rsidP="000973B8">
            <w:pPr>
              <w:rPr>
                <w:rFonts w:eastAsia="Times New Roman"/>
                <w:lang w:bidi="ar-DZ"/>
              </w:rPr>
            </w:pPr>
            <w:r>
              <w:rPr>
                <w:rFonts w:eastAsia="Times New Roman"/>
                <w:lang w:bidi="ar-DZ"/>
              </w:rPr>
              <w:t>ML</w:t>
            </w:r>
          </w:p>
        </w:tc>
        <w:tc>
          <w:tcPr>
            <w:tcW w:w="8208" w:type="dxa"/>
          </w:tcPr>
          <w:p w14:paraId="15BAA116" w14:textId="77777777" w:rsidR="006E377C" w:rsidRPr="00320C88" w:rsidRDefault="006E377C" w:rsidP="000973B8">
            <w:pPr>
              <w:rPr>
                <w:rFonts w:eastAsia="Times New Roman"/>
                <w:lang w:bidi="ar-DZ"/>
              </w:rPr>
            </w:pPr>
            <w:r>
              <w:rPr>
                <w:rFonts w:eastAsia="Times New Roman"/>
                <w:lang w:bidi="ar-DZ"/>
              </w:rPr>
              <w:t>Machine Learning</w:t>
            </w:r>
          </w:p>
        </w:tc>
      </w:tr>
      <w:tr w:rsidR="006E377C" w:rsidRPr="00320C88" w14:paraId="375015AB" w14:textId="77777777" w:rsidTr="000973B8">
        <w:tc>
          <w:tcPr>
            <w:tcW w:w="1368" w:type="dxa"/>
          </w:tcPr>
          <w:p w14:paraId="460E6633" w14:textId="77777777" w:rsidR="006E377C" w:rsidRPr="00320C88" w:rsidRDefault="006E377C" w:rsidP="000973B8">
            <w:pPr>
              <w:rPr>
                <w:rFonts w:eastAsia="Times New Roman"/>
                <w:lang w:bidi="ar-DZ"/>
              </w:rPr>
            </w:pPr>
          </w:p>
        </w:tc>
        <w:tc>
          <w:tcPr>
            <w:tcW w:w="8208" w:type="dxa"/>
          </w:tcPr>
          <w:p w14:paraId="31738207" w14:textId="77777777" w:rsidR="006E377C" w:rsidRPr="00320C88" w:rsidRDefault="006E377C" w:rsidP="000973B8">
            <w:pPr>
              <w:rPr>
                <w:rFonts w:eastAsia="Times New Roman"/>
                <w:lang w:bidi="ar-DZ"/>
              </w:rPr>
            </w:pPr>
          </w:p>
        </w:tc>
      </w:tr>
    </w:tbl>
    <w:p w14:paraId="165C13C5" w14:textId="77777777" w:rsidR="006E377C" w:rsidRDefault="006E377C" w:rsidP="006E377C">
      <w:pPr>
        <w:pStyle w:val="Heading1"/>
        <w:numPr>
          <w:ilvl w:val="0"/>
          <w:numId w:val="1"/>
        </w:numPr>
        <w:rPr>
          <w:lang w:bidi="ar-DZ"/>
        </w:rPr>
      </w:pPr>
      <w:bookmarkStart w:id="29" w:name="_Toc401158824"/>
      <w:bookmarkStart w:id="30" w:name="_Toc39498180"/>
      <w:r>
        <w:rPr>
          <w:lang w:bidi="ar-DZ"/>
        </w:rPr>
        <w:t>Conventions of some regulatory considerations for AI for health</w:t>
      </w:r>
      <w:bookmarkEnd w:id="30"/>
    </w:p>
    <w:p w14:paraId="656F2D74" w14:textId="77777777" w:rsidR="006E377C" w:rsidRDefault="006E377C" w:rsidP="006E377C">
      <w:pPr>
        <w:pStyle w:val="Heading2"/>
        <w:numPr>
          <w:ilvl w:val="1"/>
          <w:numId w:val="1"/>
        </w:numPr>
        <w:rPr>
          <w:lang w:val="en-US"/>
        </w:rPr>
      </w:pPr>
      <w:bookmarkStart w:id="31" w:name="_Toc39498181"/>
      <w:r w:rsidRPr="5F5E0B87">
        <w:rPr>
          <w:lang w:val="en-US"/>
        </w:rPr>
        <w:t>Scope and structure of the field of AI for health</w:t>
      </w:r>
      <w:bookmarkEnd w:id="31"/>
    </w:p>
    <w:p w14:paraId="752FA084" w14:textId="77777777" w:rsidR="006E377C" w:rsidRPr="00203615" w:rsidRDefault="006E377C" w:rsidP="00051772">
      <w:r w:rsidRPr="5F5E0B87">
        <w:t>Many health-related AI solutions already exist or are continuously being developed to meet a variety of stakeholders’ needs in healthcare and therapeutic development. These solutions have wide-ranging uses across the spectrum of development and healthcare delivery:</w:t>
      </w:r>
    </w:p>
    <w:p w14:paraId="57487BBA" w14:textId="77777777" w:rsidR="006E377C" w:rsidRDefault="006E377C" w:rsidP="00051772">
      <w:pPr>
        <w:pStyle w:val="Figure"/>
        <w:rPr>
          <w:lang w:val="en-US"/>
        </w:rPr>
      </w:pPr>
      <w:r>
        <w:rPr>
          <w:noProof/>
        </w:rPr>
        <w:drawing>
          <wp:inline distT="0" distB="0" distL="0" distR="0" wp14:anchorId="44ADBE8A" wp14:editId="58739251">
            <wp:extent cx="5772150" cy="1670050"/>
            <wp:effectExtent l="0" t="0" r="0" b="6350"/>
            <wp:docPr id="2046367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2150" cy="1670050"/>
                    </a:xfrm>
                    <a:prstGeom prst="rect">
                      <a:avLst/>
                    </a:prstGeom>
                  </pic:spPr>
                </pic:pic>
              </a:graphicData>
            </a:graphic>
          </wp:inline>
        </w:drawing>
      </w:r>
    </w:p>
    <w:p w14:paraId="588AA6BC" w14:textId="77777777" w:rsidR="009718B4" w:rsidRPr="00203615" w:rsidRDefault="009718B4" w:rsidP="006E377C">
      <w:pPr>
        <w:pStyle w:val="FigureNotitle"/>
        <w:rPr>
          <w:rFonts w:eastAsia="Times New Roman"/>
          <w:sz w:val="22"/>
          <w:szCs w:val="22"/>
        </w:rPr>
      </w:pPr>
      <w:bookmarkStart w:id="32" w:name="_Toc39498208"/>
      <w:r w:rsidRPr="00203615">
        <w:rPr>
          <w:sz w:val="22"/>
          <w:szCs w:val="22"/>
          <w:lang w:bidi="ar-DZ"/>
        </w:rPr>
        <w:t>Figure 1: S</w:t>
      </w:r>
      <w:r w:rsidRPr="00203615">
        <w:rPr>
          <w:rFonts w:eastAsia="Times New Roman"/>
          <w:sz w:val="22"/>
          <w:szCs w:val="22"/>
        </w:rPr>
        <w:t xml:space="preserve">pectrum of development and healthcare delivery </w:t>
      </w:r>
      <w:r w:rsidRPr="00203615">
        <w:rPr>
          <w:rFonts w:eastAsia="Times New Roman"/>
          <w:sz w:val="22"/>
          <w:szCs w:val="22"/>
          <w:highlight w:val="yellow"/>
        </w:rPr>
        <w:t>[1]</w:t>
      </w:r>
      <w:bookmarkEnd w:id="32"/>
    </w:p>
    <w:p w14:paraId="56EF74F7" w14:textId="77777777" w:rsidR="006E377C" w:rsidRDefault="006E377C" w:rsidP="00051772">
      <w:pPr>
        <w:rPr>
          <w:lang w:val="en-US"/>
        </w:rPr>
      </w:pPr>
      <w:r w:rsidRPr="5F5E0B87">
        <w:rPr>
          <w:lang w:val="en-US"/>
        </w:rPr>
        <w:t xml:space="preserve">Regulatory considerations may vary depending on </w:t>
      </w:r>
      <w:proofErr w:type="gramStart"/>
      <w:r w:rsidRPr="5F5E0B87">
        <w:rPr>
          <w:lang w:val="en-US"/>
        </w:rPr>
        <w:t>a number of</w:t>
      </w:r>
      <w:proofErr w:type="gramEnd"/>
      <w:r w:rsidRPr="5F5E0B87">
        <w:rPr>
          <w:lang w:val="en-US"/>
        </w:rPr>
        <w:t xml:space="preserve"> factors, including the context of use and the risks involved. This is mainly due to the different levels of risk to end-users and the type of assessment and evaluation that is relevant (see also discussion of these specific considerations under section III). A framework categorizing potential applications of AI solutions will be helpful in determining what regulatory considerations are applicable and how to implement such considerations. Examples of types of applications are (not fully inclusive):</w:t>
      </w:r>
    </w:p>
    <w:p w14:paraId="3B671C8B" w14:textId="77777777" w:rsidR="006E377C" w:rsidRPr="00F72726" w:rsidRDefault="006E377C" w:rsidP="00051772">
      <w:pPr>
        <w:numPr>
          <w:ilvl w:val="0"/>
          <w:numId w:val="26"/>
        </w:numPr>
        <w:overflowPunct w:val="0"/>
        <w:autoSpaceDE w:val="0"/>
        <w:autoSpaceDN w:val="0"/>
        <w:adjustRightInd w:val="0"/>
        <w:ind w:left="567" w:hanging="567"/>
        <w:textAlignment w:val="baseline"/>
        <w:rPr>
          <w:rFonts w:eastAsia="Times New Roman"/>
          <w:lang w:val="en-US"/>
        </w:rPr>
      </w:pPr>
      <w:r w:rsidRPr="5F5E0B87">
        <w:rPr>
          <w:lang w:val="en-US"/>
        </w:rPr>
        <w:t>Devices and applications using AI solutions in the prevention/health promotion space</w:t>
      </w:r>
      <w:r>
        <w:rPr>
          <w:lang w:val="en-US"/>
        </w:rPr>
        <w:t>. For example,</w:t>
      </w:r>
      <w:r w:rsidRPr="5F5E0B87">
        <w:rPr>
          <w:lang w:val="en-US"/>
        </w:rPr>
        <w:t xml:space="preserve"> AI solutions that support patients throughout the phases of the disease, such as supporting adherence to therapeutics, enhancing communication capabilities with care providers, etc.</w:t>
      </w:r>
    </w:p>
    <w:p w14:paraId="7DBEE126" w14:textId="77777777" w:rsidR="006E377C" w:rsidRDefault="006E377C" w:rsidP="00051772">
      <w:pPr>
        <w:numPr>
          <w:ilvl w:val="0"/>
          <w:numId w:val="26"/>
        </w:numPr>
        <w:overflowPunct w:val="0"/>
        <w:autoSpaceDE w:val="0"/>
        <w:autoSpaceDN w:val="0"/>
        <w:adjustRightInd w:val="0"/>
        <w:ind w:left="567" w:hanging="567"/>
        <w:textAlignment w:val="baseline"/>
        <w:rPr>
          <w:rFonts w:eastAsia="Times New Roman"/>
          <w:lang w:val="en-US"/>
        </w:rPr>
      </w:pPr>
      <w:r w:rsidRPr="5F5E0B87">
        <w:rPr>
          <w:lang w:val="en-US"/>
        </w:rPr>
        <w:lastRenderedPageBreak/>
        <w:t>AI solutions that aid in early drug discovery, modelling, and prediction</w:t>
      </w:r>
    </w:p>
    <w:p w14:paraId="1ED07B26" w14:textId="77777777" w:rsidR="006E377C" w:rsidRDefault="006E377C" w:rsidP="00051772">
      <w:pPr>
        <w:numPr>
          <w:ilvl w:val="0"/>
          <w:numId w:val="26"/>
        </w:numPr>
        <w:overflowPunct w:val="0"/>
        <w:autoSpaceDE w:val="0"/>
        <w:autoSpaceDN w:val="0"/>
        <w:adjustRightInd w:val="0"/>
        <w:ind w:left="567" w:hanging="567"/>
        <w:textAlignment w:val="baseline"/>
        <w:rPr>
          <w:lang w:val="en-US"/>
        </w:rPr>
      </w:pPr>
      <w:r w:rsidRPr="5F5E0B87">
        <w:rPr>
          <w:rFonts w:eastAsia="Times New Roman"/>
          <w:lang w:val="en-US"/>
        </w:rPr>
        <w:t>AI solutions that support therapeutic development, including supporting medical device and drug development</w:t>
      </w:r>
      <w:r>
        <w:rPr>
          <w:rFonts w:eastAsia="Times New Roman"/>
          <w:lang w:val="en-US"/>
        </w:rPr>
        <w:t>,</w:t>
      </w:r>
      <w:r w:rsidRPr="5F5E0B87">
        <w:rPr>
          <w:rFonts w:eastAsia="Times New Roman"/>
          <w:lang w:val="en-US"/>
        </w:rPr>
        <w:t xml:space="preserve"> diagnostics</w:t>
      </w:r>
      <w:r>
        <w:rPr>
          <w:rFonts w:eastAsia="Times New Roman"/>
          <w:lang w:val="en-US"/>
        </w:rPr>
        <w:t>,</w:t>
      </w:r>
      <w:r w:rsidRPr="5F5E0B87">
        <w:rPr>
          <w:rFonts w:eastAsia="Times New Roman"/>
          <w:lang w:val="en-US"/>
        </w:rPr>
        <w:t xml:space="preserve"> therapeutic determination</w:t>
      </w:r>
      <w:r>
        <w:rPr>
          <w:rFonts w:eastAsia="Times New Roman"/>
          <w:lang w:val="en-US"/>
        </w:rPr>
        <w:t>,</w:t>
      </w:r>
      <w:r w:rsidRPr="5F5E0B87">
        <w:rPr>
          <w:rFonts w:eastAsia="Times New Roman"/>
          <w:lang w:val="en-US"/>
        </w:rPr>
        <w:t xml:space="preserve"> and clinical decision making, such as:</w:t>
      </w:r>
    </w:p>
    <w:p w14:paraId="3F111C86" w14:textId="77777777" w:rsidR="006E377C" w:rsidRDefault="006E377C" w:rsidP="00051772">
      <w:pPr>
        <w:numPr>
          <w:ilvl w:val="0"/>
          <w:numId w:val="27"/>
        </w:numPr>
        <w:ind w:left="1134" w:hanging="567"/>
        <w:rPr>
          <w:lang w:val="en-US"/>
        </w:rPr>
      </w:pPr>
      <w:r w:rsidRPr="5F5E0B87">
        <w:rPr>
          <w:lang w:val="en-US"/>
        </w:rPr>
        <w:t>AI solutions that facilitate clinical studies and clinical evaluations</w:t>
      </w:r>
    </w:p>
    <w:p w14:paraId="0E80119B" w14:textId="77777777" w:rsidR="006E377C" w:rsidRDefault="006E377C" w:rsidP="00051772">
      <w:pPr>
        <w:numPr>
          <w:ilvl w:val="0"/>
          <w:numId w:val="27"/>
        </w:numPr>
        <w:ind w:left="1134" w:hanging="567"/>
        <w:rPr>
          <w:lang w:val="en-US"/>
        </w:rPr>
      </w:pPr>
      <w:r w:rsidRPr="28D2064B">
        <w:rPr>
          <w:lang w:val="en-US"/>
        </w:rPr>
        <w:t>AI solutions that support diagnostics and disease staging efforts</w:t>
      </w:r>
    </w:p>
    <w:p w14:paraId="62302160" w14:textId="77777777" w:rsidR="006E377C" w:rsidRDefault="006E377C" w:rsidP="00051772">
      <w:pPr>
        <w:numPr>
          <w:ilvl w:val="0"/>
          <w:numId w:val="27"/>
        </w:numPr>
        <w:ind w:left="1134" w:hanging="567"/>
        <w:rPr>
          <w:lang w:val="en-US"/>
        </w:rPr>
      </w:pPr>
      <w:r w:rsidRPr="6ECF8C72">
        <w:rPr>
          <w:lang w:val="en-US"/>
        </w:rPr>
        <w:t>AI solutions that support the determination of appropriate therapeutics and course of therapy</w:t>
      </w:r>
    </w:p>
    <w:p w14:paraId="6B7D574F" w14:textId="77777777" w:rsidR="006E377C" w:rsidRPr="00051772" w:rsidRDefault="006E377C" w:rsidP="00051772">
      <w:pPr>
        <w:rPr>
          <w:i/>
          <w:iCs/>
          <w:lang w:val="en-US"/>
        </w:rPr>
      </w:pPr>
      <w:r w:rsidRPr="00051772">
        <w:rPr>
          <w:i/>
          <w:iCs/>
          <w:lang w:val="en-US"/>
        </w:rPr>
        <w:t>Two to three use cases can be introduced in this section that will be used to illustrate the discussed concepts throughout the document to clarify implications of the discussed considerations.</w:t>
      </w:r>
    </w:p>
    <w:p w14:paraId="428B6012" w14:textId="77777777" w:rsidR="006E377C" w:rsidRPr="002318EF" w:rsidRDefault="006E377C" w:rsidP="006E377C">
      <w:pPr>
        <w:rPr>
          <w:lang w:val="en-US"/>
        </w:rPr>
      </w:pPr>
    </w:p>
    <w:p w14:paraId="77F15B71" w14:textId="77777777" w:rsidR="006E377C" w:rsidRDefault="006E377C" w:rsidP="006E377C">
      <w:pPr>
        <w:pStyle w:val="Heading2"/>
        <w:numPr>
          <w:ilvl w:val="1"/>
          <w:numId w:val="1"/>
        </w:numPr>
        <w:rPr>
          <w:lang w:val="en-US"/>
        </w:rPr>
      </w:pPr>
      <w:bookmarkStart w:id="33" w:name="_Toc39498182"/>
      <w:r w:rsidRPr="28D2064B">
        <w:rPr>
          <w:lang w:val="en-US"/>
        </w:rPr>
        <w:t>Definitions in evaluation and assessment of health applications</w:t>
      </w:r>
      <w:bookmarkEnd w:id="33"/>
    </w:p>
    <w:p w14:paraId="014DF424" w14:textId="77777777" w:rsidR="006E377C" w:rsidRDefault="006E377C" w:rsidP="00051772">
      <w:r>
        <w:t xml:space="preserve">In principle, regulatory mechanisms are in place to answer the question:  Do the available data (included in regulatory submission) support the conclusion that an investigational or experimental therapeutic is safe and effective to justify entry into the market and public access? This is typically determined by assessing if the use of the solution is safe (will not harm the user) and if the claims made about the performance are robust (efficacy). In this document a broader view on regulatory and assessment considerations is given, aiming to also provide a general overview of regulatory considerations. </w:t>
      </w:r>
    </w:p>
    <w:p w14:paraId="3177C168" w14:textId="77777777" w:rsidR="009718B4" w:rsidRPr="00F72726" w:rsidRDefault="009718B4" w:rsidP="00051772">
      <w:pPr>
        <w:pStyle w:val="Figure"/>
        <w:rPr>
          <w:lang w:val="en-US"/>
        </w:rPr>
      </w:pPr>
      <w:r w:rsidRPr="00F72726">
        <w:rPr>
          <w:noProof/>
          <w:lang w:val="en-US"/>
        </w:rPr>
        <w:drawing>
          <wp:inline distT="0" distB="0" distL="0" distR="0" wp14:anchorId="5A438653" wp14:editId="6B850C4B">
            <wp:extent cx="5109795" cy="14738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27504" b="7638"/>
                    <a:stretch/>
                  </pic:blipFill>
                  <pic:spPr bwMode="auto">
                    <a:xfrm>
                      <a:off x="0" y="0"/>
                      <a:ext cx="5111750" cy="1474425"/>
                    </a:xfrm>
                    <a:prstGeom prst="rect">
                      <a:avLst/>
                    </a:prstGeom>
                    <a:noFill/>
                    <a:ln>
                      <a:noFill/>
                    </a:ln>
                    <a:extLst>
                      <a:ext uri="{53640926-AAD7-44D8-BBD7-CCE9431645EC}">
                        <a14:shadowObscured xmlns:a14="http://schemas.microsoft.com/office/drawing/2010/main"/>
                      </a:ext>
                    </a:extLst>
                  </pic:spPr>
                </pic:pic>
              </a:graphicData>
            </a:graphic>
          </wp:inline>
        </w:drawing>
      </w:r>
    </w:p>
    <w:p w14:paraId="412453AC" w14:textId="19D0095F" w:rsidR="006E377C" w:rsidRPr="00203615" w:rsidRDefault="006E377C" w:rsidP="00051772">
      <w:pPr>
        <w:pStyle w:val="FigureNotitle"/>
      </w:pPr>
      <w:bookmarkStart w:id="34" w:name="_Toc39498209"/>
      <w:r w:rsidRPr="00203615">
        <w:t xml:space="preserve">Figure 2: Domains of </w:t>
      </w:r>
      <w:r>
        <w:t>h</w:t>
      </w:r>
      <w:r w:rsidRPr="00203615">
        <w:t xml:space="preserve">ealth technology regulation, assessment </w:t>
      </w:r>
      <w:r w:rsidR="009718B4">
        <w:br/>
      </w:r>
      <w:r w:rsidRPr="00203615">
        <w:t>and management for drugs and devices [2]</w:t>
      </w:r>
      <w:bookmarkEnd w:id="34"/>
    </w:p>
    <w:p w14:paraId="1BC2B8F7" w14:textId="77777777" w:rsidR="006E377C" w:rsidRDefault="006E377C" w:rsidP="006E377C">
      <w:pPr>
        <w:pStyle w:val="Heading1"/>
        <w:numPr>
          <w:ilvl w:val="0"/>
          <w:numId w:val="1"/>
        </w:numPr>
        <w:rPr>
          <w:lang w:bidi="ar-DZ"/>
        </w:rPr>
      </w:pPr>
      <w:bookmarkStart w:id="35" w:name="_Toc39498183"/>
      <w:bookmarkEnd w:id="29"/>
      <w:r>
        <w:rPr>
          <w:lang w:bidi="ar-DZ"/>
        </w:rPr>
        <w:t>Introduction &amp; Purpose</w:t>
      </w:r>
      <w:bookmarkEnd w:id="35"/>
    </w:p>
    <w:p w14:paraId="183EA3D0" w14:textId="77777777" w:rsidR="006E377C" w:rsidRPr="00051772" w:rsidRDefault="006E377C" w:rsidP="00051772">
      <w:r w:rsidRPr="00276E37">
        <w:t xml:space="preserve">Artificial Intelligence (AI)—the phenomenon of machines being able to solve problems that require human intelligence—has recently seen an enormous rise of interest due to the recognition of its great potential. With the increasing availability of healthcare data and the rapid progress of analytics techniques, AI has the potential to transform the health sector, one of the most important sectors for societies and economies worldwide. To facilitate the safe and appropriate development and use of AI solutions for health, the International Telecommunication Union (ITU) and the World Health Organization (WHO) have established a focus group on “Artificial Intelligence for Health” (FG-AI4H) that is focusing on </w:t>
      </w:r>
      <w:r>
        <w:t xml:space="preserve">the </w:t>
      </w:r>
      <w:r w:rsidRPr="00276E37">
        <w:t>evaluation of hea</w:t>
      </w:r>
      <w:r>
        <w:t>l</w:t>
      </w:r>
      <w:r w:rsidRPr="00276E37">
        <w:t xml:space="preserve">th AI solutions. To support its work, FG-AI4H created several working groups, including a working group on regulatory considerations on AI for </w:t>
      </w:r>
      <w:r w:rsidRPr="00051772">
        <w:t>health (WG-RC).</w:t>
      </w:r>
    </w:p>
    <w:p w14:paraId="361F325D" w14:textId="77777777" w:rsidR="006E377C" w:rsidRPr="00276E37" w:rsidRDefault="006E377C" w:rsidP="00051772">
      <w:pPr>
        <w:rPr>
          <w:color w:val="1F4E79" w:themeColor="accent1" w:themeShade="80"/>
        </w:rPr>
      </w:pPr>
      <w:r w:rsidRPr="00276E37">
        <w:t>The WG-RC consists of multiple stakeholders including representatives from regulatory agencies, academia, and industry who will explore regulatory considerations and emerging “best practices” for the development and use of AI in healthcare and therapeutic development. The WG-RC also has the dual purpose of informing the work of the FG-AI4H</w:t>
      </w:r>
      <w:r>
        <w:t xml:space="preserve">, as well as other </w:t>
      </w:r>
      <w:r w:rsidRPr="00276E37">
        <w:t xml:space="preserve">stakeholders. The </w:t>
      </w:r>
      <w:r w:rsidRPr="00276E37">
        <w:lastRenderedPageBreak/>
        <w:t xml:space="preserve">deliverable of the WG-RC will be a high-level, educational overview of some of the key regulatory considerations. </w:t>
      </w:r>
      <w:r w:rsidRPr="00276E37">
        <w:rPr>
          <w:i/>
          <w:iCs/>
        </w:rPr>
        <w:t xml:space="preserve">This draft outline is meant to provide the WG-RC with a preliminary framework for its work. </w:t>
      </w:r>
    </w:p>
    <w:p w14:paraId="65DBDE6B" w14:textId="77777777" w:rsidR="006E377C" w:rsidRPr="00276E37" w:rsidRDefault="006E377C" w:rsidP="00051772">
      <w:pPr>
        <w:rPr>
          <w:color w:val="1F4E79" w:themeColor="accent1" w:themeShade="80"/>
        </w:rPr>
      </w:pPr>
      <w:r w:rsidRPr="00276E37">
        <w:t>Recognizing that a single document cannot address the specifics of the various AI solutions that can be used for therapeutic development or healthcare applications generally, the WG-RC's overview will highlight some of the key regulatory principles and concepts, such as risk/benefit assessments and considerations for the evaluation and monitoring of the performance of AI solutions.</w:t>
      </w:r>
      <w:r w:rsidRPr="00276E37">
        <w:rPr>
          <w:b/>
          <w:bCs/>
        </w:rPr>
        <w:t xml:space="preserve"> </w:t>
      </w:r>
      <w:r w:rsidRPr="00276E37">
        <w:t xml:space="preserve">Throughout the process, the WG-RC will take into consideration different stakeholder perspectives, as well as different global and regional settings. This outline and WG-RC's final overview are not intended to be </w:t>
      </w:r>
      <w:proofErr w:type="spellStart"/>
      <w:r w:rsidRPr="00276E37">
        <w:t>guidances</w:t>
      </w:r>
      <w:proofErr w:type="spellEnd"/>
      <w:r w:rsidRPr="00276E37">
        <w:t>, regulations, or policies. Rather, they are meant as resources that can be considered by regulators who might be in the process of identifying approaches to manage and facilitate AI solutions, developers who are exploring AI solutions, and other stakeholders.</w:t>
      </w:r>
    </w:p>
    <w:p w14:paraId="3EF09765" w14:textId="77777777" w:rsidR="006E377C" w:rsidRPr="00467172" w:rsidRDefault="006E377C" w:rsidP="006E377C">
      <w:pPr>
        <w:pStyle w:val="Heading1"/>
        <w:numPr>
          <w:ilvl w:val="0"/>
          <w:numId w:val="1"/>
        </w:numPr>
        <w:rPr>
          <w:lang w:bidi="ar-DZ"/>
        </w:rPr>
      </w:pPr>
      <w:bookmarkStart w:id="36" w:name="_Toc39498184"/>
      <w:r w:rsidRPr="000F2ECF">
        <w:t>Discussion:</w:t>
      </w:r>
      <w:r>
        <w:t xml:space="preserve"> </w:t>
      </w:r>
      <w:r w:rsidRPr="00271E73">
        <w:rPr>
          <w:rFonts w:eastAsia="Calibri"/>
          <w:color w:val="000000" w:themeColor="text1"/>
          <w:lang w:val="en-US" w:eastAsia="en-US"/>
        </w:rPr>
        <w:t>Regulatory Consideration</w:t>
      </w:r>
      <w:r>
        <w:rPr>
          <w:rFonts w:eastAsia="Calibri"/>
          <w:color w:val="000000" w:themeColor="text1"/>
          <w:lang w:val="en-US" w:eastAsia="en-US"/>
        </w:rPr>
        <w:t>s</w:t>
      </w:r>
      <w:r w:rsidRPr="00271E73">
        <w:rPr>
          <w:rFonts w:eastAsia="Calibri"/>
          <w:color w:val="000000" w:themeColor="text1"/>
          <w:lang w:val="en-US" w:eastAsia="en-US"/>
        </w:rPr>
        <w:t xml:space="preserve"> (not fully inclusive)</w:t>
      </w:r>
      <w:bookmarkEnd w:id="36"/>
    </w:p>
    <w:p w14:paraId="2EECE671" w14:textId="77777777" w:rsidR="006E377C" w:rsidRPr="00390454" w:rsidRDefault="006E377C" w:rsidP="00051772">
      <w:pPr>
        <w:rPr>
          <w:lang w:val="en-US" w:eastAsia="en-US"/>
        </w:rPr>
      </w:pPr>
      <w:r w:rsidRPr="3B4A1BA3">
        <w:rPr>
          <w:lang w:val="en-US" w:eastAsia="en-US"/>
        </w:rPr>
        <w:t>As mentioned previously, AI solutions may be utilized across all aspects of health care and therapeutic development. Regulators are keen not only to ensure that AI solutions used in healthcare and therapeutic development are safe and effective for intended use, but also that such promising tools reach those who need them as fast as possible. Dialogue between developers and regulators is highly advised as the community at large is continuing to establish a common understanding around the use of the AI solutions in health. The following are examples of regulatory considerations that may be relevant to all involved stakeholders.</w:t>
      </w:r>
    </w:p>
    <w:p w14:paraId="51515457" w14:textId="77777777" w:rsidR="006E377C" w:rsidRPr="006C5071" w:rsidRDefault="006E377C" w:rsidP="00051772">
      <w:pPr>
        <w:pStyle w:val="ListParagraph"/>
        <w:numPr>
          <w:ilvl w:val="0"/>
          <w:numId w:val="24"/>
        </w:numPr>
        <w:overflowPunct w:val="0"/>
        <w:autoSpaceDE w:val="0"/>
        <w:autoSpaceDN w:val="0"/>
        <w:adjustRightInd w:val="0"/>
        <w:ind w:left="567" w:hanging="567"/>
        <w:textAlignment w:val="baseline"/>
        <w:rPr>
          <w:rFonts w:eastAsia="Calibri"/>
          <w:color w:val="000000" w:themeColor="text1"/>
          <w:lang w:val="en-US" w:eastAsia="en-US"/>
        </w:rPr>
      </w:pPr>
      <w:r w:rsidRPr="53B4EF90">
        <w:rPr>
          <w:rFonts w:eastAsia="Calibri"/>
          <w:color w:val="000000" w:themeColor="text1"/>
          <w:lang w:val="en-US" w:eastAsia="en-US"/>
        </w:rPr>
        <w:t>Pre-specification, Documentation, Transparency, and Traceability as Part of a Quality System</w:t>
      </w:r>
    </w:p>
    <w:p w14:paraId="381D7EE6" w14:textId="77777777" w:rsidR="006E377C" w:rsidRDefault="006E377C" w:rsidP="00051772">
      <w:pPr>
        <w:pStyle w:val="ListParagraph"/>
        <w:numPr>
          <w:ilvl w:val="0"/>
          <w:numId w:val="24"/>
        </w:numPr>
        <w:overflowPunct w:val="0"/>
        <w:autoSpaceDE w:val="0"/>
        <w:autoSpaceDN w:val="0"/>
        <w:adjustRightInd w:val="0"/>
        <w:ind w:left="567" w:hanging="567"/>
        <w:textAlignment w:val="baseline"/>
        <w:rPr>
          <w:rFonts w:eastAsia="Calibri"/>
          <w:color w:val="000000" w:themeColor="text1"/>
          <w:lang w:val="en-US" w:eastAsia="en-US"/>
        </w:rPr>
      </w:pPr>
      <w:r w:rsidRPr="465B37E6">
        <w:rPr>
          <w:rFonts w:eastAsia="Calibri"/>
          <w:color w:val="000000" w:themeColor="text1"/>
          <w:lang w:val="en-US" w:eastAsia="en-US"/>
        </w:rPr>
        <w:t>Risk Management</w:t>
      </w:r>
    </w:p>
    <w:p w14:paraId="5E9A099B" w14:textId="77777777" w:rsidR="006E377C" w:rsidRDefault="006E377C" w:rsidP="00051772">
      <w:pPr>
        <w:pStyle w:val="ListParagraph"/>
        <w:numPr>
          <w:ilvl w:val="0"/>
          <w:numId w:val="24"/>
        </w:numPr>
        <w:overflowPunct w:val="0"/>
        <w:autoSpaceDE w:val="0"/>
        <w:autoSpaceDN w:val="0"/>
        <w:adjustRightInd w:val="0"/>
        <w:ind w:left="567" w:hanging="567"/>
        <w:textAlignment w:val="baseline"/>
        <w:rPr>
          <w:color w:val="000000" w:themeColor="text1"/>
          <w:lang w:val="en-US" w:eastAsia="en-US"/>
        </w:rPr>
      </w:pPr>
      <w:r w:rsidRPr="465B37E6">
        <w:rPr>
          <w:rFonts w:eastAsia="Calibri"/>
          <w:color w:val="000000" w:themeColor="text1"/>
          <w:lang w:val="en-US" w:eastAsia="en-US"/>
        </w:rPr>
        <w:t>Total Product Lifecycle Approach</w:t>
      </w:r>
    </w:p>
    <w:p w14:paraId="566F6728" w14:textId="77777777" w:rsidR="006E377C" w:rsidRDefault="006E377C" w:rsidP="00051772">
      <w:pPr>
        <w:pStyle w:val="ListParagraph"/>
        <w:numPr>
          <w:ilvl w:val="0"/>
          <w:numId w:val="24"/>
        </w:numPr>
        <w:overflowPunct w:val="0"/>
        <w:autoSpaceDE w:val="0"/>
        <w:autoSpaceDN w:val="0"/>
        <w:adjustRightInd w:val="0"/>
        <w:ind w:left="567" w:hanging="567"/>
        <w:textAlignment w:val="baseline"/>
        <w:rPr>
          <w:rFonts w:eastAsia="Calibri"/>
          <w:color w:val="000000" w:themeColor="text1"/>
          <w:lang w:val="en-US" w:eastAsia="en-US"/>
        </w:rPr>
      </w:pPr>
      <w:r w:rsidRPr="465B37E6">
        <w:rPr>
          <w:rFonts w:eastAsia="Calibri"/>
          <w:color w:val="000000" w:themeColor="text1"/>
          <w:lang w:val="en-US" w:eastAsia="en-US"/>
        </w:rPr>
        <w:t>Relevance and Suitability of the Intended Use</w:t>
      </w:r>
    </w:p>
    <w:p w14:paraId="0AD5604C" w14:textId="77777777" w:rsidR="006E377C" w:rsidRPr="00336F9F" w:rsidRDefault="006E377C" w:rsidP="00051772">
      <w:pPr>
        <w:pStyle w:val="ListParagraph"/>
        <w:numPr>
          <w:ilvl w:val="0"/>
          <w:numId w:val="24"/>
        </w:numPr>
        <w:overflowPunct w:val="0"/>
        <w:autoSpaceDE w:val="0"/>
        <w:autoSpaceDN w:val="0"/>
        <w:adjustRightInd w:val="0"/>
        <w:ind w:left="567" w:hanging="567"/>
        <w:textAlignment w:val="baseline"/>
        <w:rPr>
          <w:rFonts w:eastAsia="Calibri"/>
          <w:color w:val="000000" w:themeColor="text1"/>
          <w:lang w:val="en-US" w:eastAsia="en-US"/>
        </w:rPr>
      </w:pPr>
      <w:bookmarkStart w:id="37" w:name="_Hlk37053908"/>
      <w:r w:rsidRPr="465B37E6">
        <w:rPr>
          <w:rFonts w:eastAsia="Calibri"/>
          <w:color w:val="000000" w:themeColor="text1"/>
          <w:lang w:val="en-US" w:eastAsia="en-US"/>
        </w:rPr>
        <w:t xml:space="preserve">Data Quality </w:t>
      </w:r>
    </w:p>
    <w:p w14:paraId="36DBF344" w14:textId="77777777" w:rsidR="006E377C" w:rsidRDefault="006E377C" w:rsidP="00051772">
      <w:pPr>
        <w:pStyle w:val="ListParagraph"/>
        <w:numPr>
          <w:ilvl w:val="0"/>
          <w:numId w:val="24"/>
        </w:numPr>
        <w:overflowPunct w:val="0"/>
        <w:autoSpaceDE w:val="0"/>
        <w:autoSpaceDN w:val="0"/>
        <w:adjustRightInd w:val="0"/>
        <w:ind w:left="567" w:hanging="567"/>
        <w:textAlignment w:val="baseline"/>
        <w:rPr>
          <w:rFonts w:eastAsia="Calibri"/>
          <w:color w:val="000000" w:themeColor="text1"/>
          <w:lang w:val="en-US" w:eastAsia="en-US"/>
        </w:rPr>
      </w:pPr>
      <w:r w:rsidRPr="465B37E6">
        <w:rPr>
          <w:rFonts w:eastAsia="Calibri"/>
          <w:color w:val="000000" w:themeColor="text1"/>
          <w:lang w:val="en-US" w:eastAsia="en-US"/>
        </w:rPr>
        <w:t>Analytical and Clinical validation</w:t>
      </w:r>
    </w:p>
    <w:p w14:paraId="2F103F43" w14:textId="77777777" w:rsidR="006E377C" w:rsidRDefault="006E377C" w:rsidP="00051772">
      <w:pPr>
        <w:pStyle w:val="ListParagraph"/>
        <w:numPr>
          <w:ilvl w:val="0"/>
          <w:numId w:val="24"/>
        </w:numPr>
        <w:overflowPunct w:val="0"/>
        <w:autoSpaceDE w:val="0"/>
        <w:autoSpaceDN w:val="0"/>
        <w:adjustRightInd w:val="0"/>
        <w:ind w:left="567" w:hanging="567"/>
        <w:textAlignment w:val="baseline"/>
        <w:rPr>
          <w:rFonts w:eastAsia="Calibri"/>
          <w:color w:val="000000" w:themeColor="text1"/>
          <w:lang w:val="en-US" w:eastAsia="en-US"/>
        </w:rPr>
      </w:pPr>
      <w:r w:rsidRPr="465B37E6">
        <w:rPr>
          <w:rFonts w:eastAsia="Calibri"/>
          <w:color w:val="000000" w:themeColor="text1"/>
          <w:lang w:val="en-US" w:eastAsia="en-US"/>
        </w:rPr>
        <w:t>Ethics and Privacy</w:t>
      </w:r>
    </w:p>
    <w:p w14:paraId="1D57B2BA" w14:textId="77777777" w:rsidR="006E377C" w:rsidRDefault="006E377C" w:rsidP="00051772">
      <w:pPr>
        <w:pStyle w:val="ListParagraph"/>
        <w:numPr>
          <w:ilvl w:val="0"/>
          <w:numId w:val="24"/>
        </w:numPr>
        <w:overflowPunct w:val="0"/>
        <w:autoSpaceDE w:val="0"/>
        <w:autoSpaceDN w:val="0"/>
        <w:adjustRightInd w:val="0"/>
        <w:ind w:left="567" w:hanging="567"/>
        <w:textAlignment w:val="baseline"/>
        <w:rPr>
          <w:rFonts w:eastAsia="Calibri"/>
          <w:color w:val="000000" w:themeColor="text1"/>
          <w:lang w:val="en-US" w:eastAsia="en-US"/>
        </w:rPr>
      </w:pPr>
      <w:r w:rsidRPr="465B37E6">
        <w:rPr>
          <w:rFonts w:eastAsia="Calibri"/>
          <w:color w:val="000000" w:themeColor="text1"/>
          <w:lang w:val="en-US" w:eastAsia="en-US"/>
        </w:rPr>
        <w:t xml:space="preserve">Engagement </w:t>
      </w:r>
    </w:p>
    <w:p w14:paraId="487044B0" w14:textId="77777777" w:rsidR="006E377C" w:rsidRPr="00667676" w:rsidRDefault="006E377C" w:rsidP="00051772">
      <w:pPr>
        <w:pStyle w:val="ListParagraph"/>
        <w:numPr>
          <w:ilvl w:val="0"/>
          <w:numId w:val="24"/>
        </w:numPr>
        <w:overflowPunct w:val="0"/>
        <w:autoSpaceDE w:val="0"/>
        <w:autoSpaceDN w:val="0"/>
        <w:adjustRightInd w:val="0"/>
        <w:ind w:left="567" w:hanging="567"/>
        <w:textAlignment w:val="baseline"/>
        <w:rPr>
          <w:rFonts w:eastAsia="Calibri"/>
          <w:color w:val="000000" w:themeColor="text1"/>
          <w:lang w:val="en-US" w:eastAsia="en-US"/>
        </w:rPr>
      </w:pPr>
      <w:r w:rsidRPr="465B37E6">
        <w:rPr>
          <w:rFonts w:eastAsia="Calibri"/>
          <w:color w:val="000000" w:themeColor="text1"/>
          <w:lang w:val="en-US" w:eastAsia="en-US"/>
        </w:rPr>
        <w:t>Other</w:t>
      </w:r>
      <w:bookmarkEnd w:id="37"/>
    </w:p>
    <w:p w14:paraId="1607F9D8" w14:textId="77777777" w:rsidR="006E377C" w:rsidRDefault="006E377C" w:rsidP="006E377C">
      <w:pPr>
        <w:pStyle w:val="Heading2"/>
        <w:numPr>
          <w:ilvl w:val="1"/>
          <w:numId w:val="1"/>
        </w:numPr>
        <w:rPr>
          <w:rFonts w:eastAsia="Calibri"/>
          <w:color w:val="000000" w:themeColor="text1"/>
          <w:lang w:val="en-US" w:eastAsia="en-US"/>
        </w:rPr>
      </w:pPr>
      <w:bookmarkStart w:id="38" w:name="_Toc39498185"/>
      <w:r w:rsidRPr="53B4EF90">
        <w:rPr>
          <w:rFonts w:eastAsia="Calibri"/>
          <w:color w:val="000000" w:themeColor="text1"/>
          <w:lang w:val="en-US" w:eastAsia="en-US"/>
        </w:rPr>
        <w:t>Pre-specification, Documentation, Transparency, and Traceability as Part of a Quality System</w:t>
      </w:r>
      <w:bookmarkEnd w:id="38"/>
    </w:p>
    <w:p w14:paraId="4B088825" w14:textId="77777777" w:rsidR="006E377C" w:rsidRPr="00C6005F" w:rsidRDefault="006E377C" w:rsidP="00051772">
      <w:pPr>
        <w:rPr>
          <w:lang w:eastAsia="en-US"/>
        </w:rPr>
      </w:pPr>
      <w:r w:rsidRPr="28D2064B">
        <w:rPr>
          <w:lang w:val="en-US" w:eastAsia="en-US"/>
        </w:rPr>
        <w:t xml:space="preserve">Prespecifying and documenting the development, validation, and piloting of AI solutions are important factors that will help establish trust and confidence and guard against biases and data dredging. It is important for regulators to be able to trace back the development process and to have evidence and documentation of essential steps and decision points. For example, the selection and preprocessing of input data for AI solutions are essential decisions </w:t>
      </w:r>
      <w:r w:rsidRPr="28D2064B">
        <w:rPr>
          <w:lang w:eastAsia="en-US"/>
        </w:rPr>
        <w:t>and documented evidence, based on scientific and practical bases, should be used to support these decisions.</w:t>
      </w:r>
    </w:p>
    <w:p w14:paraId="215BC185" w14:textId="77777777" w:rsidR="006E377C" w:rsidRDefault="006E377C" w:rsidP="00051772">
      <w:pPr>
        <w:rPr>
          <w:lang w:val="en-US" w:eastAsia="en-US"/>
        </w:rPr>
      </w:pPr>
      <w:r w:rsidRPr="3B4A1BA3">
        <w:rPr>
          <w:lang w:val="en-US" w:eastAsia="en-US"/>
        </w:rPr>
        <w:t xml:space="preserve">It is also important to note that systems used to </w:t>
      </w:r>
      <w:proofErr w:type="gramStart"/>
      <w:r w:rsidRPr="3B4A1BA3">
        <w:rPr>
          <w:lang w:val="en-US" w:eastAsia="en-US"/>
        </w:rPr>
        <w:t>track</w:t>
      </w:r>
      <w:proofErr w:type="gramEnd"/>
      <w:r w:rsidRPr="3B4A1BA3">
        <w:rPr>
          <w:lang w:val="en-US" w:eastAsia="en-US"/>
        </w:rPr>
        <w:t xml:space="preserve"> and document development processes and key decision points should be designed to protect against data manipulation and adversarial attacks, and to track and record access and any changes applied. </w:t>
      </w:r>
    </w:p>
    <w:p w14:paraId="581BC922" w14:textId="77777777" w:rsidR="006E377C" w:rsidRPr="00F81B26" w:rsidRDefault="006E377C" w:rsidP="00051772">
      <w:pPr>
        <w:rPr>
          <w:lang w:val="en-US" w:eastAsia="en-US"/>
        </w:rPr>
      </w:pPr>
      <w:r w:rsidRPr="28D2064B">
        <w:rPr>
          <w:lang w:val="en-US" w:eastAsia="en-US"/>
        </w:rPr>
        <w:t>Overall, transparency and effective documentation are essential for AI solutions and systems that may be subject to regulatory review.</w:t>
      </w:r>
    </w:p>
    <w:p w14:paraId="3CFFF192" w14:textId="77777777" w:rsidR="006E377C" w:rsidRDefault="006E377C" w:rsidP="006E377C">
      <w:pPr>
        <w:pStyle w:val="Heading2"/>
        <w:numPr>
          <w:ilvl w:val="1"/>
          <w:numId w:val="1"/>
        </w:numPr>
        <w:rPr>
          <w:rFonts w:eastAsia="Calibri"/>
          <w:color w:val="000000" w:themeColor="text1"/>
          <w:lang w:val="en-US" w:eastAsia="en-US"/>
        </w:rPr>
      </w:pPr>
      <w:bookmarkStart w:id="39" w:name="_Toc39498186"/>
      <w:r w:rsidRPr="465B37E6">
        <w:rPr>
          <w:rFonts w:eastAsia="Calibri"/>
          <w:color w:val="000000" w:themeColor="text1"/>
          <w:lang w:val="en-US" w:eastAsia="en-US"/>
        </w:rPr>
        <w:t>Risk Management</w:t>
      </w:r>
      <w:bookmarkEnd w:id="39"/>
    </w:p>
    <w:p w14:paraId="41E34E2C" w14:textId="77777777" w:rsidR="006E377C" w:rsidRDefault="006E377C" w:rsidP="00051772">
      <w:pPr>
        <w:rPr>
          <w:lang w:val="en-US" w:eastAsia="en-US"/>
        </w:rPr>
      </w:pPr>
      <w:r w:rsidRPr="28D2064B">
        <w:rPr>
          <w:lang w:val="en-US" w:eastAsia="en-US"/>
        </w:rPr>
        <w:t xml:space="preserve">The controls and measures put in place to ensure that an AI solution functions as expected while minimizing any risk should be proportional to the risks that could be imposed if the AI solution were to malfunction. For example, failure of an AI solution that is designed to encourage adherence </w:t>
      </w:r>
      <w:r w:rsidRPr="28D2064B">
        <w:rPr>
          <w:lang w:val="en-US" w:eastAsia="en-US"/>
        </w:rPr>
        <w:lastRenderedPageBreak/>
        <w:t xml:space="preserve">to a healthy diet is different than one that is designed to diagnose or treat certain diseases and pathologies. </w:t>
      </w:r>
    </w:p>
    <w:p w14:paraId="483AC98C" w14:textId="77777777" w:rsidR="006E377C" w:rsidRDefault="006E377C" w:rsidP="00051772">
      <w:pPr>
        <w:rPr>
          <w:lang w:val="en-US" w:eastAsia="en-US"/>
        </w:rPr>
      </w:pPr>
      <w:r w:rsidRPr="6ECF8C72">
        <w:rPr>
          <w:lang w:eastAsia="en-US"/>
        </w:rPr>
        <w:t xml:space="preserve">Therefore, developers should consider a risk-based approach throughout all involved processes to prioritize safety. Developers need to consider the intended use of the AI solution and the clinical context, if appropriate, to evaluate the level of risk. </w:t>
      </w:r>
      <w:r w:rsidRPr="6ECF8C72">
        <w:rPr>
          <w:lang w:val="en-US" w:eastAsia="en-US"/>
        </w:rPr>
        <w:t>For example, the International Medical Device Regulators Forum’s (IMDRF) risk framework identifies two major factors that contribute to the impact or risk of the Software as a Medical Device (</w:t>
      </w:r>
      <w:proofErr w:type="spellStart"/>
      <w:r w:rsidRPr="6ECF8C72">
        <w:rPr>
          <w:lang w:val="en-US" w:eastAsia="en-US"/>
        </w:rPr>
        <w:t>SaMD</w:t>
      </w:r>
      <w:proofErr w:type="spellEnd"/>
      <w:r w:rsidRPr="6ECF8C72">
        <w:rPr>
          <w:lang w:val="en-US" w:eastAsia="en-US"/>
        </w:rPr>
        <w:t xml:space="preserve">). The first factor is the significance of the information provided by the </w:t>
      </w:r>
      <w:proofErr w:type="spellStart"/>
      <w:r w:rsidRPr="6ECF8C72">
        <w:rPr>
          <w:lang w:val="en-US" w:eastAsia="en-US"/>
        </w:rPr>
        <w:t>SaMD</w:t>
      </w:r>
      <w:proofErr w:type="spellEnd"/>
      <w:r w:rsidRPr="6ECF8C72">
        <w:rPr>
          <w:lang w:val="en-US" w:eastAsia="en-US"/>
        </w:rPr>
        <w:t xml:space="preserve"> to the healthcare decision. The significance is determined by the intended use of the information – to treat or diagnose, to drive clinical management, or to inform clinical management. </w:t>
      </w:r>
      <w:r w:rsidRPr="6ECF8C72">
        <w:rPr>
          <w:lang w:eastAsia="en-US"/>
        </w:rPr>
        <w:t>The second factor is the state</w:t>
      </w:r>
      <w:r w:rsidRPr="6ECF8C72">
        <w:rPr>
          <w:lang w:val="en-US" w:eastAsia="en-US"/>
        </w:rPr>
        <w:t xml:space="preserve"> of the healthcare situation or condition, which is determined by the intended user, disease or condition, and the population for the </w:t>
      </w:r>
      <w:proofErr w:type="spellStart"/>
      <w:r w:rsidRPr="6ECF8C72">
        <w:rPr>
          <w:lang w:val="en-US" w:eastAsia="en-US"/>
        </w:rPr>
        <w:t>SaMD</w:t>
      </w:r>
      <w:proofErr w:type="spellEnd"/>
      <w:r w:rsidRPr="6ECF8C72">
        <w:rPr>
          <w:lang w:val="en-US" w:eastAsia="en-US"/>
        </w:rPr>
        <w:t xml:space="preserve"> – critical, serious, or non-serious healthcare situations or conditions. Taken together, these factors describing the intended use can be used to place the AI/ML-based </w:t>
      </w:r>
      <w:proofErr w:type="spellStart"/>
      <w:r w:rsidRPr="6ECF8C72">
        <w:rPr>
          <w:lang w:val="en-US" w:eastAsia="en-US"/>
        </w:rPr>
        <w:t>SaMD</w:t>
      </w:r>
      <w:proofErr w:type="spellEnd"/>
      <w:r w:rsidRPr="6ECF8C72">
        <w:rPr>
          <w:lang w:val="en-US" w:eastAsia="en-US"/>
        </w:rPr>
        <w:t xml:space="preserve"> into one of four categories from lowest (I) to highest risk (IV) to reflect the risk associated with the clinical situation and device use.</w:t>
      </w:r>
    </w:p>
    <w:p w14:paraId="0F42BC08" w14:textId="77777777" w:rsidR="006E377C" w:rsidRPr="008B1602" w:rsidRDefault="006E377C" w:rsidP="00051772">
      <w:pPr>
        <w:pStyle w:val="Figure"/>
        <w:rPr>
          <w:rFonts w:eastAsia="Calibri"/>
          <w:color w:val="000000" w:themeColor="text1"/>
        </w:rPr>
      </w:pPr>
      <w:r>
        <w:rPr>
          <w:noProof/>
        </w:rPr>
        <w:drawing>
          <wp:inline distT="0" distB="0" distL="0" distR="0" wp14:anchorId="46DEB539" wp14:editId="68DB3162">
            <wp:extent cx="481012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10125" cy="1438275"/>
                    </a:xfrm>
                    <a:prstGeom prst="rect">
                      <a:avLst/>
                    </a:prstGeom>
                  </pic:spPr>
                </pic:pic>
              </a:graphicData>
            </a:graphic>
          </wp:inline>
        </w:drawing>
      </w:r>
    </w:p>
    <w:p w14:paraId="6BB91918" w14:textId="77777777" w:rsidR="009718B4" w:rsidRPr="00961BCF" w:rsidRDefault="009718B4" w:rsidP="006E377C">
      <w:pPr>
        <w:pStyle w:val="FigureNotitle"/>
        <w:rPr>
          <w:sz w:val="22"/>
          <w:szCs w:val="22"/>
          <w:lang w:bidi="ar-DZ"/>
        </w:rPr>
      </w:pPr>
      <w:bookmarkStart w:id="40" w:name="_Toc39498210"/>
      <w:r w:rsidRPr="000F4148">
        <w:rPr>
          <w:sz w:val="22"/>
          <w:szCs w:val="22"/>
          <w:lang w:bidi="ar-DZ"/>
        </w:rPr>
        <w:t xml:space="preserve">Figure 3: </w:t>
      </w:r>
      <w:proofErr w:type="spellStart"/>
      <w:r w:rsidRPr="000F4148">
        <w:rPr>
          <w:sz w:val="22"/>
          <w:szCs w:val="22"/>
          <w:lang w:bidi="ar-DZ"/>
        </w:rPr>
        <w:t>SaMD</w:t>
      </w:r>
      <w:proofErr w:type="spellEnd"/>
      <w:r w:rsidRPr="000F4148">
        <w:rPr>
          <w:sz w:val="22"/>
          <w:szCs w:val="22"/>
          <w:lang w:bidi="ar-DZ"/>
        </w:rPr>
        <w:t xml:space="preserve"> IMDRF risk categorization </w:t>
      </w:r>
      <w:r w:rsidRPr="000F4148">
        <w:rPr>
          <w:sz w:val="22"/>
          <w:szCs w:val="22"/>
          <w:highlight w:val="yellow"/>
          <w:lang w:bidi="ar-DZ"/>
        </w:rPr>
        <w:t>[3]</w:t>
      </w:r>
      <w:bookmarkEnd w:id="40"/>
    </w:p>
    <w:p w14:paraId="0E342F63" w14:textId="77777777" w:rsidR="006E377C" w:rsidRPr="0013265D" w:rsidRDefault="006E377C" w:rsidP="00051772">
      <w:pPr>
        <w:rPr>
          <w:lang w:eastAsia="en-US"/>
        </w:rPr>
      </w:pPr>
      <w:r w:rsidRPr="465B37E6">
        <w:rPr>
          <w:lang w:eastAsia="en-US"/>
        </w:rPr>
        <w:t>The intended use and risk classification</w:t>
      </w:r>
      <w:r w:rsidRPr="465B37E6">
        <w:rPr>
          <w:i/>
          <w:iCs/>
          <w:lang w:eastAsia="en-US"/>
        </w:rPr>
        <w:t xml:space="preserve"> </w:t>
      </w:r>
      <w:r w:rsidRPr="465B37E6">
        <w:rPr>
          <w:lang w:eastAsia="en-US"/>
        </w:rPr>
        <w:t xml:space="preserve">should be considered when testing different models and balancing trade-offs, such as transparency and accuracy. In cases where training data sets are limited, simpler models, such as regression or decision tree models, often provide equivalent or better results than more complex models with the added benefit of more transparency and interpretability. On the other hand, in cases with larger, complex data sets, complex models, such as deep learning networks, may not lend themselves to being explainable but may provide greater accuracy than simpler models. </w:t>
      </w:r>
      <w:r>
        <w:rPr>
          <w:lang w:eastAsia="en-US"/>
        </w:rPr>
        <w:t>I</w:t>
      </w:r>
      <w:r w:rsidRPr="465B37E6">
        <w:rPr>
          <w:lang w:eastAsia="en-US"/>
        </w:rPr>
        <w:t>n cases in which there is a greater risk of harm, stakeholders should consider discussing the risks and benefits of choosing a more complex model and whether there are ways to mitigate the lack of interpretability and transparency and build trust in the model through additional validation measures.</w:t>
      </w:r>
    </w:p>
    <w:p w14:paraId="030AB073" w14:textId="77777777" w:rsidR="006E377C" w:rsidRDefault="006E377C" w:rsidP="006E377C">
      <w:pPr>
        <w:pStyle w:val="Heading2"/>
        <w:numPr>
          <w:ilvl w:val="1"/>
          <w:numId w:val="1"/>
        </w:numPr>
        <w:rPr>
          <w:rFonts w:eastAsia="Calibri"/>
          <w:color w:val="000000" w:themeColor="text1"/>
          <w:lang w:val="en-US" w:eastAsia="en-US"/>
        </w:rPr>
      </w:pPr>
      <w:bookmarkStart w:id="41" w:name="_Toc39498187"/>
      <w:r w:rsidRPr="465B37E6">
        <w:rPr>
          <w:rFonts w:eastAsia="Calibri"/>
          <w:color w:val="000000" w:themeColor="text1"/>
          <w:lang w:val="en-US" w:eastAsia="en-US"/>
        </w:rPr>
        <w:t>Total Product Lifecycle Approach</w:t>
      </w:r>
      <w:bookmarkEnd w:id="41"/>
    </w:p>
    <w:p w14:paraId="4C1FEA31" w14:textId="77777777" w:rsidR="006E377C" w:rsidRDefault="006E377C" w:rsidP="00051772">
      <w:r w:rsidRPr="6ECF8C72">
        <w:rPr>
          <w:color w:val="000000" w:themeColor="text1"/>
          <w:lang w:eastAsia="en-US"/>
        </w:rPr>
        <w:t>AI/</w:t>
      </w:r>
      <w:r w:rsidRPr="6ECF8C72">
        <w:rPr>
          <w:color w:val="000000" w:themeColor="text1"/>
        </w:rPr>
        <w:t xml:space="preserve"> ML</w:t>
      </w:r>
      <w:r w:rsidRPr="6ECF8C72">
        <w:rPr>
          <w:color w:val="000000" w:themeColor="text1"/>
          <w:lang w:eastAsia="en-US"/>
        </w:rPr>
        <w:t xml:space="preserve"> solutions can be based on “locked” or “adaptive” algorithms. </w:t>
      </w:r>
      <w:r w:rsidRPr="6ECF8C72">
        <w:t xml:space="preserve">When an algorithm is locked, the algorithm provides the same result each time the same input data is applied to it and does not change or “learn” from new data. In contrast, an adaptive algorithm continuously learns from real-world experience and the output of the system for the same input data may be different before and after this learning occurs.  </w:t>
      </w:r>
    </w:p>
    <w:p w14:paraId="7F683F67" w14:textId="77777777" w:rsidR="006E377C" w:rsidRDefault="006E377C" w:rsidP="00051772"/>
    <w:p w14:paraId="5D554EF3" w14:textId="77777777" w:rsidR="006E377C" w:rsidRDefault="006E377C" w:rsidP="00051772">
      <w:pPr>
        <w:rPr>
          <w:rFonts w:eastAsia="Calibri"/>
          <w:lang w:eastAsia="en-US"/>
        </w:rPr>
      </w:pPr>
      <w:r w:rsidRPr="465B37E6">
        <w:rPr>
          <w:lang w:eastAsia="en-US"/>
        </w:rPr>
        <w:t>A lifecycle approach that involves good machine learning practices throughout the development and deployment of adaptive AI/ML solutions can facilitate continuous learning and product improvement while providing effective safeguards. This approach could potentially increase the trustworthiness and safety of the solution. For example, the U.S. Food and Drug Administration, based on IMDRF recommendations, has proposed a Total P</w:t>
      </w:r>
      <w:r w:rsidRPr="465B37E6">
        <w:rPr>
          <w:rFonts w:eastAsia="Calibri"/>
          <w:lang w:eastAsia="en-US"/>
        </w:rPr>
        <w:t>roduct Lifecycle (TLPC) approach with four key components that qualify as good machine learning practices:</w:t>
      </w:r>
      <w:r w:rsidRPr="465B37E6">
        <w:rPr>
          <w:rFonts w:eastAsia="Calibri"/>
          <w:lang w:val="en-US" w:eastAsia="en-US"/>
        </w:rPr>
        <w:t xml:space="preserve"> 1) </w:t>
      </w:r>
      <w:r w:rsidRPr="465B37E6">
        <w:rPr>
          <w:rFonts w:eastAsia="Calibri"/>
          <w:lang w:eastAsia="en-US"/>
        </w:rPr>
        <w:t xml:space="preserve">demonstration of a culture </w:t>
      </w:r>
      <w:r w:rsidRPr="465B37E6">
        <w:rPr>
          <w:rFonts w:eastAsia="Calibri"/>
          <w:lang w:eastAsia="en-US"/>
        </w:rPr>
        <w:lastRenderedPageBreak/>
        <w:t>of quality and organizational excellence of the company producing the device;</w:t>
      </w:r>
      <w:r w:rsidRPr="465B37E6">
        <w:rPr>
          <w:rFonts w:eastAsia="Calibri"/>
          <w:lang w:val="en-US" w:eastAsia="en-US"/>
        </w:rPr>
        <w:t xml:space="preserve"> 2) </w:t>
      </w:r>
      <w:r w:rsidRPr="465B37E6">
        <w:rPr>
          <w:rFonts w:eastAsia="Calibri"/>
          <w:lang w:eastAsia="en-US"/>
        </w:rPr>
        <w:t>premarket assurance of safety and effectiveness;</w:t>
      </w:r>
      <w:r w:rsidRPr="465B37E6">
        <w:rPr>
          <w:rFonts w:eastAsia="Calibri"/>
          <w:lang w:val="en-US" w:eastAsia="en-US"/>
        </w:rPr>
        <w:t xml:space="preserve"> 3) review</w:t>
      </w:r>
      <w:r w:rsidRPr="465B37E6">
        <w:rPr>
          <w:rFonts w:eastAsia="Calibri"/>
          <w:lang w:eastAsia="en-US"/>
        </w:rPr>
        <w:t xml:space="preserve"> of software as a medical device (</w:t>
      </w:r>
      <w:proofErr w:type="spellStart"/>
      <w:r w:rsidRPr="465B37E6">
        <w:rPr>
          <w:rFonts w:eastAsia="Calibri"/>
          <w:lang w:eastAsia="en-US"/>
        </w:rPr>
        <w:t>SaMD</w:t>
      </w:r>
      <w:proofErr w:type="spellEnd"/>
      <w:r w:rsidRPr="465B37E6">
        <w:rPr>
          <w:rFonts w:eastAsia="Calibri"/>
          <w:lang w:eastAsia="en-US"/>
        </w:rPr>
        <w:t>) pre-specifications and algorithm change protocol; and 4) real-world performance monitoring.</w:t>
      </w:r>
    </w:p>
    <w:p w14:paraId="3FFE49D0" w14:textId="77777777" w:rsidR="006E377C" w:rsidRDefault="006E377C" w:rsidP="00051772">
      <w:pPr>
        <w:pStyle w:val="Figure"/>
      </w:pPr>
      <w:r>
        <w:rPr>
          <w:noProof/>
        </w:rPr>
        <w:drawing>
          <wp:inline distT="0" distB="0" distL="0" distR="0" wp14:anchorId="3C026919" wp14:editId="4386BE85">
            <wp:extent cx="4958715" cy="2155372"/>
            <wp:effectExtent l="0" t="0" r="0" b="3810"/>
            <wp:docPr id="208212088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27">
                      <a:extLst>
                        <a:ext uri="{28A0092B-C50C-407E-A947-70E740481C1C}">
                          <a14:useLocalDpi xmlns:a14="http://schemas.microsoft.com/office/drawing/2010/main" val="0"/>
                        </a:ext>
                      </a:extLst>
                    </a:blip>
                    <a:srcRect b="5964"/>
                    <a:stretch/>
                  </pic:blipFill>
                  <pic:spPr bwMode="auto">
                    <a:xfrm>
                      <a:off x="0" y="0"/>
                      <a:ext cx="4959349" cy="2155648"/>
                    </a:xfrm>
                    <a:prstGeom prst="rect">
                      <a:avLst/>
                    </a:prstGeom>
                    <a:ln>
                      <a:noFill/>
                    </a:ln>
                    <a:extLst>
                      <a:ext uri="{53640926-AAD7-44D8-BBD7-CCE9431645EC}">
                        <a14:shadowObscured xmlns:a14="http://schemas.microsoft.com/office/drawing/2010/main"/>
                      </a:ext>
                    </a:extLst>
                  </pic:spPr>
                </pic:pic>
              </a:graphicData>
            </a:graphic>
          </wp:inline>
        </w:drawing>
      </w:r>
    </w:p>
    <w:p w14:paraId="08A0A028" w14:textId="77777777" w:rsidR="009718B4" w:rsidRPr="00961BCF" w:rsidRDefault="009718B4" w:rsidP="006E377C">
      <w:pPr>
        <w:pStyle w:val="FigureNotitle"/>
        <w:rPr>
          <w:sz w:val="22"/>
          <w:szCs w:val="22"/>
          <w:lang w:bidi="ar-DZ"/>
        </w:rPr>
      </w:pPr>
      <w:bookmarkStart w:id="42" w:name="_Toc39498211"/>
      <w:r w:rsidRPr="00EC6116">
        <w:rPr>
          <w:sz w:val="22"/>
          <w:szCs w:val="22"/>
          <w:lang w:bidi="ar-DZ"/>
        </w:rPr>
        <w:t xml:space="preserve">Figure 4: </w:t>
      </w:r>
      <w:r>
        <w:rPr>
          <w:sz w:val="22"/>
          <w:szCs w:val="22"/>
          <w:lang w:bidi="ar-DZ"/>
        </w:rPr>
        <w:t xml:space="preserve">Overlay of </w:t>
      </w:r>
      <w:r w:rsidRPr="00EC6116">
        <w:rPr>
          <w:sz w:val="22"/>
          <w:szCs w:val="22"/>
          <w:lang w:bidi="ar-DZ"/>
        </w:rPr>
        <w:t>FDA’s TPLC approach on AI/ML workflow</w:t>
      </w:r>
      <w:r w:rsidRPr="00EC6116">
        <w:rPr>
          <w:sz w:val="22"/>
          <w:szCs w:val="22"/>
          <w:highlight w:val="yellow"/>
          <w:lang w:bidi="ar-DZ"/>
        </w:rPr>
        <w:t xml:space="preserve"> [4]</w:t>
      </w:r>
      <w:bookmarkEnd w:id="42"/>
    </w:p>
    <w:p w14:paraId="19628A8E" w14:textId="49500D92" w:rsidR="006E377C" w:rsidRDefault="006E377C" w:rsidP="006E377C">
      <w:pPr>
        <w:pStyle w:val="Heading2"/>
        <w:numPr>
          <w:ilvl w:val="1"/>
          <w:numId w:val="1"/>
        </w:numPr>
        <w:rPr>
          <w:rFonts w:eastAsia="Calibri"/>
          <w:color w:val="000000" w:themeColor="text1"/>
          <w:lang w:val="en-US" w:eastAsia="en-US"/>
        </w:rPr>
      </w:pPr>
      <w:bookmarkStart w:id="43" w:name="_Toc39498188"/>
      <w:r w:rsidRPr="465B37E6">
        <w:rPr>
          <w:rFonts w:eastAsia="Calibri"/>
          <w:color w:val="000000" w:themeColor="text1"/>
          <w:lang w:val="en-US" w:eastAsia="en-US"/>
        </w:rPr>
        <w:t xml:space="preserve">Relevance and </w:t>
      </w:r>
      <w:r w:rsidR="00051772" w:rsidRPr="465B37E6">
        <w:rPr>
          <w:rFonts w:eastAsia="Calibri"/>
          <w:color w:val="000000" w:themeColor="text1"/>
          <w:lang w:val="en-US" w:eastAsia="en-US"/>
        </w:rPr>
        <w:t>suitability of the intended use</w:t>
      </w:r>
      <w:bookmarkEnd w:id="43"/>
    </w:p>
    <w:p w14:paraId="746A22D4" w14:textId="77777777" w:rsidR="006E377C" w:rsidRPr="00F81B26" w:rsidRDefault="006E377C" w:rsidP="00051772">
      <w:pPr>
        <w:rPr>
          <w:lang w:val="en-US" w:eastAsia="en-US"/>
        </w:rPr>
      </w:pPr>
      <w:r w:rsidRPr="642B15DE">
        <w:rPr>
          <w:lang w:eastAsia="en-US"/>
        </w:rPr>
        <w:t xml:space="preserve">When developing an AI-health related tool, it is important for developers and other stakeholders to understand the complexity of the clinical and/or public health context in which the AI solution will be utilized. </w:t>
      </w:r>
      <w:r w:rsidRPr="642B15DE">
        <w:rPr>
          <w:lang w:val="en-US" w:eastAsia="en-US"/>
        </w:rPr>
        <w:t xml:space="preserve">Developers of AI solutions should carefully consider all the facets of the problem they are attempting to address, including potential human-AI interactions. </w:t>
      </w:r>
      <w:r w:rsidRPr="642B15DE">
        <w:rPr>
          <w:lang w:eastAsia="en-US"/>
        </w:rPr>
        <w:t xml:space="preserve">For example, they should consider the clinical context in which the AI solution is expected to be utilized, the expected interface (HCPs and/or patients), the potential for human error and the potential consequences of the error, the physiological and pathological complexity of the problem, and other potential errors and risks. </w:t>
      </w:r>
      <w:r w:rsidRPr="642B15DE">
        <w:rPr>
          <w:lang w:val="en-US" w:eastAsia="en-US"/>
        </w:rPr>
        <w:t xml:space="preserve">Developers may want to consider addressing each aspect carefully, including outlining plans and procedures that address the context of use and ways to eliminate and/or manage potential risks. </w:t>
      </w:r>
      <w:bookmarkStart w:id="44" w:name="_Hlk37317220"/>
      <w:bookmarkEnd w:id="44"/>
    </w:p>
    <w:p w14:paraId="26C71687" w14:textId="17C8D42D" w:rsidR="006E377C" w:rsidRDefault="006E377C" w:rsidP="006E377C">
      <w:pPr>
        <w:pStyle w:val="Heading2"/>
        <w:numPr>
          <w:ilvl w:val="1"/>
          <w:numId w:val="1"/>
        </w:numPr>
        <w:rPr>
          <w:rFonts w:eastAsia="Calibri"/>
          <w:color w:val="000000" w:themeColor="text1"/>
          <w:lang w:val="en-US" w:eastAsia="en-US"/>
        </w:rPr>
      </w:pPr>
      <w:bookmarkStart w:id="45" w:name="_Toc39498189"/>
      <w:r w:rsidRPr="465B37E6">
        <w:rPr>
          <w:rFonts w:eastAsia="Calibri"/>
          <w:color w:val="000000" w:themeColor="text1"/>
          <w:lang w:val="en-US" w:eastAsia="en-US"/>
        </w:rPr>
        <w:t xml:space="preserve">Data </w:t>
      </w:r>
      <w:r w:rsidR="00051772" w:rsidRPr="465B37E6">
        <w:rPr>
          <w:rFonts w:eastAsia="Calibri"/>
          <w:color w:val="000000" w:themeColor="text1"/>
          <w:lang w:val="en-US" w:eastAsia="en-US"/>
        </w:rPr>
        <w:t>quality</w:t>
      </w:r>
      <w:bookmarkEnd w:id="45"/>
    </w:p>
    <w:p w14:paraId="3EB80818" w14:textId="77777777" w:rsidR="006E377C" w:rsidRDefault="006E377C" w:rsidP="00051772">
      <w:pPr>
        <w:rPr>
          <w:lang w:val="en-US" w:eastAsia="en-US"/>
        </w:rPr>
      </w:pPr>
      <w:r w:rsidRPr="53B4EF90">
        <w:rPr>
          <w:lang w:eastAsia="en-US"/>
        </w:rPr>
        <w:t xml:space="preserve">High performing, robust AI models are often initially trained on carefully curated data sets. However, in many healthcare ecosystems, despite the availability of large amounts of data, access to relevant and quality data is difficult. </w:t>
      </w:r>
      <w:r w:rsidRPr="53B4EF90">
        <w:rPr>
          <w:lang w:val="en-US" w:eastAsia="en-US"/>
        </w:rPr>
        <w:t>Harmonizing data from different sources, standards, and formats into a single coherent dataset for the purpose of its comprehensive analysis is especially challenging when using healthcare data. For example, much of the data may lack interoperability and may not be in machine-readable formats. Therefore, developers should be aware of data quality limitations when attempting to curate and utilize these large-scale data sets.</w:t>
      </w:r>
    </w:p>
    <w:p w14:paraId="351B4C66" w14:textId="77777777" w:rsidR="006E377C" w:rsidRDefault="006E377C" w:rsidP="00051772">
      <w:pPr>
        <w:rPr>
          <w:color w:val="000000" w:themeColor="text1"/>
          <w:lang w:eastAsia="en-US"/>
        </w:rPr>
      </w:pPr>
      <w:r w:rsidRPr="28D2064B">
        <w:rPr>
          <w:color w:val="000000" w:themeColor="text1"/>
          <w:lang w:val="en-US" w:eastAsia="en-US"/>
        </w:rPr>
        <w:t>Examples of factors that may affect the quality of health data include bias, missing values, outliers, and errors.</w:t>
      </w:r>
      <w:r w:rsidRPr="28D2064B">
        <w:rPr>
          <w:b/>
          <w:bCs/>
          <w:color w:val="000000" w:themeColor="text1"/>
          <w:lang w:val="en-US" w:eastAsia="en-US"/>
        </w:rPr>
        <w:t xml:space="preserve"> </w:t>
      </w:r>
      <w:r w:rsidRPr="28D2064B">
        <w:rPr>
          <w:color w:val="000000" w:themeColor="text1"/>
          <w:lang w:val="en-US" w:eastAsia="en-US"/>
        </w:rPr>
        <w:t xml:space="preserve">Developers should consider deploying rigorous pre-release trials for AI solutions to ensure that they will not amplify biases and errors due to any issues with the training data, algorithms, or other elements of system design. </w:t>
      </w:r>
      <w:r w:rsidRPr="28D2064B">
        <w:rPr>
          <w:color w:val="000000" w:themeColor="text1"/>
          <w:lang w:eastAsia="en-US"/>
        </w:rPr>
        <w:t xml:space="preserve">If data quality issues are identified early, the resulting possible harm could potentially be ameliorated with careful design or prompt troubleshooting. </w:t>
      </w:r>
    </w:p>
    <w:p w14:paraId="734EAA10" w14:textId="77777777" w:rsidR="006E377C" w:rsidRPr="00404660" w:rsidRDefault="006E377C" w:rsidP="00051772">
      <w:pPr>
        <w:rPr>
          <w:color w:val="000000" w:themeColor="text1"/>
          <w:lang w:val="en-US" w:eastAsia="en-US"/>
        </w:rPr>
      </w:pPr>
      <w:r w:rsidRPr="6ECF8C72">
        <w:rPr>
          <w:color w:val="000000" w:themeColor="text1"/>
          <w:lang w:val="en-US" w:eastAsia="en-US"/>
        </w:rPr>
        <w:t xml:space="preserve">A challenge that often arises with AI solutions is that the algorithm and the data that support it are often not available or are only described by developers in a very general sense. This situation makes it difficult to assess the quality of the underlying data. Therefore, transparency and careful documentation not only for the methodology used in the collection of data, but also for the actual selection and modifications of datasets used for training, validation, and testing, are important. Such transparency and documentation would enable verification and traceability. </w:t>
      </w:r>
    </w:p>
    <w:p w14:paraId="2BDF0CD1" w14:textId="77777777" w:rsidR="006E377C" w:rsidRPr="00F81B26" w:rsidRDefault="006E377C" w:rsidP="00051772">
      <w:pPr>
        <w:rPr>
          <w:iCs/>
          <w:color w:val="000000" w:themeColor="text1"/>
          <w:lang w:eastAsia="en-US"/>
        </w:rPr>
      </w:pPr>
      <w:r>
        <w:rPr>
          <w:iCs/>
          <w:color w:val="000000" w:themeColor="text1"/>
          <w:lang w:eastAsia="en-US"/>
        </w:rPr>
        <w:lastRenderedPageBreak/>
        <w:t>To mitigate the</w:t>
      </w:r>
      <w:r w:rsidRPr="00607A7C">
        <w:rPr>
          <w:iCs/>
          <w:color w:val="000000" w:themeColor="text1"/>
          <w:lang w:eastAsia="en-US"/>
        </w:rPr>
        <w:t xml:space="preserve"> unique data quality issues that arise in healthcare data and the associated risks, stakeholders should continue to work to create </w:t>
      </w:r>
      <w:r w:rsidRPr="00607A7C">
        <w:rPr>
          <w:iCs/>
          <w:color w:val="000000" w:themeColor="text1"/>
          <w:lang w:val="en-US" w:eastAsia="en-US"/>
        </w:rPr>
        <w:t>data ecosystems to facilitate the sharing of good</w:t>
      </w:r>
      <w:r>
        <w:rPr>
          <w:iCs/>
          <w:color w:val="000000" w:themeColor="text1"/>
          <w:lang w:val="en-US" w:eastAsia="en-US"/>
        </w:rPr>
        <w:t>-quality</w:t>
      </w:r>
      <w:r w:rsidRPr="00607A7C">
        <w:rPr>
          <w:iCs/>
          <w:color w:val="000000" w:themeColor="text1"/>
          <w:lang w:val="en-US" w:eastAsia="en-US"/>
        </w:rPr>
        <w:t xml:space="preserve"> data sources.</w:t>
      </w:r>
    </w:p>
    <w:p w14:paraId="26FB8212" w14:textId="56DC5F26" w:rsidR="006E377C" w:rsidRDefault="006E377C" w:rsidP="006E377C">
      <w:pPr>
        <w:pStyle w:val="Heading2"/>
        <w:numPr>
          <w:ilvl w:val="1"/>
          <w:numId w:val="1"/>
        </w:numPr>
        <w:rPr>
          <w:rFonts w:eastAsia="Calibri"/>
          <w:color w:val="000000" w:themeColor="text1"/>
          <w:lang w:val="en-US" w:eastAsia="en-US"/>
        </w:rPr>
      </w:pPr>
      <w:bookmarkStart w:id="46" w:name="_Toc39498190"/>
      <w:r w:rsidRPr="465B37E6">
        <w:rPr>
          <w:rFonts w:eastAsia="Calibri"/>
          <w:color w:val="000000" w:themeColor="text1"/>
          <w:lang w:val="en-US" w:eastAsia="en-US"/>
        </w:rPr>
        <w:t xml:space="preserve">Analytical and </w:t>
      </w:r>
      <w:r w:rsidR="00051772" w:rsidRPr="465B37E6">
        <w:rPr>
          <w:rFonts w:eastAsia="Calibri"/>
          <w:color w:val="000000" w:themeColor="text1"/>
          <w:lang w:val="en-US" w:eastAsia="en-US"/>
        </w:rPr>
        <w:t>clinical v</w:t>
      </w:r>
      <w:r w:rsidRPr="465B37E6">
        <w:rPr>
          <w:rFonts w:eastAsia="Calibri"/>
          <w:color w:val="000000" w:themeColor="text1"/>
          <w:lang w:val="en-US" w:eastAsia="en-US"/>
        </w:rPr>
        <w:t>alidation</w:t>
      </w:r>
      <w:bookmarkEnd w:id="46"/>
    </w:p>
    <w:p w14:paraId="19B9C5B5" w14:textId="77777777" w:rsidR="006E377C" w:rsidRDefault="006E377C" w:rsidP="006E377C">
      <w:pPr>
        <w:spacing w:before="0" w:line="259" w:lineRule="auto"/>
        <w:rPr>
          <w:rFonts w:eastAsia="Calibri"/>
          <w:color w:val="000000" w:themeColor="text1"/>
          <w:lang w:eastAsia="en-US"/>
        </w:rPr>
      </w:pPr>
      <w:r w:rsidRPr="28D2064B">
        <w:rPr>
          <w:rFonts w:eastAsia="Calibri"/>
          <w:color w:val="000000" w:themeColor="text1"/>
          <w:lang w:eastAsia="en-US"/>
        </w:rPr>
        <w:t>Developers can establish trust in their AI solution by performing well-documented technical and clinical validation steps throughout its lifecycle. For example, the IMDRF proposes a clinical evaluation framework that includes establishing a valid clinical association between the output and targeted clinical condition and analytical and clinical validation.</w:t>
      </w:r>
    </w:p>
    <w:p w14:paraId="06E26A14" w14:textId="77777777" w:rsidR="006E377C" w:rsidRPr="00F75E26" w:rsidRDefault="006E377C" w:rsidP="006E377C">
      <w:pPr>
        <w:spacing w:before="0" w:line="259" w:lineRule="auto"/>
        <w:rPr>
          <w:rFonts w:eastAsia="Calibri"/>
          <w:color w:val="000000" w:themeColor="text1"/>
          <w:lang w:eastAsia="en-US"/>
        </w:rPr>
      </w:pPr>
    </w:p>
    <w:p w14:paraId="6A0E11AB" w14:textId="77777777" w:rsidR="006E377C" w:rsidRDefault="006E377C" w:rsidP="006E377C">
      <w:pPr>
        <w:spacing w:before="0" w:after="160" w:line="259" w:lineRule="auto"/>
        <w:jc w:val="center"/>
        <w:rPr>
          <w:rFonts w:eastAsia="Calibri"/>
          <w:b/>
          <w:bCs/>
          <w:color w:val="000000" w:themeColor="text1"/>
          <w:lang w:val="en-US" w:eastAsia="en-US"/>
        </w:rPr>
      </w:pPr>
      <w:r>
        <w:rPr>
          <w:noProof/>
        </w:rPr>
        <w:drawing>
          <wp:inline distT="0" distB="0" distL="0" distR="0" wp14:anchorId="2347D760" wp14:editId="161E364D">
            <wp:extent cx="5510668" cy="12928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62724" cy="1305073"/>
                    </a:xfrm>
                    <a:prstGeom prst="rect">
                      <a:avLst/>
                    </a:prstGeom>
                  </pic:spPr>
                </pic:pic>
              </a:graphicData>
            </a:graphic>
          </wp:inline>
        </w:drawing>
      </w:r>
    </w:p>
    <w:p w14:paraId="41D9B56C" w14:textId="77777777" w:rsidR="009718B4" w:rsidRPr="00584860" w:rsidRDefault="009718B4" w:rsidP="006E377C">
      <w:pPr>
        <w:spacing w:before="0" w:after="160" w:line="259" w:lineRule="auto"/>
        <w:jc w:val="center"/>
        <w:rPr>
          <w:rFonts w:eastAsia="Calibri"/>
          <w:color w:val="000000" w:themeColor="text1"/>
          <w:sz w:val="22"/>
          <w:szCs w:val="22"/>
          <w:lang w:eastAsia="en-US"/>
        </w:rPr>
      </w:pPr>
      <w:r w:rsidRPr="00584860">
        <w:rPr>
          <w:rFonts w:eastAsia="Calibri"/>
          <w:b/>
          <w:color w:val="000000" w:themeColor="text1"/>
          <w:sz w:val="22"/>
          <w:szCs w:val="22"/>
          <w:lang w:eastAsia="en-US"/>
        </w:rPr>
        <w:t xml:space="preserve">Figure 5: IMDRF </w:t>
      </w:r>
      <w:r>
        <w:rPr>
          <w:rFonts w:eastAsia="Calibri"/>
          <w:b/>
          <w:color w:val="000000" w:themeColor="text1"/>
          <w:sz w:val="22"/>
          <w:szCs w:val="22"/>
          <w:lang w:eastAsia="en-US"/>
        </w:rPr>
        <w:t>description of Clinical Evaluation components</w:t>
      </w:r>
      <w:r w:rsidRPr="00584860">
        <w:rPr>
          <w:rFonts w:eastAsia="Calibri"/>
          <w:b/>
          <w:color w:val="000000" w:themeColor="text1"/>
          <w:sz w:val="22"/>
          <w:szCs w:val="22"/>
          <w:lang w:eastAsia="en-US"/>
        </w:rPr>
        <w:t xml:space="preserve"> </w:t>
      </w:r>
      <w:r w:rsidRPr="00772EF7">
        <w:rPr>
          <w:rFonts w:eastAsia="Calibri"/>
          <w:b/>
          <w:color w:val="000000" w:themeColor="text1"/>
          <w:sz w:val="22"/>
          <w:szCs w:val="22"/>
          <w:highlight w:val="yellow"/>
          <w:lang w:eastAsia="en-US"/>
        </w:rPr>
        <w:t>[5]</w:t>
      </w:r>
    </w:p>
    <w:p w14:paraId="38C8B892" w14:textId="249D2BEA" w:rsidR="006E377C" w:rsidRDefault="006E377C" w:rsidP="006E377C">
      <w:pPr>
        <w:pStyle w:val="Heading2"/>
        <w:numPr>
          <w:ilvl w:val="1"/>
          <w:numId w:val="1"/>
        </w:numPr>
        <w:rPr>
          <w:rFonts w:eastAsia="Calibri"/>
          <w:color w:val="000000" w:themeColor="text1"/>
          <w:lang w:val="en-US" w:eastAsia="en-US"/>
        </w:rPr>
      </w:pPr>
      <w:bookmarkStart w:id="47" w:name="_Toc39498191"/>
      <w:r w:rsidRPr="465B37E6">
        <w:rPr>
          <w:rFonts w:eastAsia="Calibri"/>
          <w:color w:val="000000" w:themeColor="text1"/>
          <w:lang w:val="en-US" w:eastAsia="en-US"/>
        </w:rPr>
        <w:t xml:space="preserve">Ethics and </w:t>
      </w:r>
      <w:r w:rsidR="00051772" w:rsidRPr="465B37E6">
        <w:rPr>
          <w:rFonts w:eastAsia="Calibri"/>
          <w:color w:val="000000" w:themeColor="text1"/>
          <w:lang w:val="en-US" w:eastAsia="en-US"/>
        </w:rPr>
        <w:t>privacy</w:t>
      </w:r>
      <w:bookmarkEnd w:id="47"/>
    </w:p>
    <w:p w14:paraId="075D7EA7" w14:textId="77777777" w:rsidR="006E377C" w:rsidRDefault="006E377C" w:rsidP="00051772">
      <w:pPr>
        <w:rPr>
          <w:lang w:val="en-US" w:eastAsia="en-US"/>
        </w:rPr>
      </w:pPr>
      <w:bookmarkStart w:id="48" w:name="_Hlk37317439"/>
      <w:r w:rsidRPr="3B4A1BA3">
        <w:rPr>
          <w:lang w:eastAsia="en-US"/>
        </w:rPr>
        <w:t>The use of AI solutions and technologies for therapeutic development or healthcare applications presents considerable opportunities to advance medicine, but may also raise a number of scientific, social, and ethical challenges related to potential health risks involved, equitable access, privacy, appropriate uses and users, bias, and inclusiveness.</w:t>
      </w:r>
      <w:r w:rsidRPr="3B4A1BA3">
        <w:rPr>
          <w:lang w:val="en-US" w:eastAsia="en-US"/>
        </w:rPr>
        <w:t xml:space="preserve"> Developers should carefully consider the potential scientific and ethical issues that may arise in the development and use of their AI solution, as well as how such systems can align with established ethical frameworks and scientific standards in medical research and clinical care. </w:t>
      </w:r>
    </w:p>
    <w:p w14:paraId="60584E0E" w14:textId="77777777" w:rsidR="006E377C" w:rsidRDefault="006E377C" w:rsidP="00051772">
      <w:pPr>
        <w:rPr>
          <w:lang w:eastAsia="en-US"/>
        </w:rPr>
      </w:pPr>
      <w:r w:rsidRPr="642B15DE">
        <w:rPr>
          <w:lang w:eastAsia="en-US"/>
        </w:rPr>
        <w:t xml:space="preserve">Although the meaning of privacy varies according to context, environment, regional regulations, and society, </w:t>
      </w:r>
      <w:r w:rsidRPr="642B15DE">
        <w:rPr>
          <w:lang w:val="en-US" w:eastAsia="en-US"/>
        </w:rPr>
        <w:t xml:space="preserve">data privacy presents a unique challenge for policymakers in any country wishing to benefit from the many opportunities of AI technologies. </w:t>
      </w:r>
      <w:r w:rsidRPr="642B15DE">
        <w:rPr>
          <w:lang w:eastAsia="en-US"/>
        </w:rPr>
        <w:t xml:space="preserve">One of the main reasons for this is that the high dimensionality of big data could make it difficult to apply anonymization and de-identification methods. Additionally, securing large-scale data sets against unauthorized access at each stage of the development process – collection, storage and management, transport, analysis, and destruction – is an important consideration. </w:t>
      </w:r>
    </w:p>
    <w:p w14:paraId="30CE99C3" w14:textId="77777777" w:rsidR="006E377C" w:rsidRPr="00F81B26" w:rsidRDefault="006E377C" w:rsidP="00051772">
      <w:pPr>
        <w:rPr>
          <w:lang w:eastAsia="en-US"/>
        </w:rPr>
      </w:pPr>
      <w:r w:rsidRPr="28D2064B">
        <w:rPr>
          <w:lang w:eastAsia="en-US"/>
        </w:rPr>
        <w:t>More than forty countries have enacted data protection regulations or information privacy laws and many other countries are in the process of enacting such laws. Therefore, when developing an AI solution for therapeutic development or healthcare applications, early in the development process developers should consider gaining an understanding of the applicable data protection regulations and privacy laws, including special regulatory provisions related to sensitive data, such as genetic data. Developers should be aware of the nuances of the different jurisdictions’ regulations and laws and consider documenting their data protection practices accordingly.</w:t>
      </w:r>
      <w:bookmarkEnd w:id="48"/>
    </w:p>
    <w:p w14:paraId="00ED9A92" w14:textId="77777777" w:rsidR="006E377C" w:rsidRDefault="006E377C" w:rsidP="006E377C">
      <w:pPr>
        <w:pStyle w:val="Heading2"/>
        <w:numPr>
          <w:ilvl w:val="1"/>
          <w:numId w:val="1"/>
        </w:numPr>
        <w:rPr>
          <w:lang w:val="en-US"/>
        </w:rPr>
      </w:pPr>
      <w:bookmarkStart w:id="49" w:name="_Toc39498192"/>
      <w:r>
        <w:rPr>
          <w:lang w:val="en-US"/>
        </w:rPr>
        <w:t>Engagement</w:t>
      </w:r>
      <w:bookmarkEnd w:id="49"/>
    </w:p>
    <w:p w14:paraId="364F8684" w14:textId="77777777" w:rsidR="006E377C" w:rsidRPr="00F81B26" w:rsidRDefault="006E377C" w:rsidP="00051772">
      <w:pPr>
        <w:rPr>
          <w:lang w:val="en-US" w:eastAsia="en-US"/>
        </w:rPr>
      </w:pPr>
      <w:r w:rsidRPr="3B4A1BA3">
        <w:rPr>
          <w:lang w:val="en-US" w:eastAsia="en-US"/>
        </w:rPr>
        <w:t xml:space="preserve">Stakeholder engagement, especially between regulators, developers, and health care policymakers to help establish a common understanding of the technology, its implications, and regulatory considerations will support the responsible development of AI-related health tools and enhance clarity throughout the process. Developers may want to consider engaging with regulators early in the development process to address any critical issues that may have regulatory implications and to ensure that they are accurately accounting for the complexity of the clinical and public health </w:t>
      </w:r>
      <w:r w:rsidRPr="3B4A1BA3">
        <w:rPr>
          <w:lang w:val="en-US" w:eastAsia="en-US"/>
        </w:rPr>
        <w:lastRenderedPageBreak/>
        <w:t xml:space="preserve">contexts of the AI solution’s intended use. In addition, such engagements throughout the process to address complicated questions that may arise, such as the adequacy of validation methods for less transparent models, may help provide further assurances of the safety and trustworthiness of the AI solution. These types of engagements could also potentially facilitate the approval of innovative AI solutions that could greatly benefit public health. </w:t>
      </w:r>
    </w:p>
    <w:p w14:paraId="23E847A1" w14:textId="77777777" w:rsidR="006E377C" w:rsidRDefault="006E377C" w:rsidP="006E377C">
      <w:pPr>
        <w:pStyle w:val="Heading2"/>
        <w:numPr>
          <w:ilvl w:val="1"/>
          <w:numId w:val="1"/>
        </w:numPr>
        <w:rPr>
          <w:lang w:val="en-US"/>
        </w:rPr>
      </w:pPr>
      <w:bookmarkStart w:id="50" w:name="_Toc39498193"/>
      <w:r>
        <w:rPr>
          <w:lang w:val="en-US"/>
        </w:rPr>
        <w:t>Other</w:t>
      </w:r>
      <w:bookmarkEnd w:id="50"/>
    </w:p>
    <w:p w14:paraId="2110A9FB" w14:textId="77777777" w:rsidR="006E377C" w:rsidRDefault="006E377C" w:rsidP="006E377C">
      <w:pPr>
        <w:rPr>
          <w:lang w:val="en-US"/>
        </w:rPr>
      </w:pPr>
      <w:r>
        <w:rPr>
          <w:lang w:val="en-US"/>
        </w:rPr>
        <w:t>…</w:t>
      </w:r>
    </w:p>
    <w:p w14:paraId="1755C865" w14:textId="77777777" w:rsidR="006E377C" w:rsidRPr="00276E37" w:rsidRDefault="006E377C" w:rsidP="006E377C">
      <w:pPr>
        <w:rPr>
          <w:lang w:val="en-US"/>
        </w:rPr>
      </w:pPr>
    </w:p>
    <w:p w14:paraId="50F585BC" w14:textId="09E5488B" w:rsidR="006E377C" w:rsidRPr="00F81B26" w:rsidRDefault="006E377C" w:rsidP="006E377C">
      <w:pPr>
        <w:pStyle w:val="Heading1"/>
        <w:numPr>
          <w:ilvl w:val="0"/>
          <w:numId w:val="1"/>
        </w:numPr>
        <w:rPr>
          <w:lang w:bidi="ar-DZ"/>
        </w:rPr>
      </w:pPr>
      <w:bookmarkStart w:id="51" w:name="_Toc39498194"/>
      <w:r w:rsidRPr="00F81B26">
        <w:t xml:space="preserve">Practical implications of regulating and assessing AI for health </w:t>
      </w:r>
      <w:r w:rsidR="00051772" w:rsidRPr="00F81B26">
        <w:t>in low-resource settings</w:t>
      </w:r>
      <w:bookmarkEnd w:id="51"/>
    </w:p>
    <w:p w14:paraId="76185C3A" w14:textId="77777777" w:rsidR="006E377C" w:rsidRDefault="006E377C" w:rsidP="00051772">
      <w:r>
        <w:t>The utility of AI solutions holds great potential to advance health in low resource settings. Stakeholders should consider the possible challenges of the development and assessment of AI solutions in such settings. In this section, we will discuss practical implications of regulating and assessing AI for health in low-resource settings, such as:</w:t>
      </w:r>
    </w:p>
    <w:p w14:paraId="1F972298" w14:textId="77777777" w:rsidR="006E377C" w:rsidRDefault="006E377C" w:rsidP="00051772">
      <w:pPr>
        <w:pStyle w:val="ListParagraph"/>
        <w:numPr>
          <w:ilvl w:val="0"/>
          <w:numId w:val="23"/>
        </w:numPr>
        <w:overflowPunct w:val="0"/>
        <w:autoSpaceDE w:val="0"/>
        <w:autoSpaceDN w:val="0"/>
        <w:adjustRightInd w:val="0"/>
        <w:ind w:left="567" w:hanging="567"/>
        <w:textAlignment w:val="baseline"/>
        <w:rPr>
          <w:b/>
          <w:bCs/>
        </w:rPr>
      </w:pPr>
      <w:r>
        <w:t>Fully understanding the complexity of the healthcare needs in the specific setting.</w:t>
      </w:r>
    </w:p>
    <w:p w14:paraId="0416EF13" w14:textId="77777777" w:rsidR="006E377C" w:rsidRDefault="006E377C" w:rsidP="00051772">
      <w:pPr>
        <w:pStyle w:val="ListParagraph"/>
        <w:numPr>
          <w:ilvl w:val="0"/>
          <w:numId w:val="23"/>
        </w:numPr>
        <w:overflowPunct w:val="0"/>
        <w:autoSpaceDE w:val="0"/>
        <w:autoSpaceDN w:val="0"/>
        <w:adjustRightInd w:val="0"/>
        <w:ind w:left="567" w:hanging="567"/>
        <w:textAlignment w:val="baseline"/>
        <w:rPr>
          <w:b/>
          <w:bCs/>
        </w:rPr>
      </w:pPr>
      <w:r>
        <w:t>Encouraging dialogue between all stakeholders to assure that the development of the AI solution is responsive to the needs and specifics of the setting.</w:t>
      </w:r>
    </w:p>
    <w:p w14:paraId="7EDE54CF" w14:textId="77777777" w:rsidR="006E377C" w:rsidRDefault="006E377C" w:rsidP="00051772">
      <w:pPr>
        <w:pStyle w:val="ListParagraph"/>
        <w:numPr>
          <w:ilvl w:val="0"/>
          <w:numId w:val="23"/>
        </w:numPr>
        <w:overflowPunct w:val="0"/>
        <w:autoSpaceDE w:val="0"/>
        <w:autoSpaceDN w:val="0"/>
        <w:adjustRightInd w:val="0"/>
        <w:ind w:left="567" w:hanging="567"/>
        <w:textAlignment w:val="baseline"/>
        <w:rPr>
          <w:b/>
          <w:bCs/>
        </w:rPr>
      </w:pPr>
      <w:r>
        <w:t>Identifying and dedicating the needed resources to facilitate the development, testing, and deployment of the AI solution.</w:t>
      </w:r>
    </w:p>
    <w:p w14:paraId="32689025" w14:textId="77777777" w:rsidR="006E377C" w:rsidRPr="00F72726" w:rsidRDefault="006E377C" w:rsidP="00051772">
      <w:pPr>
        <w:pStyle w:val="ListParagraph"/>
        <w:numPr>
          <w:ilvl w:val="0"/>
          <w:numId w:val="23"/>
        </w:numPr>
        <w:overflowPunct w:val="0"/>
        <w:autoSpaceDE w:val="0"/>
        <w:autoSpaceDN w:val="0"/>
        <w:adjustRightInd w:val="0"/>
        <w:ind w:left="567" w:hanging="567"/>
        <w:textAlignment w:val="baseline"/>
        <w:rPr>
          <w:b/>
          <w:bCs/>
        </w:rPr>
      </w:pPr>
      <w:r>
        <w:t>Determining the regulatory and governance needs to ensure that the AI solution is safe and effective.</w:t>
      </w:r>
    </w:p>
    <w:p w14:paraId="706EBA86" w14:textId="77777777" w:rsidR="006E377C" w:rsidRDefault="006E377C" w:rsidP="00051772">
      <w:pPr>
        <w:pStyle w:val="ListParagraph"/>
        <w:numPr>
          <w:ilvl w:val="0"/>
          <w:numId w:val="23"/>
        </w:numPr>
        <w:overflowPunct w:val="0"/>
        <w:autoSpaceDE w:val="0"/>
        <w:autoSpaceDN w:val="0"/>
        <w:adjustRightInd w:val="0"/>
        <w:ind w:left="567" w:hanging="567"/>
        <w:textAlignment w:val="baseline"/>
        <w:rPr>
          <w:rFonts w:eastAsia="Times New Roman"/>
          <w:b/>
          <w:bCs/>
        </w:rPr>
      </w:pPr>
      <w:r>
        <w:t xml:space="preserve">Ensuring effective communication and collaboration between stakeholders to facilitate </w:t>
      </w:r>
      <w:proofErr w:type="gramStart"/>
      <w:r>
        <w:t>all of</w:t>
      </w:r>
      <w:proofErr w:type="gramEnd"/>
      <w:r>
        <w:t xml:space="preserve"> the processes. </w:t>
      </w:r>
    </w:p>
    <w:p w14:paraId="62F693C6" w14:textId="77777777" w:rsidR="006E377C" w:rsidRDefault="006E377C" w:rsidP="006E377C">
      <w:pPr>
        <w:rPr>
          <w:highlight w:val="yellow"/>
        </w:rPr>
      </w:pPr>
    </w:p>
    <w:p w14:paraId="5400567C" w14:textId="77777777" w:rsidR="00283D8C" w:rsidRPr="00283D8C" w:rsidRDefault="00283D8C" w:rsidP="00283D8C">
      <w:pPr>
        <w:rPr>
          <w:lang w:eastAsia="en-US" w:bidi="ar-DZ"/>
        </w:rPr>
      </w:pPr>
    </w:p>
    <w:p w14:paraId="0BE0F41E" w14:textId="77777777" w:rsidR="006E377C" w:rsidRDefault="006E377C" w:rsidP="006E377C">
      <w:pPr>
        <w:pStyle w:val="AnnexNotitle"/>
        <w:rPr>
          <w:lang w:bidi="ar-DZ"/>
        </w:rPr>
      </w:pPr>
      <w:bookmarkStart w:id="52" w:name="_Toc39498195"/>
      <w:r>
        <w:rPr>
          <w:lang w:bidi="ar-DZ"/>
        </w:rPr>
        <w:t xml:space="preserve">Annex </w:t>
      </w:r>
      <w:proofErr w:type="spellStart"/>
      <w:r>
        <w:rPr>
          <w:lang w:bidi="ar-DZ"/>
        </w:rPr>
        <w:t>A</w:t>
      </w:r>
      <w:proofErr w:type="spellEnd"/>
      <w:r>
        <w:rPr>
          <w:lang w:bidi="ar-DZ"/>
        </w:rPr>
        <w:br/>
      </w:r>
      <w:r w:rsidRPr="009635CB">
        <w:rPr>
          <w:highlight w:val="yellow"/>
          <w:lang w:bidi="ar-DZ"/>
        </w:rPr>
        <w:t xml:space="preserve">Example of </w:t>
      </w:r>
      <w:r w:rsidRPr="00C15D59">
        <w:rPr>
          <w:highlight w:val="yellow"/>
          <w:lang w:bidi="ar-DZ"/>
        </w:rPr>
        <w:t>annex (important material essential to the completeness of the deliverable)</w:t>
      </w:r>
      <w:bookmarkEnd w:id="52"/>
    </w:p>
    <w:p w14:paraId="5001C717" w14:textId="77777777" w:rsidR="006E377C" w:rsidRPr="009635CB" w:rsidRDefault="006E377C" w:rsidP="006E377C">
      <w:r w:rsidRPr="009635CB">
        <w:rPr>
          <w:highlight w:val="yellow"/>
        </w:rPr>
        <w:t>[ADD TEXT].</w:t>
      </w:r>
    </w:p>
    <w:p w14:paraId="6F3F8CED" w14:textId="77777777" w:rsidR="006E377C" w:rsidRDefault="006E377C" w:rsidP="006E377C">
      <w:pPr>
        <w:rPr>
          <w:lang w:bidi="ar-DZ"/>
        </w:rPr>
      </w:pPr>
    </w:p>
    <w:p w14:paraId="740E5C8D" w14:textId="77777777" w:rsidR="006E377C" w:rsidRPr="00C15D59" w:rsidRDefault="006E377C" w:rsidP="006E377C">
      <w:pPr>
        <w:pStyle w:val="AppendixNotitle"/>
        <w:rPr>
          <w:highlight w:val="yellow"/>
          <w:lang w:bidi="ar-DZ"/>
        </w:rPr>
      </w:pPr>
      <w:bookmarkStart w:id="53" w:name="_Toc39498196"/>
      <w:r>
        <w:rPr>
          <w:lang w:bidi="ar-DZ"/>
        </w:rPr>
        <w:t>Appendix I</w:t>
      </w:r>
      <w:r>
        <w:rPr>
          <w:lang w:bidi="ar-DZ"/>
        </w:rPr>
        <w:br/>
      </w:r>
      <w:r w:rsidRPr="00C15D59">
        <w:rPr>
          <w:highlight w:val="yellow"/>
          <w:lang w:bidi="ar-DZ"/>
        </w:rPr>
        <w:t>Example of appendix (optional or informative material)</w:t>
      </w:r>
      <w:bookmarkEnd w:id="53"/>
    </w:p>
    <w:p w14:paraId="6601822F" w14:textId="77777777" w:rsidR="006E377C" w:rsidRPr="009635CB" w:rsidRDefault="006E377C" w:rsidP="006E377C">
      <w:r w:rsidRPr="009635CB">
        <w:rPr>
          <w:highlight w:val="yellow"/>
        </w:rPr>
        <w:t>[ADD TEXT, IF ANY].</w:t>
      </w:r>
    </w:p>
    <w:p w14:paraId="62EC33BE" w14:textId="77777777" w:rsidR="006E377C" w:rsidRPr="002D41EB" w:rsidRDefault="006E377C" w:rsidP="006E377C">
      <w:pPr>
        <w:rPr>
          <w:lang w:bidi="ar-DZ"/>
        </w:rPr>
      </w:pPr>
    </w:p>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29"/>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A2C6" w14:textId="77777777" w:rsidR="00A44153" w:rsidRDefault="00A44153" w:rsidP="007B7733">
      <w:pPr>
        <w:spacing w:before="0"/>
      </w:pPr>
      <w:r>
        <w:separator/>
      </w:r>
    </w:p>
  </w:endnote>
  <w:endnote w:type="continuationSeparator" w:id="0">
    <w:p w14:paraId="6D9AE072" w14:textId="77777777" w:rsidR="00A44153" w:rsidRDefault="00A4415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9CED" w14:textId="77777777" w:rsidR="006E377C" w:rsidRDefault="006E377C">
    <w:pPr>
      <w:pStyle w:val="Footer"/>
      <w:tabs>
        <w:tab w:val="left" w:pos="5245"/>
      </w:tabs>
      <w:rPr>
        <w:sz w:val="16"/>
      </w:rPr>
    </w:pPr>
    <w:r>
      <w:rPr>
        <w:noProof/>
        <w:sz w:val="16"/>
      </w:rPr>
      <w:drawing>
        <wp:anchor distT="0" distB="0" distL="114300" distR="114300" simplePos="0" relativeHeight="251656704" behindDoc="0" locked="0" layoutInCell="1" allowOverlap="1" wp14:anchorId="5BE5D7BA" wp14:editId="1B91D3BD">
          <wp:simplePos x="0" y="0"/>
          <wp:positionH relativeFrom="column">
            <wp:posOffset>5182235</wp:posOffset>
          </wp:positionH>
          <wp:positionV relativeFrom="paragraph">
            <wp:posOffset>-137160</wp:posOffset>
          </wp:positionV>
          <wp:extent cx="1504315" cy="634365"/>
          <wp:effectExtent l="0" t="0" r="0" b="0"/>
          <wp:wrapNone/>
          <wp:docPr id="1" name="Picture 1"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175B" w14:textId="017F2666" w:rsidR="006E377C" w:rsidRPr="00565768" w:rsidRDefault="006E377C" w:rsidP="00BF75F5">
    <w:pPr>
      <w:pStyle w:val="Footer"/>
      <w:jc w:val="right"/>
      <w:rPr>
        <w:b/>
        <w:sz w:val="2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9540" w14:textId="45B66551" w:rsidR="006E377C" w:rsidRDefault="006E377C">
    <w:pPr>
      <w:pStyle w:val="Footer"/>
      <w:tabs>
        <w:tab w:val="left" w:pos="360"/>
        <w:tab w:val="right" w:pos="9600"/>
      </w:tabs>
      <w:ind w:right="-162" w:firstLine="360"/>
      <w:rPr>
        <w:b/>
        <w:b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F066" w14:textId="77777777" w:rsidR="00A44153" w:rsidRDefault="00A44153" w:rsidP="007B7733">
      <w:pPr>
        <w:spacing w:before="0"/>
      </w:pPr>
      <w:r>
        <w:separator/>
      </w:r>
    </w:p>
  </w:footnote>
  <w:footnote w:type="continuationSeparator" w:id="0">
    <w:p w14:paraId="58DF8221" w14:textId="77777777" w:rsidR="00A44153" w:rsidRDefault="00A44153"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5587" w14:textId="77777777" w:rsidR="006E377C" w:rsidRDefault="006E377C" w:rsidP="00BF75F5">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3170B85" w14:textId="77777777" w:rsidR="006E377C" w:rsidRPr="007336C4" w:rsidRDefault="006E377C" w:rsidP="00BF75F5">
    <w:pPr>
      <w:pStyle w:val="Header"/>
    </w:pPr>
    <w:r>
      <w:rPr>
        <w:noProof/>
      </w:rPr>
      <w:fldChar w:fldCharType="begin"/>
    </w:r>
    <w:r>
      <w:rPr>
        <w:noProof/>
      </w:rPr>
      <w:instrText xml:space="preserve"> STYLEREF  Docnumber  \* MERGEFORMAT </w:instrText>
    </w:r>
    <w:r>
      <w:rPr>
        <w:noProof/>
      </w:rPr>
      <w:fldChar w:fldCharType="separate"/>
    </w:r>
    <w:r>
      <w:rPr>
        <w:noProof/>
      </w:rPr>
      <w:t>FG-AI4H-I-#</w:t>
    </w:r>
    <w:r>
      <w:rPr>
        <w:noProof/>
      </w:rPr>
      <w:fldChar w:fldCharType="end"/>
    </w:r>
  </w:p>
  <w:p w14:paraId="7621B372" w14:textId="77777777" w:rsidR="006E377C" w:rsidRDefault="006E37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7E83" w14:textId="77777777" w:rsidR="006E377C" w:rsidRDefault="006E377C">
    <w:pPr>
      <w:pStyle w:val="Header"/>
    </w:pPr>
    <w:r>
      <w:rPr>
        <w:noProof/>
      </w:rPr>
      <w:drawing>
        <wp:anchor distT="0" distB="0" distL="114300" distR="114300" simplePos="0" relativeHeight="251657728" behindDoc="0" locked="0" layoutInCell="1" allowOverlap="1" wp14:anchorId="48180678" wp14:editId="5CBD0E98">
          <wp:simplePos x="0" y="0"/>
          <wp:positionH relativeFrom="column">
            <wp:posOffset>-762000</wp:posOffset>
          </wp:positionH>
          <wp:positionV relativeFrom="paragraph">
            <wp:posOffset>-492760</wp:posOffset>
          </wp:positionV>
          <wp:extent cx="1569720" cy="10771505"/>
          <wp:effectExtent l="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A83F" w14:textId="77777777" w:rsidR="006E377C" w:rsidRDefault="006E37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16129"/>
      <w:docPartObj>
        <w:docPartGallery w:val="Watermarks"/>
        <w:docPartUnique/>
      </w:docPartObj>
    </w:sdtPr>
    <w:sdtEndPr/>
    <w:sdtContent>
      <w:p w14:paraId="6F6A03EC" w14:textId="77777777" w:rsidR="006E377C" w:rsidRPr="00B22DA4" w:rsidRDefault="00A44153" w:rsidP="00BF75F5">
        <w:pPr>
          <w:pStyle w:val="Header"/>
        </w:pPr>
        <w:r>
          <w:rPr>
            <w:noProof/>
          </w:rPr>
          <w:pict w14:anchorId="2015D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D7A1" w14:textId="77777777" w:rsidR="00432C75" w:rsidRDefault="00432C75" w:rsidP="00432C75">
    <w:pPr>
      <w:pStyle w:val="Header"/>
      <w:rPr>
        <w:lang w:val="pt-BR"/>
      </w:rPr>
    </w:pPr>
    <w:r>
      <w:t xml:space="preserve">- </w:t>
    </w:r>
    <w:r>
      <w:fldChar w:fldCharType="begin"/>
    </w:r>
    <w:r>
      <w:instrText xml:space="preserve"> PAGE  \* MERGEFORMAT </w:instrText>
    </w:r>
    <w:r>
      <w:fldChar w:fldCharType="separate"/>
    </w:r>
    <w:r>
      <w:t>5</w:t>
    </w:r>
    <w:r>
      <w:rPr>
        <w:noProof/>
      </w:rPr>
      <w:fldChar w:fldCharType="end"/>
    </w:r>
    <w:r>
      <w:rPr>
        <w:lang w:val="pt-BR"/>
      </w:rPr>
      <w:t xml:space="preserve"> -</w:t>
    </w:r>
  </w:p>
  <w:p w14:paraId="713A25E2" w14:textId="51178362" w:rsidR="00432C75" w:rsidRPr="007336C4" w:rsidRDefault="00432C75" w:rsidP="00432C75">
    <w:pPr>
      <w:pStyle w:val="Header"/>
    </w:pPr>
    <w:r>
      <w:rPr>
        <w:noProof/>
      </w:rPr>
      <w:fldChar w:fldCharType="begin"/>
    </w:r>
    <w:r>
      <w:rPr>
        <w:noProof/>
      </w:rPr>
      <w:instrText xml:space="preserve"> STYLEREF  Docnumber  \* MERGEFORMAT </w:instrText>
    </w:r>
    <w:r>
      <w:rPr>
        <w:noProof/>
      </w:rPr>
      <w:fldChar w:fldCharType="separate"/>
    </w:r>
    <w:r w:rsidR="00051772">
      <w:rPr>
        <w:noProof/>
      </w:rPr>
      <w:t>FG-AI4H-I-038</w:t>
    </w:r>
    <w:r>
      <w:rPr>
        <w:noProof/>
      </w:rPr>
      <w:fldChar w:fldCharType="end"/>
    </w:r>
  </w:p>
  <w:p w14:paraId="0593ABAD" w14:textId="77777777" w:rsidR="006E377C" w:rsidRPr="00B22DA4" w:rsidRDefault="006E377C" w:rsidP="00BF75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E70F683"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051772">
      <w:rPr>
        <w:noProof/>
      </w:rPr>
      <w:t>FG-AI4H-I-038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124B42"/>
    <w:multiLevelType w:val="hybridMultilevel"/>
    <w:tmpl w:val="C0E003D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18774457"/>
    <w:multiLevelType w:val="hybridMultilevel"/>
    <w:tmpl w:val="C0E6C6E8"/>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A1F84"/>
    <w:multiLevelType w:val="hybridMultilevel"/>
    <w:tmpl w:val="B4A0040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B733BF"/>
    <w:multiLevelType w:val="hybridMultilevel"/>
    <w:tmpl w:val="9E3A9D4A"/>
    <w:lvl w:ilvl="0" w:tplc="6962519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3BB602AE"/>
    <w:multiLevelType w:val="hybridMultilevel"/>
    <w:tmpl w:val="4D30C156"/>
    <w:lvl w:ilvl="0" w:tplc="5B38CE50">
      <w:start w:val="1"/>
      <w:numFmt w:val="decimal"/>
      <w:lvlText w:val="7.%1"/>
      <w:lvlJc w:val="left"/>
      <w:pPr>
        <w:ind w:left="108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E54791"/>
    <w:multiLevelType w:val="hybridMultilevel"/>
    <w:tmpl w:val="7512979A"/>
    <w:lvl w:ilvl="0" w:tplc="6962519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684035A6"/>
    <w:multiLevelType w:val="hybridMultilevel"/>
    <w:tmpl w:val="A9107252"/>
    <w:lvl w:ilvl="0" w:tplc="6084189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4E66FA5"/>
    <w:multiLevelType w:val="hybridMultilevel"/>
    <w:tmpl w:val="543E2F14"/>
    <w:lvl w:ilvl="0" w:tplc="C1D6CD02">
      <w:start w:val="1"/>
      <w:numFmt w:val="decimal"/>
      <w:lvlText w:val="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30FD0"/>
    <w:multiLevelType w:val="hybridMultilevel"/>
    <w:tmpl w:val="836421A6"/>
    <w:lvl w:ilvl="0" w:tplc="6962519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3"/>
  </w:num>
  <w:num w:numId="23">
    <w:abstractNumId w:val="19"/>
  </w:num>
  <w:num w:numId="24">
    <w:abstractNumId w:val="15"/>
  </w:num>
  <w:num w:numId="25">
    <w:abstractNumId w:val="11"/>
  </w:num>
  <w:num w:numId="26">
    <w:abstractNumId w:val="16"/>
  </w:num>
  <w:num w:numId="27">
    <w:abstractNumId w:val="1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59C0"/>
    <w:rsid w:val="00007288"/>
    <w:rsid w:val="0001104D"/>
    <w:rsid w:val="00012EB5"/>
    <w:rsid w:val="00017655"/>
    <w:rsid w:val="00017FE7"/>
    <w:rsid w:val="00022B29"/>
    <w:rsid w:val="00025502"/>
    <w:rsid w:val="00027A32"/>
    <w:rsid w:val="00030DBC"/>
    <w:rsid w:val="0003117B"/>
    <w:rsid w:val="0003257A"/>
    <w:rsid w:val="0004493F"/>
    <w:rsid w:val="00050A24"/>
    <w:rsid w:val="00051772"/>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5C6"/>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0FC1"/>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3D8C"/>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553"/>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2C75"/>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035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77C"/>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E60"/>
    <w:rsid w:val="00753305"/>
    <w:rsid w:val="00753F94"/>
    <w:rsid w:val="00755A6D"/>
    <w:rsid w:val="00761CA4"/>
    <w:rsid w:val="00762E3F"/>
    <w:rsid w:val="00762FD1"/>
    <w:rsid w:val="00764015"/>
    <w:rsid w:val="00766B94"/>
    <w:rsid w:val="0077101F"/>
    <w:rsid w:val="00771B16"/>
    <w:rsid w:val="00774F2B"/>
    <w:rsid w:val="007751C0"/>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17FE4"/>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741"/>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18B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153"/>
    <w:rsid w:val="00A44E77"/>
    <w:rsid w:val="00A46AE4"/>
    <w:rsid w:val="00A50A5E"/>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C5D"/>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4DA4"/>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05EF5"/>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57E3"/>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toc0">
    <w:name w:val="toc 0"/>
    <w:basedOn w:val="Normal"/>
    <w:next w:val="TOC1"/>
    <w:rsid w:val="006E377C"/>
    <w:pPr>
      <w:tabs>
        <w:tab w:val="right" w:pos="9639"/>
      </w:tabs>
      <w:overflowPunct w:val="0"/>
      <w:autoSpaceDE w:val="0"/>
      <w:autoSpaceDN w:val="0"/>
      <w:adjustRightInd w:val="0"/>
      <w:jc w:val="right"/>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97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imdrf.org/docs/imdrf/final/technical/imdrf-tech-140918-samd-framework-risk-categorization-141013.pdf" TargetMode="External"/><Relationship Id="rId7" Type="http://schemas.openxmlformats.org/officeDocument/2006/relationships/webSettings" Target="webSettings.xml"/><Relationship Id="rId12" Type="http://schemas.openxmlformats.org/officeDocument/2006/relationships/hyperlink" Target="mailto:Mohammed.ElZarrad@fda.hhs.gov" TargetMode="External"/><Relationship Id="rId17" Type="http://schemas.openxmlformats.org/officeDocument/2006/relationships/header" Target="header4.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kie.ma@hhi.fraunhofer.de"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imdrf.org/docs/imdrf/final/technical/imdrf-tech-170921-samd-n41-clinical-evaluation_1.pdf" TargetMode="External"/><Relationship Id="rId28" Type="http://schemas.openxmlformats.org/officeDocument/2006/relationships/image" Target="media/image8.png"/><Relationship Id="rId10" Type="http://schemas.openxmlformats.org/officeDocument/2006/relationships/image" Target="media/image1.gif"/><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fda.gov/media/122535/download" TargetMode="Externa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16E2C-90DC-4E08-B20B-36514323A5C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20</TotalTime>
  <Pages>13</Pages>
  <Words>3615</Words>
  <Characters>21400</Characters>
  <Application>Microsoft Office Word</Application>
  <DocSecurity>0</DocSecurity>
  <Lines>481</Lines>
  <Paragraphs>207</Paragraphs>
  <ScaleCrop>false</ScaleCrop>
  <HeadingPairs>
    <vt:vector size="2" baseType="variant">
      <vt:variant>
        <vt:lpstr>Title</vt:lpstr>
      </vt:variant>
      <vt:variant>
        <vt:i4>1</vt:i4>
      </vt:variant>
    </vt:vector>
  </HeadingPairs>
  <TitlesOfParts>
    <vt:vector size="1" baseType="lpstr">
      <vt:lpstr>DEL02: Outline Describing Suggested Topics for the Regulatory Considerations on AI for Health Working Group (Draft: April 2020)</vt:lpstr>
    </vt:vector>
  </TitlesOfParts>
  <Manager>ITU-T</Manager>
  <Company>International Telecommunication Union (ITU)</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DEL02: Outline describing suggested topics for the FG-AI4H Working Group on regulatory considerations (Draft: April 2020)</dc:title>
  <dc:subject/>
  <dc:creator>Editors</dc:creator>
  <cp:keywords/>
  <dc:description>FG-AI4H-I-038  For: E-meeting, 7-8 May 2020_x000d_Document date: ITU-T Focus Group on AI for Health_x000d_Saved by ITU51013388 at 15:24:15 on 04/05/2020</dc:description>
  <cp:lastModifiedBy>Simão Campos-Neto</cp:lastModifiedBy>
  <cp:revision>25</cp:revision>
  <cp:lastPrinted>2011-04-05T14:28:00Z</cp:lastPrinted>
  <dcterms:created xsi:type="dcterms:W3CDTF">2020-01-27T16:33:00Z</dcterms:created>
  <dcterms:modified xsi:type="dcterms:W3CDTF">2020-05-04T13:24:00Z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FG-AI4H-I-038</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Editors</vt:lpwstr>
  </property>
</Properties>
</file>