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A96BAFB" w:rsidR="00E03557" w:rsidRPr="00852AAD" w:rsidRDefault="00BC1D31" w:rsidP="002E6647">
            <w:pPr>
              <w:pStyle w:val="Docnumber"/>
            </w:pPr>
            <w:r>
              <w:t>FG-AI4H</w:t>
            </w:r>
            <w:r w:rsidR="00E03557">
              <w:t>-</w:t>
            </w:r>
            <w:r w:rsidR="00007288">
              <w:t>G</w:t>
            </w:r>
            <w:r>
              <w:t>-</w:t>
            </w:r>
            <w:r w:rsidR="004837F5" w:rsidRPr="004837F5">
              <w:t>205-A06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C95CEC5" w:rsidR="00BC1D31" w:rsidRPr="00123B21" w:rsidRDefault="004837F5"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0865108" w:rsidR="00BC1D31" w:rsidRPr="00123B21" w:rsidRDefault="004837F5"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51D02A2" w:rsidR="00BC1D31" w:rsidRPr="00123B21" w:rsidRDefault="004837F5" w:rsidP="002E6647">
            <w:r>
              <w:t>DEL05F</w:t>
            </w:r>
            <w:r w:rsidRPr="004837F5">
              <w:t>: Data sharing practices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C5C7A00" w:rsidR="00E03557" w:rsidRPr="00BC1D31" w:rsidRDefault="004837F5" w:rsidP="002E6647">
            <w:pPr>
              <w:rPr>
                <w:highlight w:val="yellow"/>
              </w:rPr>
            </w:pPr>
            <w:r w:rsidRPr="004837F5">
              <w:rPr>
                <w:lang w:val="en-US"/>
              </w:rPr>
              <w:t>Discussion</w:t>
            </w:r>
          </w:p>
        </w:tc>
      </w:tr>
      <w:bookmarkEnd w:id="0"/>
      <w:bookmarkEnd w:id="10"/>
      <w:tr w:rsidR="004837F5"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837F5" w:rsidRPr="00E03557" w:rsidRDefault="004837F5" w:rsidP="004837F5">
            <w:pPr>
              <w:rPr>
                <w:b/>
                <w:bCs/>
              </w:rPr>
            </w:pPr>
            <w:r w:rsidRPr="00E03557">
              <w:rPr>
                <w:b/>
                <w:bCs/>
              </w:rPr>
              <w:t>Contact:</w:t>
            </w:r>
          </w:p>
        </w:tc>
        <w:tc>
          <w:tcPr>
            <w:tcW w:w="4353" w:type="dxa"/>
            <w:gridSpan w:val="2"/>
            <w:tcBorders>
              <w:top w:val="single" w:sz="6" w:space="0" w:color="auto"/>
              <w:bottom w:val="single" w:sz="6" w:space="0" w:color="auto"/>
            </w:tcBorders>
          </w:tcPr>
          <w:p w14:paraId="5D1C7C66" w14:textId="3564FE6E" w:rsidR="004837F5" w:rsidRPr="00BC1D31" w:rsidRDefault="004837F5" w:rsidP="004837F5">
            <w:pPr>
              <w:rPr>
                <w:highlight w:val="yellow"/>
              </w:rPr>
            </w:pPr>
            <w:proofErr w:type="spellStart"/>
            <w:r w:rsidRPr="009D7E86">
              <w:t>Ferath</w:t>
            </w:r>
            <w:proofErr w:type="spellEnd"/>
            <w:r w:rsidRPr="009D7E86">
              <w:t xml:space="preserve"> </w:t>
            </w:r>
            <w:proofErr w:type="spellStart"/>
            <w:r w:rsidRPr="009D7E86">
              <w:t>Kherif</w:t>
            </w:r>
            <w:proofErr w:type="spellEnd"/>
            <w:r w:rsidRPr="009D7E86">
              <w:t xml:space="preserve">, Centre </w:t>
            </w:r>
            <w:proofErr w:type="spellStart"/>
            <w:r w:rsidRPr="009D7E86">
              <w:t>Hospitalier</w:t>
            </w:r>
            <w:proofErr w:type="spellEnd"/>
            <w:r w:rsidRPr="009D7E86">
              <w:t xml:space="preserve"> </w:t>
            </w:r>
            <w:proofErr w:type="spellStart"/>
            <w:r w:rsidRPr="009D7E86">
              <w:t>Universitaire</w:t>
            </w:r>
            <w:proofErr w:type="spellEnd"/>
            <w:r w:rsidRPr="009D7E86">
              <w:t xml:space="preserve"> Vaudois, Switzerland</w:t>
            </w:r>
          </w:p>
        </w:tc>
        <w:tc>
          <w:tcPr>
            <w:tcW w:w="3587" w:type="dxa"/>
            <w:tcBorders>
              <w:top w:val="single" w:sz="6" w:space="0" w:color="auto"/>
              <w:bottom w:val="single" w:sz="6" w:space="0" w:color="auto"/>
            </w:tcBorders>
          </w:tcPr>
          <w:p w14:paraId="28DD2FCB" w14:textId="4A71599B" w:rsidR="004837F5" w:rsidRPr="00BC1D31" w:rsidRDefault="004837F5" w:rsidP="004837F5">
            <w:pPr>
              <w:rPr>
                <w:highlight w:val="yellow"/>
              </w:rPr>
            </w:pPr>
            <w:r w:rsidRPr="009D7E86">
              <w:t xml:space="preserve">Email: </w:t>
            </w:r>
            <w:hyperlink r:id="rId11" w:history="1">
              <w:r w:rsidRPr="009D7E86">
                <w:rPr>
                  <w:rStyle w:val="Hyperlink"/>
                </w:rPr>
                <w:t>Ferath.Kherif@chuv.ch</w:t>
              </w:r>
            </w:hyperlink>
            <w:r w:rsidRPr="009D7E86">
              <w:t xml:space="preserve">  </w:t>
            </w:r>
          </w:p>
        </w:tc>
      </w:tr>
      <w:tr w:rsidR="004837F5"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837F5" w:rsidRPr="00E03557" w:rsidRDefault="004837F5" w:rsidP="004837F5">
            <w:pPr>
              <w:rPr>
                <w:b/>
                <w:bCs/>
              </w:rPr>
            </w:pPr>
            <w:r w:rsidRPr="00E03557">
              <w:rPr>
                <w:b/>
                <w:bCs/>
              </w:rPr>
              <w:t>Contact:</w:t>
            </w:r>
          </w:p>
        </w:tc>
        <w:tc>
          <w:tcPr>
            <w:tcW w:w="4353" w:type="dxa"/>
            <w:gridSpan w:val="2"/>
            <w:tcBorders>
              <w:top w:val="single" w:sz="6" w:space="0" w:color="auto"/>
              <w:bottom w:val="single" w:sz="6" w:space="0" w:color="auto"/>
            </w:tcBorders>
          </w:tcPr>
          <w:p w14:paraId="7974D081" w14:textId="5A94AB94" w:rsidR="004837F5" w:rsidRPr="00BC1D31" w:rsidRDefault="004837F5" w:rsidP="004837F5">
            <w:pPr>
              <w:rPr>
                <w:highlight w:val="yellow"/>
              </w:rPr>
            </w:pPr>
            <w:r w:rsidRPr="009D7E86">
              <w:t xml:space="preserve">Banusri </w:t>
            </w:r>
            <w:proofErr w:type="spellStart"/>
            <w:r w:rsidRPr="009D7E86">
              <w:t>Velpandian</w:t>
            </w:r>
            <w:proofErr w:type="spellEnd"/>
            <w:r w:rsidRPr="009D7E86">
              <w:t>, ICMR, India</w:t>
            </w:r>
          </w:p>
        </w:tc>
        <w:tc>
          <w:tcPr>
            <w:tcW w:w="3587" w:type="dxa"/>
            <w:tcBorders>
              <w:top w:val="single" w:sz="6" w:space="0" w:color="auto"/>
              <w:bottom w:val="single" w:sz="6" w:space="0" w:color="auto"/>
            </w:tcBorders>
          </w:tcPr>
          <w:p w14:paraId="116FD316" w14:textId="23283438" w:rsidR="004837F5" w:rsidRPr="00BC1D31" w:rsidRDefault="004837F5" w:rsidP="004837F5">
            <w:pPr>
              <w:rPr>
                <w:highlight w:val="yellow"/>
              </w:rPr>
            </w:pPr>
            <w:r w:rsidRPr="009D7E86">
              <w:t xml:space="preserve">Email: </w:t>
            </w:r>
            <w:hyperlink r:id="rId12" w:history="1">
              <w:r w:rsidRPr="009D7E86">
                <w:rPr>
                  <w:rStyle w:val="Hyperlink"/>
                </w:rPr>
                <w:t>banusrir@gmail.com</w:t>
              </w:r>
            </w:hyperlink>
            <w:r w:rsidRPr="009D7E86">
              <w:t xml:space="preserve">  </w:t>
            </w:r>
          </w:p>
        </w:tc>
      </w:tr>
      <w:tr w:rsidR="004837F5" w:rsidRPr="00E03557" w14:paraId="40094ACD" w14:textId="77777777" w:rsidTr="002E6647">
        <w:trPr>
          <w:cantSplit/>
          <w:jc w:val="center"/>
        </w:trPr>
        <w:tc>
          <w:tcPr>
            <w:tcW w:w="1700" w:type="dxa"/>
            <w:gridSpan w:val="2"/>
            <w:tcBorders>
              <w:top w:val="single" w:sz="6" w:space="0" w:color="auto"/>
              <w:bottom w:val="single" w:sz="6" w:space="0" w:color="auto"/>
            </w:tcBorders>
          </w:tcPr>
          <w:p w14:paraId="571FBC5B" w14:textId="7C572A68" w:rsidR="004837F5" w:rsidRPr="00E03557" w:rsidRDefault="004837F5" w:rsidP="004837F5">
            <w:pPr>
              <w:rPr>
                <w:b/>
                <w:bCs/>
              </w:rPr>
            </w:pPr>
            <w:r w:rsidRPr="00E03557">
              <w:rPr>
                <w:b/>
                <w:bCs/>
              </w:rPr>
              <w:t>Contact:</w:t>
            </w:r>
          </w:p>
        </w:tc>
        <w:tc>
          <w:tcPr>
            <w:tcW w:w="4353" w:type="dxa"/>
            <w:gridSpan w:val="2"/>
            <w:tcBorders>
              <w:top w:val="single" w:sz="6" w:space="0" w:color="auto"/>
              <w:bottom w:val="single" w:sz="6" w:space="0" w:color="auto"/>
            </w:tcBorders>
          </w:tcPr>
          <w:p w14:paraId="7789CC31" w14:textId="586813A5" w:rsidR="004837F5" w:rsidRPr="00BC1D31" w:rsidRDefault="004837F5" w:rsidP="004837F5">
            <w:pPr>
              <w:rPr>
                <w:highlight w:val="yellow"/>
              </w:rPr>
            </w:pPr>
            <w:r w:rsidRPr="009D7E86">
              <w:t>WHO Data Team</w:t>
            </w:r>
          </w:p>
        </w:tc>
        <w:tc>
          <w:tcPr>
            <w:tcW w:w="3587" w:type="dxa"/>
            <w:tcBorders>
              <w:top w:val="single" w:sz="6" w:space="0" w:color="auto"/>
              <w:bottom w:val="single" w:sz="6" w:space="0" w:color="auto"/>
            </w:tcBorders>
          </w:tcPr>
          <w:p w14:paraId="7C6B6B88" w14:textId="2BC68FD6" w:rsidR="004837F5" w:rsidRPr="00BC1D31" w:rsidRDefault="004837F5" w:rsidP="004837F5">
            <w:pPr>
              <w:rPr>
                <w:highlight w:val="yellow"/>
              </w:rPr>
            </w:pPr>
            <w:r w:rsidRPr="009D7E86">
              <w:t xml:space="preserve">Email: </w:t>
            </w:r>
            <w:hyperlink r:id="rId13" w:history="1">
              <w:r w:rsidRPr="009D7E86">
                <w:rPr>
                  <w:rStyle w:val="Hyperlink"/>
                </w:rPr>
                <w:t>pujaris@who.int</w:t>
              </w:r>
            </w:hyperlink>
            <w:r w:rsidRPr="009D7E86">
              <w:t xml:space="preserve">  </w:t>
            </w:r>
          </w:p>
        </w:tc>
      </w:tr>
      <w:tr w:rsidR="004837F5" w:rsidRPr="00E03557" w14:paraId="2B1F8C72" w14:textId="77777777" w:rsidTr="002E6647">
        <w:trPr>
          <w:cantSplit/>
          <w:jc w:val="center"/>
        </w:trPr>
        <w:tc>
          <w:tcPr>
            <w:tcW w:w="1700" w:type="dxa"/>
            <w:gridSpan w:val="2"/>
            <w:tcBorders>
              <w:top w:val="single" w:sz="6" w:space="0" w:color="auto"/>
              <w:bottom w:val="single" w:sz="6" w:space="0" w:color="auto"/>
            </w:tcBorders>
          </w:tcPr>
          <w:p w14:paraId="3F8760D5" w14:textId="3702C4CE" w:rsidR="004837F5" w:rsidRPr="00E03557" w:rsidRDefault="004837F5" w:rsidP="004837F5">
            <w:pPr>
              <w:rPr>
                <w:b/>
                <w:bCs/>
              </w:rPr>
            </w:pPr>
            <w:r w:rsidRPr="00E03557">
              <w:rPr>
                <w:b/>
                <w:bCs/>
              </w:rPr>
              <w:t>Contact:</w:t>
            </w:r>
          </w:p>
        </w:tc>
        <w:tc>
          <w:tcPr>
            <w:tcW w:w="4353" w:type="dxa"/>
            <w:gridSpan w:val="2"/>
            <w:tcBorders>
              <w:top w:val="single" w:sz="6" w:space="0" w:color="auto"/>
              <w:bottom w:val="single" w:sz="6" w:space="0" w:color="auto"/>
            </w:tcBorders>
          </w:tcPr>
          <w:p w14:paraId="479A945C" w14:textId="7B88D7FC" w:rsidR="004837F5" w:rsidRPr="00BC1D31" w:rsidRDefault="004837F5" w:rsidP="004837F5">
            <w:pPr>
              <w:rPr>
                <w:highlight w:val="yellow"/>
              </w:rPr>
            </w:pPr>
            <w:r w:rsidRPr="009D7E86">
              <w:t>Secretariat of the Focus Group</w:t>
            </w:r>
          </w:p>
        </w:tc>
        <w:tc>
          <w:tcPr>
            <w:tcW w:w="3587" w:type="dxa"/>
            <w:tcBorders>
              <w:top w:val="single" w:sz="6" w:space="0" w:color="auto"/>
              <w:bottom w:val="single" w:sz="6" w:space="0" w:color="auto"/>
            </w:tcBorders>
          </w:tcPr>
          <w:p w14:paraId="103A641E" w14:textId="4BD2D72E" w:rsidR="004837F5" w:rsidRPr="00BC1D31" w:rsidRDefault="004837F5" w:rsidP="004837F5">
            <w:pPr>
              <w:rPr>
                <w:highlight w:val="yellow"/>
              </w:rPr>
            </w:pPr>
            <w:r w:rsidRPr="009D7E86">
              <w:t xml:space="preserve">Email: </w:t>
            </w:r>
            <w:hyperlink r:id="rId14" w:history="1">
              <w:r w:rsidRPr="009D7E86">
                <w:rPr>
                  <w:rStyle w:val="Hyperlink"/>
                </w:rPr>
                <w:t>tsbfgai4h@itu.int</w:t>
              </w:r>
            </w:hyperlink>
            <w:r w:rsidRPr="009D7E8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084A5DC" w:rsidR="00E03557" w:rsidRPr="00BC1D31" w:rsidRDefault="004837F5" w:rsidP="00490F72">
            <w:pPr>
              <w:rPr>
                <w:highlight w:val="yellow"/>
              </w:rPr>
            </w:pPr>
            <w:bookmarkStart w:id="11" w:name="_GoBack"/>
            <w:r w:rsidRPr="009D7E86">
              <w:t xml:space="preserve">This initial draft describes the objectives and proposes an initial outline of the planned deliverable “Data Sharing Practices” to help seed future content. </w:t>
            </w:r>
            <w:bookmarkEnd w:id="11"/>
          </w:p>
        </w:tc>
      </w:tr>
    </w:tbl>
    <w:p w14:paraId="2AEBBEA2" w14:textId="7EA8AAD6" w:rsidR="00075BC7" w:rsidRDefault="00075BC7" w:rsidP="00E03557"/>
    <w:p w14:paraId="27AEC051" w14:textId="77777777" w:rsidR="00075BC7" w:rsidRDefault="00075BC7">
      <w:pPr>
        <w:spacing w:before="0"/>
      </w:pPr>
      <w:r>
        <w:br w:type="page"/>
      </w:r>
    </w:p>
    <w:p w14:paraId="6C5041EC" w14:textId="77777777" w:rsidR="00075BC7" w:rsidRPr="009D7E86" w:rsidRDefault="00075BC7" w:rsidP="00075BC7">
      <w:pPr>
        <w:rPr>
          <w:b/>
        </w:rPr>
      </w:pPr>
      <w:r w:rsidRPr="009D7E86">
        <w:rPr>
          <w:b/>
        </w:rPr>
        <w:lastRenderedPageBreak/>
        <w:t>Initial outline</w:t>
      </w:r>
    </w:p>
    <w:p w14:paraId="5DFDF551" w14:textId="77777777" w:rsidR="00075BC7" w:rsidRPr="009D7E86" w:rsidRDefault="00075BC7" w:rsidP="00075BC7">
      <w:pPr>
        <w:pStyle w:val="ListParagraph"/>
        <w:numPr>
          <w:ilvl w:val="0"/>
          <w:numId w:val="21"/>
        </w:numPr>
        <w:spacing w:before="0"/>
        <w:rPr>
          <w:rFonts w:eastAsia="Times New Roman"/>
          <w:b/>
          <w:color w:val="1C1E29"/>
          <w:lang w:eastAsia="fr-CH"/>
        </w:rPr>
      </w:pPr>
      <w:r w:rsidRPr="009D7E86">
        <w:rPr>
          <w:rFonts w:eastAsia="Times New Roman"/>
          <w:b/>
          <w:color w:val="1C1E29"/>
          <w:lang w:eastAsia="fr-CH"/>
        </w:rPr>
        <w:t xml:space="preserve">Introduction </w:t>
      </w:r>
    </w:p>
    <w:p w14:paraId="72B9048E" w14:textId="77777777" w:rsidR="00075BC7" w:rsidRPr="009D7E86" w:rsidRDefault="00075BC7" w:rsidP="00075BC7">
      <w:pPr>
        <w:spacing w:before="0"/>
        <w:rPr>
          <w:rFonts w:eastAsia="Times New Roman"/>
          <w:color w:val="1C1E29"/>
          <w:lang w:eastAsia="fr-CH"/>
        </w:rPr>
      </w:pPr>
      <w:r w:rsidRPr="009D7E86">
        <w:rPr>
          <w:rFonts w:eastAsia="Times New Roman"/>
          <w:color w:val="1C1E29"/>
          <w:lang w:eastAsia="fr-CH"/>
        </w:rPr>
        <w:t xml:space="preserve">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w:t>
      </w:r>
      <w:r>
        <w:rPr>
          <w:rFonts w:eastAsia="Times New Roman"/>
          <w:color w:val="1C1E29"/>
          <w:lang w:eastAsia="fr-CH"/>
        </w:rPr>
        <w:t xml:space="preserve">methods based on distributed and federated </w:t>
      </w:r>
      <w:r w:rsidRPr="002476E0">
        <w:rPr>
          <w:rFonts w:eastAsia="Times New Roman"/>
          <w:color w:val="1C1E29"/>
          <w:lang w:eastAsia="fr-CH"/>
        </w:rPr>
        <w:t>environment</w:t>
      </w:r>
      <w:r>
        <w:rPr>
          <w:rFonts w:eastAsia="Times New Roman"/>
          <w:color w:val="1C1E29"/>
          <w:lang w:eastAsia="fr-CH"/>
        </w:rPr>
        <w:t>s for privacy preserving AI/ML models.</w:t>
      </w:r>
    </w:p>
    <w:p w14:paraId="3EF0BD83" w14:textId="77777777" w:rsidR="00075BC7" w:rsidRPr="002476E0" w:rsidRDefault="00075BC7" w:rsidP="00075BC7">
      <w:pPr>
        <w:spacing w:before="0"/>
        <w:rPr>
          <w:rFonts w:eastAsia="Times New Roman"/>
          <w:color w:val="1C1E29"/>
          <w:lang w:eastAsia="fr-CH"/>
        </w:rPr>
      </w:pPr>
    </w:p>
    <w:p w14:paraId="34A3233B" w14:textId="77777777" w:rsidR="00075BC7" w:rsidRPr="009D7E86"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Why data sharing?</w:t>
      </w:r>
    </w:p>
    <w:p w14:paraId="718B63B3" w14:textId="77777777" w:rsidR="00075BC7" w:rsidRPr="009D7E86" w:rsidRDefault="00075BC7" w:rsidP="00075BC7">
      <w:pPr>
        <w:pStyle w:val="ListParagraph"/>
        <w:numPr>
          <w:ilvl w:val="1"/>
          <w:numId w:val="22"/>
        </w:numPr>
        <w:spacing w:before="0"/>
        <w:rPr>
          <w:rFonts w:eastAsia="Times New Roman"/>
          <w:b/>
          <w:color w:val="1C1E29"/>
          <w:lang w:eastAsia="fr-CH"/>
        </w:rPr>
      </w:pPr>
      <w:r w:rsidRPr="009D7E86">
        <w:rPr>
          <w:rFonts w:eastAsia="Times New Roman"/>
          <w:color w:val="1C1E29"/>
          <w:lang w:eastAsia="fr-CH"/>
        </w:rPr>
        <w:t>Data sharing principles</w:t>
      </w:r>
    </w:p>
    <w:p w14:paraId="0B7CBEFE" w14:textId="77777777" w:rsidR="00075BC7" w:rsidRPr="009D7E86" w:rsidRDefault="00075BC7" w:rsidP="00075BC7">
      <w:pPr>
        <w:pStyle w:val="ListParagraph"/>
        <w:numPr>
          <w:ilvl w:val="1"/>
          <w:numId w:val="22"/>
        </w:numPr>
        <w:spacing w:before="0"/>
        <w:rPr>
          <w:rFonts w:eastAsia="Times New Roman"/>
          <w:b/>
          <w:color w:val="1C1E29"/>
          <w:lang w:eastAsia="fr-CH"/>
        </w:rPr>
      </w:pPr>
      <w:r w:rsidRPr="009D7E86">
        <w:rPr>
          <w:rFonts w:eastAsia="Times New Roman"/>
          <w:color w:val="1C1E29"/>
          <w:lang w:eastAsia="fr-CH"/>
        </w:rPr>
        <w:t>FAIR Principles</w:t>
      </w:r>
    </w:p>
    <w:p w14:paraId="4BB7DE94" w14:textId="77777777" w:rsidR="00075BC7" w:rsidRPr="009D7E86" w:rsidRDefault="00075BC7" w:rsidP="00075BC7">
      <w:pPr>
        <w:pStyle w:val="ListParagraph"/>
        <w:numPr>
          <w:ilvl w:val="0"/>
          <w:numId w:val="22"/>
        </w:numPr>
        <w:spacing w:before="0"/>
        <w:rPr>
          <w:rFonts w:eastAsia="Times New Roman"/>
          <w:b/>
          <w:color w:val="1C1E29"/>
          <w:lang w:eastAsia="fr-CH"/>
        </w:rPr>
      </w:pPr>
      <w:r w:rsidRPr="009D7E86">
        <w:rPr>
          <w:rFonts w:eastAsia="Times New Roman"/>
          <w:b/>
          <w:color w:val="1C1E29"/>
          <w:lang w:eastAsia="fr-CH"/>
        </w:rPr>
        <w:t>The specificity of sharing health-related data</w:t>
      </w:r>
    </w:p>
    <w:p w14:paraId="67E2B878" w14:textId="77777777" w:rsidR="00075BC7"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Examples of data sharing scenarios</w:t>
      </w:r>
    </w:p>
    <w:p w14:paraId="7FCBB23A" w14:textId="77777777" w:rsidR="00075BC7" w:rsidRPr="00F45069" w:rsidRDefault="00075BC7" w:rsidP="00075BC7">
      <w:pPr>
        <w:pStyle w:val="ListParagraph"/>
        <w:numPr>
          <w:ilvl w:val="1"/>
          <w:numId w:val="22"/>
        </w:numPr>
        <w:spacing w:before="0"/>
        <w:rPr>
          <w:rFonts w:eastAsia="Times New Roman"/>
          <w:color w:val="1C1E29"/>
          <w:lang w:eastAsia="fr-CH"/>
        </w:rPr>
      </w:pPr>
      <w:r w:rsidRPr="00F45069">
        <w:rPr>
          <w:rFonts w:eastAsia="Times New Roman"/>
          <w:color w:val="1C1E29"/>
          <w:lang w:eastAsia="fr-CH"/>
        </w:rPr>
        <w:t>Research data</w:t>
      </w:r>
    </w:p>
    <w:p w14:paraId="448144B8" w14:textId="77777777" w:rsidR="00075BC7" w:rsidRPr="00F45069" w:rsidRDefault="00075BC7" w:rsidP="00075BC7">
      <w:pPr>
        <w:pStyle w:val="ListParagraph"/>
        <w:numPr>
          <w:ilvl w:val="1"/>
          <w:numId w:val="22"/>
        </w:numPr>
        <w:spacing w:before="0"/>
        <w:rPr>
          <w:rFonts w:eastAsia="Times New Roman"/>
          <w:color w:val="1C1E29"/>
          <w:lang w:eastAsia="fr-CH"/>
        </w:rPr>
      </w:pPr>
      <w:r w:rsidRPr="00F45069">
        <w:rPr>
          <w:rFonts w:eastAsia="Times New Roman"/>
          <w:color w:val="1C1E29"/>
          <w:lang w:eastAsia="fr-CH"/>
        </w:rPr>
        <w:t xml:space="preserve">Clinical and hospital data </w:t>
      </w:r>
    </w:p>
    <w:p w14:paraId="2E36252E"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Roles and responsibilities </w:t>
      </w:r>
    </w:p>
    <w:p w14:paraId="6E3D237C" w14:textId="77777777" w:rsidR="00075BC7" w:rsidRPr="002476E0" w:rsidRDefault="00075BC7" w:rsidP="00075BC7">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providers</w:t>
      </w:r>
    </w:p>
    <w:p w14:paraId="3A873AB7" w14:textId="77777777" w:rsidR="00075BC7" w:rsidRPr="002476E0" w:rsidRDefault="00075BC7" w:rsidP="00075BC7">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protection officer</w:t>
      </w:r>
    </w:p>
    <w:p w14:paraId="70E46342" w14:textId="77777777" w:rsidR="00075BC7" w:rsidRPr="002476E0" w:rsidRDefault="00075BC7" w:rsidP="00075BC7">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controllers</w:t>
      </w:r>
    </w:p>
    <w:p w14:paraId="04C0C095" w14:textId="77777777" w:rsidR="00075BC7" w:rsidRPr="002476E0" w:rsidRDefault="00075BC7" w:rsidP="00075BC7">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processors</w:t>
      </w:r>
    </w:p>
    <w:p w14:paraId="71A8D34A" w14:textId="77777777" w:rsidR="00075BC7" w:rsidRPr="002476E0" w:rsidRDefault="00075BC7" w:rsidP="00075BC7">
      <w:pPr>
        <w:pStyle w:val="ListParagraph"/>
        <w:numPr>
          <w:ilvl w:val="2"/>
          <w:numId w:val="22"/>
        </w:numPr>
        <w:spacing w:before="0"/>
        <w:rPr>
          <w:rFonts w:eastAsia="Times New Roman"/>
          <w:color w:val="1C1E29"/>
          <w:lang w:eastAsia="fr-CH"/>
        </w:rPr>
      </w:pPr>
      <w:r w:rsidRPr="002476E0">
        <w:rPr>
          <w:rFonts w:eastAsia="Times New Roman"/>
          <w:color w:val="1C1E29"/>
          <w:lang w:eastAsia="fr-CH"/>
        </w:rPr>
        <w:t>Data receivers</w:t>
      </w:r>
    </w:p>
    <w:p w14:paraId="74BEC2CD" w14:textId="77777777" w:rsidR="00075BC7" w:rsidRPr="002476E0" w:rsidRDefault="00075BC7" w:rsidP="00075BC7">
      <w:pPr>
        <w:pStyle w:val="ListParagraph"/>
        <w:numPr>
          <w:ilvl w:val="0"/>
          <w:numId w:val="22"/>
        </w:numPr>
        <w:spacing w:before="0"/>
        <w:rPr>
          <w:rFonts w:eastAsia="Times New Roman"/>
          <w:b/>
          <w:color w:val="1C1E29"/>
          <w:lang w:eastAsia="fr-CH"/>
        </w:rPr>
      </w:pPr>
      <w:r>
        <w:rPr>
          <w:rFonts w:eastAsia="Times New Roman"/>
          <w:b/>
          <w:color w:val="1C1E29"/>
          <w:lang w:eastAsia="fr-CH"/>
        </w:rPr>
        <w:t>Rules and regulation for p</w:t>
      </w:r>
      <w:r w:rsidRPr="002476E0">
        <w:rPr>
          <w:rFonts w:eastAsia="Times New Roman"/>
          <w:b/>
          <w:color w:val="1C1E29"/>
          <w:lang w:eastAsia="fr-CH"/>
        </w:rPr>
        <w:t xml:space="preserve">atients </w:t>
      </w:r>
      <w:r w:rsidRPr="009D7E86">
        <w:rPr>
          <w:rFonts w:eastAsia="Times New Roman"/>
          <w:b/>
          <w:color w:val="1C1E29"/>
          <w:lang w:eastAsia="fr-CH"/>
        </w:rPr>
        <w:t>consent</w:t>
      </w:r>
    </w:p>
    <w:p w14:paraId="55443BAA" w14:textId="77777777" w:rsidR="00075BC7"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 xml:space="preserve">Data </w:t>
      </w:r>
      <w:r>
        <w:rPr>
          <w:rFonts w:eastAsia="Times New Roman"/>
          <w:b/>
          <w:color w:val="1C1E29"/>
          <w:lang w:eastAsia="fr-CH"/>
        </w:rPr>
        <w:t xml:space="preserve">anonymization and </w:t>
      </w:r>
      <w:r w:rsidRPr="008278E7">
        <w:rPr>
          <w:rFonts w:eastAsia="Times New Roman"/>
          <w:b/>
          <w:color w:val="1C1E29"/>
          <w:lang w:eastAsia="fr-CH"/>
        </w:rPr>
        <w:t>de-identification</w:t>
      </w:r>
    </w:p>
    <w:p w14:paraId="35B1D914" w14:textId="77777777" w:rsidR="00075BC7" w:rsidRPr="002476E0" w:rsidRDefault="00075BC7" w:rsidP="00075BC7">
      <w:pPr>
        <w:pStyle w:val="ListParagraph"/>
        <w:numPr>
          <w:ilvl w:val="0"/>
          <w:numId w:val="22"/>
        </w:numPr>
        <w:spacing w:before="0"/>
        <w:rPr>
          <w:rFonts w:eastAsia="Times New Roman"/>
          <w:b/>
          <w:color w:val="1C1E29"/>
          <w:lang w:eastAsia="fr-CH"/>
        </w:rPr>
      </w:pPr>
      <w:r>
        <w:rPr>
          <w:rFonts w:eastAsia="Times New Roman"/>
          <w:b/>
          <w:color w:val="1C1E29"/>
          <w:lang w:eastAsia="fr-CH"/>
        </w:rPr>
        <w:t xml:space="preserve">Data minimization </w:t>
      </w:r>
    </w:p>
    <w:p w14:paraId="02E19276"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confidentiality and privacy</w:t>
      </w:r>
    </w:p>
    <w:p w14:paraId="22BC6334"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security </w:t>
      </w:r>
    </w:p>
    <w:p w14:paraId="30368D6C"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descriptions </w:t>
      </w:r>
    </w:p>
    <w:p w14:paraId="37DC364F"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Metadata registry </w:t>
      </w:r>
    </w:p>
    <w:p w14:paraId="161C58E2" w14:textId="77777777" w:rsidR="00075BC7" w:rsidRPr="009D7E86"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 xml:space="preserve">Data </w:t>
      </w:r>
      <w:r w:rsidRPr="009D7E86">
        <w:rPr>
          <w:rFonts w:eastAsia="Times New Roman"/>
          <w:b/>
          <w:color w:val="1C1E29"/>
          <w:lang w:eastAsia="fr-CH"/>
        </w:rPr>
        <w:t>harmonisation</w:t>
      </w:r>
    </w:p>
    <w:p w14:paraId="588A83F5" w14:textId="77777777" w:rsidR="00075BC7" w:rsidRPr="009D7E86" w:rsidRDefault="00075BC7" w:rsidP="00075BC7">
      <w:pPr>
        <w:pStyle w:val="ListParagraph"/>
        <w:numPr>
          <w:ilvl w:val="0"/>
          <w:numId w:val="22"/>
        </w:numPr>
        <w:spacing w:before="0"/>
        <w:rPr>
          <w:rFonts w:eastAsia="Times New Roman"/>
          <w:b/>
          <w:color w:val="1C1E29"/>
          <w:lang w:eastAsia="fr-CH"/>
        </w:rPr>
      </w:pPr>
      <w:r w:rsidRPr="009D7E86">
        <w:rPr>
          <w:rFonts w:eastAsia="Times New Roman"/>
          <w:b/>
          <w:color w:val="1C1E29"/>
          <w:lang w:eastAsia="fr-CH"/>
        </w:rPr>
        <w:t>Methods for data sharing </w:t>
      </w:r>
    </w:p>
    <w:p w14:paraId="54F52E23" w14:textId="77777777" w:rsidR="00075BC7" w:rsidRPr="002476E0" w:rsidRDefault="00075BC7" w:rsidP="00075BC7">
      <w:pPr>
        <w:pStyle w:val="ListParagraph"/>
        <w:numPr>
          <w:ilvl w:val="1"/>
          <w:numId w:val="22"/>
        </w:numPr>
        <w:spacing w:before="0"/>
        <w:rPr>
          <w:rFonts w:eastAsia="Times New Roman"/>
          <w:color w:val="1C1E29"/>
          <w:lang w:eastAsia="fr-CH"/>
        </w:rPr>
      </w:pPr>
      <w:r w:rsidRPr="009D7E86">
        <w:rPr>
          <w:rFonts w:eastAsia="Times New Roman"/>
          <w:color w:val="1C1E29"/>
          <w:lang w:eastAsia="fr-CH"/>
        </w:rPr>
        <w:t xml:space="preserve">Overview of </w:t>
      </w:r>
      <w:r w:rsidRPr="002476E0">
        <w:rPr>
          <w:rFonts w:eastAsia="Times New Roman"/>
          <w:color w:val="1C1E29"/>
          <w:lang w:eastAsia="fr-CH"/>
        </w:rPr>
        <w:t>data transfer methods</w:t>
      </w:r>
    </w:p>
    <w:p w14:paraId="5CF7D047"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Central and public databases </w:t>
      </w:r>
    </w:p>
    <w:p w14:paraId="29FE0C49"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Distributed and federated query</w:t>
      </w:r>
    </w:p>
    <w:p w14:paraId="122A13DB"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Distributed and federated machine learning</w:t>
      </w:r>
    </w:p>
    <w:p w14:paraId="73486909"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Data governance in a centralized environment and governance in a federated environment </w:t>
      </w:r>
    </w:p>
    <w:p w14:paraId="3BF26C1D"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Legal documents </w:t>
      </w:r>
    </w:p>
    <w:p w14:paraId="5E2A7976"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Data protection impact assessments (DPIA)</w:t>
      </w:r>
    </w:p>
    <w:p w14:paraId="1E829769" w14:textId="77777777" w:rsidR="00075BC7" w:rsidRPr="002476E0" w:rsidRDefault="00075BC7" w:rsidP="00075BC7">
      <w:pPr>
        <w:pStyle w:val="ListParagraph"/>
        <w:numPr>
          <w:ilvl w:val="1"/>
          <w:numId w:val="22"/>
        </w:numPr>
        <w:spacing w:before="0"/>
        <w:rPr>
          <w:rFonts w:eastAsia="Times New Roman"/>
          <w:color w:val="1C1E29"/>
          <w:lang w:eastAsia="fr-CH"/>
        </w:rPr>
      </w:pPr>
      <w:r w:rsidRPr="007B335C">
        <w:rPr>
          <w:rFonts w:eastAsia="Times New Roman"/>
          <w:color w:val="1C1E29"/>
          <w:lang w:eastAsia="fr-CH"/>
        </w:rPr>
        <w:t>General Data Protection Regulation (GDPR)</w:t>
      </w:r>
    </w:p>
    <w:p w14:paraId="12F74E12"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Data sharing agreement</w:t>
      </w:r>
    </w:p>
    <w:p w14:paraId="347AC17C"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Purpose and intended use of data sharing</w:t>
      </w:r>
    </w:p>
    <w:p w14:paraId="645D8DAF"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Period of agreement</w:t>
      </w:r>
    </w:p>
    <w:p w14:paraId="74115208"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Description of data</w:t>
      </w:r>
    </w:p>
    <w:p w14:paraId="5784E67B"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Data update </w:t>
      </w:r>
    </w:p>
    <w:p w14:paraId="208AD3FA"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Responsibilities of data providers and data receivers</w:t>
      </w:r>
    </w:p>
    <w:p w14:paraId="08F2E8C1" w14:textId="77777777" w:rsidR="00075BC7" w:rsidRPr="002476E0" w:rsidRDefault="00075BC7" w:rsidP="00075BC7">
      <w:pPr>
        <w:pStyle w:val="ListParagraph"/>
        <w:numPr>
          <w:ilvl w:val="1"/>
          <w:numId w:val="22"/>
        </w:numPr>
        <w:spacing w:before="0"/>
        <w:rPr>
          <w:rFonts w:eastAsia="Times New Roman"/>
          <w:color w:val="1C1E29"/>
          <w:lang w:eastAsia="fr-CH"/>
        </w:rPr>
      </w:pPr>
      <w:r w:rsidRPr="002476E0">
        <w:rPr>
          <w:rFonts w:eastAsia="Times New Roman"/>
          <w:color w:val="1C1E29"/>
          <w:lang w:eastAsia="fr-CH"/>
        </w:rPr>
        <w:t>Results and dissemination of results </w:t>
      </w:r>
      <w:r>
        <w:rPr>
          <w:rFonts w:eastAsia="Times New Roman"/>
          <w:color w:val="1C1E29"/>
          <w:lang w:eastAsia="fr-CH"/>
        </w:rPr>
        <w:t>including IA models</w:t>
      </w:r>
    </w:p>
    <w:p w14:paraId="69D7D9CD" w14:textId="77777777" w:rsidR="00075BC7" w:rsidRPr="002476E0" w:rsidRDefault="00075BC7" w:rsidP="00075BC7">
      <w:pPr>
        <w:pStyle w:val="ListParagraph"/>
        <w:numPr>
          <w:ilvl w:val="0"/>
          <w:numId w:val="22"/>
        </w:numPr>
        <w:spacing w:before="0"/>
        <w:rPr>
          <w:rFonts w:eastAsia="Times New Roman"/>
          <w:b/>
          <w:color w:val="1C1E29"/>
          <w:lang w:eastAsia="fr-CH"/>
        </w:rPr>
      </w:pPr>
      <w:r w:rsidRPr="002476E0">
        <w:rPr>
          <w:rFonts w:eastAsia="Times New Roman"/>
          <w:b/>
          <w:color w:val="1C1E29"/>
          <w:lang w:eastAsia="fr-CH"/>
        </w:rPr>
        <w:t>Risks, costs and benefits</w:t>
      </w:r>
    </w:p>
    <w:p w14:paraId="047B062D"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7A4A" w14:textId="77777777" w:rsidR="005479E0" w:rsidRDefault="005479E0" w:rsidP="007B7733">
      <w:pPr>
        <w:spacing w:before="0"/>
      </w:pPr>
      <w:r>
        <w:separator/>
      </w:r>
    </w:p>
  </w:endnote>
  <w:endnote w:type="continuationSeparator" w:id="0">
    <w:p w14:paraId="189E9043" w14:textId="77777777" w:rsidR="005479E0" w:rsidRDefault="005479E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3FC9" w14:textId="77777777" w:rsidR="005479E0" w:rsidRDefault="005479E0" w:rsidP="007B7733">
      <w:pPr>
        <w:spacing w:before="0"/>
      </w:pPr>
      <w:r>
        <w:separator/>
      </w:r>
    </w:p>
  </w:footnote>
  <w:footnote w:type="continuationSeparator" w:id="0">
    <w:p w14:paraId="0AF1F50D" w14:textId="77777777" w:rsidR="005479E0" w:rsidRDefault="005479E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14F307F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75BC7">
      <w:rPr>
        <w:noProof/>
      </w:rPr>
      <w:t>2</w:t>
    </w:r>
    <w:r>
      <w:rPr>
        <w:noProof/>
      </w:rPr>
      <w:fldChar w:fldCharType="end"/>
    </w:r>
    <w:r>
      <w:rPr>
        <w:lang w:val="pt-BR"/>
      </w:rPr>
      <w:t xml:space="preserve"> -</w:t>
    </w:r>
  </w:p>
  <w:p w14:paraId="07A7B8FD" w14:textId="785D597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75BC7">
      <w:rPr>
        <w:noProof/>
      </w:rPr>
      <w:t>FG-AI4H-G-205-A06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103914"/>
    <w:multiLevelType w:val="hybridMultilevel"/>
    <w:tmpl w:val="F28A25FE"/>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6D3D175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5BC7"/>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7F5"/>
    <w:rsid w:val="00483B57"/>
    <w:rsid w:val="00490F72"/>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9E0"/>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85F"/>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jaris@who.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nusri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B1012F-626D-45E0-8071-A83E64A23AD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137</TotalTime>
  <Pages>2</Pages>
  <Words>357</Words>
  <Characters>2263</Characters>
  <Application>Microsoft Office Word</Application>
  <DocSecurity>0</DocSecurity>
  <Lines>94</Lines>
  <Paragraphs>81</Paragraphs>
  <ScaleCrop>false</ScaleCrop>
  <HeadingPairs>
    <vt:vector size="2" baseType="variant">
      <vt:variant>
        <vt:lpstr>Title</vt:lpstr>
      </vt:variant>
      <vt:variant>
        <vt:i4>1</vt:i4>
      </vt:variant>
    </vt:vector>
  </HeadingPairs>
  <TitlesOfParts>
    <vt:vector size="1" baseType="lpstr">
      <vt:lpstr>DEL05F: Data sharing practices</vt:lpstr>
    </vt:vector>
  </TitlesOfParts>
  <Manager>ITU-T</Manager>
  <Company>International Telecommunication Union (ITU)</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DEL05F: Data sharing practices</dc:title>
  <dc:subject/>
  <dc:creator>Editor</dc:creator>
  <cp:keywords/>
  <dc:description>FG-AI4H-G-205-A06  For: New Delhi, 13-15 November 2019_x000d_Document date: ITU-T Focus Group on AI for Health_x000d_Saved by ITU51013830 at 15:04:48 on 23/12/2019</dc:description>
  <cp:lastModifiedBy>Dabiri, Ayda</cp:lastModifiedBy>
  <cp:revision>19</cp:revision>
  <cp:lastPrinted>2011-04-05T14:28:00Z</cp:lastPrinted>
  <dcterms:created xsi:type="dcterms:W3CDTF">2019-04-09T13:22:00Z</dcterms:created>
  <dcterms:modified xsi:type="dcterms:W3CDTF">2019-12-23T14:05:00Z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FG-AI4H-G-205-A06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