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651FBE5" w14:textId="02500306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07288">
              <w:t>G</w:t>
            </w:r>
            <w:r>
              <w:t>-</w:t>
            </w:r>
            <w:r w:rsidR="00AD1715" w:rsidRPr="00AD1715">
              <w:t>205-A03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49B2AFC4" w:rsidR="00BC1D31" w:rsidRPr="00123B21" w:rsidRDefault="00AD1715" w:rsidP="002E6647">
            <w:r>
              <w:t>Plenary</w:t>
            </w:r>
          </w:p>
        </w:tc>
        <w:tc>
          <w:tcPr>
            <w:tcW w:w="4678" w:type="dxa"/>
            <w:gridSpan w:val="2"/>
          </w:tcPr>
          <w:p w14:paraId="4ADB1E42" w14:textId="67C459E4" w:rsidR="00BC1D31" w:rsidRPr="00123B21" w:rsidRDefault="00007288" w:rsidP="00007288">
            <w:pPr>
              <w:jc w:val="right"/>
            </w:pPr>
            <w:r>
              <w:t>New Delhi</w:t>
            </w:r>
            <w:r w:rsidR="00B00A54">
              <w:t xml:space="preserve">, </w:t>
            </w:r>
            <w:r w:rsidR="00E44C0E">
              <w:t>13</w:t>
            </w:r>
            <w:r>
              <w:t>-15 November</w:t>
            </w:r>
            <w:r w:rsidR="00BC1D31" w:rsidRPr="00401AE5">
              <w:t xml:space="preserve"> </w:t>
            </w:r>
            <w:r w:rsidR="00401AE5" w:rsidRPr="00401AE5">
              <w:t>2019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8A8521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612CABC" w14:textId="078E8F07" w:rsidR="00BC1D31" w:rsidRPr="00123B21" w:rsidRDefault="00AD1715" w:rsidP="002E6647">
            <w:r>
              <w:t>Editor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EC1DE32" w14:textId="632DD215" w:rsidR="00BC1D31" w:rsidRPr="00123B21" w:rsidRDefault="00AD1715" w:rsidP="002E6647">
            <w:r>
              <w:t>DEL05C</w:t>
            </w:r>
            <w:r w:rsidRPr="00AD1715">
              <w:t>: Data annotation specification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B715E3" w14:textId="1C8630DC" w:rsidR="00E03557" w:rsidRPr="00BC1D31" w:rsidRDefault="00AD1715" w:rsidP="002E6647">
            <w:pPr>
              <w:rPr>
                <w:highlight w:val="yellow"/>
              </w:rPr>
            </w:pPr>
            <w:r w:rsidRPr="00AD1715">
              <w:rPr>
                <w:lang w:val="en-US"/>
              </w:rPr>
              <w:t>Discussion</w:t>
            </w:r>
          </w:p>
        </w:tc>
      </w:tr>
      <w:bookmarkEnd w:id="0"/>
      <w:bookmarkEnd w:id="10"/>
      <w:tr w:rsidR="00AD1715" w:rsidRPr="00E03557" w14:paraId="487F57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AD1715" w:rsidRPr="00E03557" w:rsidRDefault="00AD1715" w:rsidP="00AD171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D1C7C66" w14:textId="24EA9E79" w:rsidR="00AD1715" w:rsidRPr="00BC1D31" w:rsidRDefault="00AD1715" w:rsidP="00AD1715">
            <w:pPr>
              <w:rPr>
                <w:highlight w:val="yellow"/>
              </w:rPr>
            </w:pPr>
            <w:r w:rsidRPr="00655321">
              <w:t>Shan Xu, CAICT, China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1F858F15" w:rsidR="00AD1715" w:rsidRPr="00BC1D31" w:rsidRDefault="00AD1715" w:rsidP="00AD1715">
            <w:pPr>
              <w:rPr>
                <w:highlight w:val="yellow"/>
              </w:rPr>
            </w:pPr>
            <w:r w:rsidRPr="00DA769E">
              <w:t>E</w:t>
            </w:r>
            <w:r>
              <w:t xml:space="preserve">mail: </w:t>
            </w:r>
            <w:hyperlink r:id="rId11" w:history="1">
              <w:r w:rsidRPr="006A59A5">
                <w:rPr>
                  <w:rStyle w:val="Hyperlink"/>
                </w:rPr>
                <w:t>xushan@caict.ac.cn</w:t>
              </w:r>
            </w:hyperlink>
            <w:r>
              <w:t xml:space="preserve"> </w:t>
            </w:r>
          </w:p>
        </w:tc>
      </w:tr>
      <w:tr w:rsidR="00AD1715" w:rsidRPr="00E03557" w14:paraId="0A01ADF7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45665D" w14:textId="77777777" w:rsidR="00AD1715" w:rsidRPr="00E03557" w:rsidRDefault="00AD1715" w:rsidP="00AD171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74D081" w14:textId="58085BFE" w:rsidR="00AD1715" w:rsidRPr="00BC1D31" w:rsidRDefault="00AD1715" w:rsidP="00AD1715">
            <w:pPr>
              <w:rPr>
                <w:highlight w:val="yellow"/>
              </w:rPr>
            </w:pPr>
            <w:proofErr w:type="spellStart"/>
            <w:r w:rsidRPr="00973A7C">
              <w:t>Harpreet</w:t>
            </w:r>
            <w:proofErr w:type="spellEnd"/>
            <w:r w:rsidRPr="00973A7C">
              <w:t xml:space="preserve"> Singh, 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16FD316" w14:textId="3CE4BE5C" w:rsidR="00AD1715" w:rsidRPr="00BC1D31" w:rsidRDefault="00AD1715" w:rsidP="00AD1715">
            <w:pPr>
              <w:rPr>
                <w:highlight w:val="yellow"/>
              </w:rPr>
            </w:pPr>
            <w:r w:rsidRPr="0070354E">
              <w:t>Email:</w:t>
            </w:r>
            <w:r>
              <w:t xml:space="preserve"> </w:t>
            </w:r>
            <w:hyperlink r:id="rId12" w:history="1">
              <w:r w:rsidRPr="006A59A5">
                <w:rPr>
                  <w:rStyle w:val="Hyperlink"/>
                </w:rPr>
                <w:t>hsingh@bmi.icmr.org.in</w:t>
              </w:r>
            </w:hyperlink>
            <w:r>
              <w:t xml:space="preserve"> </w:t>
            </w:r>
          </w:p>
        </w:tc>
      </w:tr>
      <w:tr w:rsidR="00AD1715" w:rsidRPr="00E03557" w14:paraId="2CF8C82F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594316" w14:textId="38F995FC" w:rsidR="00AD1715" w:rsidRPr="00E03557" w:rsidRDefault="00AD1715" w:rsidP="00AD171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6F934F" w14:textId="59FBAD4D" w:rsidR="00AD1715" w:rsidRPr="00973A7C" w:rsidRDefault="00AD1715" w:rsidP="00AD1715">
            <w:r w:rsidRPr="0070354E">
              <w:t>Secretariat of the Focu</w:t>
            </w:r>
            <w:r>
              <w:t>s Group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5732255" w14:textId="27344B20" w:rsidR="00AD1715" w:rsidRPr="0070354E" w:rsidRDefault="00AD1715" w:rsidP="00AD1715">
            <w:r w:rsidRPr="0070354E">
              <w:t xml:space="preserve">Email: </w:t>
            </w:r>
            <w:hyperlink r:id="rId13" w:history="1">
              <w:r w:rsidRPr="00DC41DD">
                <w:rPr>
                  <w:rStyle w:val="Hyperlink"/>
                </w:rPr>
                <w:t>tsbfgai4h@itu.int</w:t>
              </w:r>
            </w:hyperlink>
            <w:r>
              <w:t xml:space="preserve"> </w:t>
            </w:r>
            <w:r w:rsidRPr="0070354E">
              <w:t xml:space="preserve"> </w:t>
            </w:r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E03557" w:rsidRDefault="00E03557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7D0DC0F6" w:rsidR="00E03557" w:rsidRPr="00BC1D31" w:rsidRDefault="00AD1715" w:rsidP="002E6647">
            <w:pPr>
              <w:rPr>
                <w:highlight w:val="yellow"/>
              </w:rPr>
            </w:pPr>
            <w:r w:rsidRPr="000E3668">
              <w:t xml:space="preserve">This </w:t>
            </w:r>
            <w:r>
              <w:t>initial draft describes the objectives and proposes an initial outline of the planned deliverable “</w:t>
            </w:r>
            <w:r w:rsidRPr="00655321">
              <w:t>Data Annotation Specification</w:t>
            </w:r>
            <w:r w:rsidRPr="00A21F76">
              <w:t>”</w:t>
            </w:r>
            <w:r>
              <w:t xml:space="preserve"> </w:t>
            </w:r>
            <w:r w:rsidRPr="006E0F27">
              <w:t>to help seed future content</w:t>
            </w:r>
            <w:r w:rsidRPr="00A21F76">
              <w:t>.</w:t>
            </w:r>
            <w:r>
              <w:t xml:space="preserve"> </w:t>
            </w:r>
            <w:r w:rsidRPr="00D1735B">
              <w:rPr>
                <w:rFonts w:hint="eastAsia"/>
              </w:rPr>
              <w:t>T</w:t>
            </w:r>
            <w:r w:rsidRPr="00D1735B">
              <w:t>he</w:t>
            </w:r>
            <w:r>
              <w:t xml:space="preserve"> objective of the deliverable</w:t>
            </w:r>
            <w:r w:rsidRPr="00D1735B">
              <w:t xml:space="preserve"> </w:t>
            </w:r>
            <w:r>
              <w:t>is to provide</w:t>
            </w:r>
            <w:r w:rsidRPr="00D1735B">
              <w:t xml:space="preserve"> a </w:t>
            </w:r>
            <w:r w:rsidRPr="00D1735B">
              <w:rPr>
                <w:rFonts w:hint="eastAsia"/>
              </w:rPr>
              <w:t>brief</w:t>
            </w:r>
            <w:r w:rsidRPr="00D1735B">
              <w:t xml:space="preserve"> introduction of </w:t>
            </w:r>
            <w:r>
              <w:t>the definition, importance, ge</w:t>
            </w:r>
            <w:bookmarkStart w:id="11" w:name="_GoBack"/>
            <w:bookmarkEnd w:id="11"/>
            <w:r>
              <w:t>neral framework, procedure, requirements of data annotation in artificial intelligence for health</w:t>
            </w:r>
            <w:r>
              <w:rPr>
                <w:lang w:val="en-US"/>
              </w:rPr>
              <w:t>.</w:t>
            </w:r>
          </w:p>
        </w:tc>
      </w:tr>
    </w:tbl>
    <w:p w14:paraId="2AEBBEA2" w14:textId="51BF7B53" w:rsidR="00AD1715" w:rsidRDefault="00AD1715" w:rsidP="00E03557"/>
    <w:p w14:paraId="39EAF745" w14:textId="77777777" w:rsidR="00AD1715" w:rsidRDefault="00AD1715">
      <w:pPr>
        <w:spacing w:before="0"/>
      </w:pPr>
      <w:r>
        <w:br w:type="page"/>
      </w:r>
    </w:p>
    <w:p w14:paraId="3A53B4C3" w14:textId="77777777" w:rsidR="00AD1715" w:rsidRPr="00C96624" w:rsidRDefault="00AD1715" w:rsidP="00AD1715">
      <w:pPr>
        <w:rPr>
          <w:b/>
        </w:rPr>
      </w:pPr>
      <w:r w:rsidRPr="00C96624">
        <w:rPr>
          <w:b/>
        </w:rPr>
        <w:lastRenderedPageBreak/>
        <w:t xml:space="preserve">Initial </w:t>
      </w:r>
      <w:r>
        <w:rPr>
          <w:b/>
        </w:rPr>
        <w:t>outline</w:t>
      </w:r>
    </w:p>
    <w:p w14:paraId="384A722F" w14:textId="77777777" w:rsidR="00AD1715" w:rsidRPr="00E446F0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E446F0">
        <w:rPr>
          <w:rFonts w:eastAsia="Malgun Gothic"/>
          <w:lang w:eastAsia="zh-CN"/>
        </w:rPr>
        <w:t>Introduction</w:t>
      </w:r>
    </w:p>
    <w:p w14:paraId="1B0B4AA5" w14:textId="77777777" w:rsidR="00AD1715" w:rsidRDefault="00AD1715" w:rsidP="00AD1715">
      <w:pPr>
        <w:pStyle w:val="ListParagraph"/>
        <w:numPr>
          <w:ilvl w:val="0"/>
          <w:numId w:val="21"/>
        </w:numPr>
      </w:pPr>
      <w:r w:rsidRPr="00D1735B">
        <w:t>What is data annotation?</w:t>
      </w:r>
    </w:p>
    <w:p w14:paraId="1B3B600E" w14:textId="77777777" w:rsidR="00AD1715" w:rsidRDefault="00AD1715" w:rsidP="00AD1715">
      <w:pPr>
        <w:pStyle w:val="ListParagraph"/>
        <w:numPr>
          <w:ilvl w:val="0"/>
          <w:numId w:val="21"/>
        </w:numPr>
      </w:pPr>
      <w:r w:rsidRPr="00D1735B">
        <w:t>Type of biomedical research data</w:t>
      </w:r>
    </w:p>
    <w:p w14:paraId="4FE0B0D5" w14:textId="77777777" w:rsidR="00AD1715" w:rsidRDefault="00AD1715" w:rsidP="00AD1715">
      <w:pPr>
        <w:pStyle w:val="ListParagraph"/>
        <w:numPr>
          <w:ilvl w:val="0"/>
          <w:numId w:val="21"/>
        </w:numPr>
      </w:pPr>
      <w:r w:rsidRPr="00D1735B">
        <w:t>Working definition of data annotation</w:t>
      </w:r>
    </w:p>
    <w:p w14:paraId="79ECBA9C" w14:textId="77777777" w:rsidR="00AD1715" w:rsidRDefault="00AD1715" w:rsidP="00AD1715">
      <w:pPr>
        <w:pStyle w:val="ListParagraph"/>
        <w:numPr>
          <w:ilvl w:val="0"/>
          <w:numId w:val="21"/>
        </w:numPr>
      </w:pPr>
      <w:r w:rsidRPr="00D1735B">
        <w:t>Importance in data annotations particularly in medical research</w:t>
      </w:r>
    </w:p>
    <w:p w14:paraId="09BFEDB5" w14:textId="77777777" w:rsidR="00AD1715" w:rsidRDefault="00AD1715" w:rsidP="00AD1715">
      <w:pPr>
        <w:pStyle w:val="ListParagraph"/>
        <w:numPr>
          <w:ilvl w:val="0"/>
          <w:numId w:val="21"/>
        </w:numPr>
      </w:pPr>
      <w:r w:rsidRPr="00D1735B">
        <w:t>Procedure/SOPs for data annotations</w:t>
      </w:r>
    </w:p>
    <w:p w14:paraId="230EF61F" w14:textId="77777777" w:rsidR="00AD1715" w:rsidRPr="00D1735B" w:rsidRDefault="00AD1715" w:rsidP="00AD1715">
      <w:pPr>
        <w:pStyle w:val="ListParagraph"/>
        <w:numPr>
          <w:ilvl w:val="0"/>
          <w:numId w:val="21"/>
        </w:numPr>
      </w:pPr>
      <w:r w:rsidRPr="00D1735B">
        <w:t>Examples</w:t>
      </w:r>
    </w:p>
    <w:p w14:paraId="1004D40A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24472FC5" w14:textId="77777777" w:rsidR="00AD1715" w:rsidRDefault="00AD1715" w:rsidP="00AD1715">
      <w:pPr>
        <w:pStyle w:val="ListParagraph"/>
      </w:pPr>
    </w:p>
    <w:p w14:paraId="5A004B84" w14:textId="77777777" w:rsidR="00AD1715" w:rsidRPr="00E446F0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E446F0">
        <w:rPr>
          <w:rFonts w:eastAsia="Malgun Gothic" w:hint="eastAsia"/>
          <w:lang w:eastAsia="zh-CN"/>
        </w:rPr>
        <w:t>S</w:t>
      </w:r>
      <w:r w:rsidRPr="00E446F0">
        <w:rPr>
          <w:rFonts w:eastAsia="Malgun Gothic"/>
          <w:lang w:eastAsia="zh-CN"/>
        </w:rPr>
        <w:t>cope</w:t>
      </w:r>
    </w:p>
    <w:p w14:paraId="585DF492" w14:textId="77777777" w:rsidR="00AD1715" w:rsidRDefault="00AD1715" w:rsidP="00AD1715">
      <w:pPr>
        <w:rPr>
          <w:lang w:val="en-US" w:eastAsia="zh-CN"/>
        </w:rPr>
      </w:pPr>
      <w:r w:rsidRPr="00D1735B">
        <w:rPr>
          <w:rFonts w:hint="eastAsia"/>
        </w:rPr>
        <w:t>T</w:t>
      </w:r>
      <w:r w:rsidRPr="00D1735B">
        <w:t xml:space="preserve">he data annotation specification gives a </w:t>
      </w:r>
      <w:r w:rsidRPr="00D1735B">
        <w:rPr>
          <w:rFonts w:hint="eastAsia"/>
        </w:rPr>
        <w:t>brief</w:t>
      </w:r>
      <w:r w:rsidRPr="00D1735B">
        <w:t xml:space="preserve"> introduction of </w:t>
      </w:r>
      <w:r>
        <w:t>the definition, importance, general framework, procedure, requirements of data annotation in artificial intelligence for health</w:t>
      </w:r>
      <w:r>
        <w:rPr>
          <w:lang w:val="en-US"/>
        </w:rPr>
        <w:t xml:space="preserve">. </w:t>
      </w:r>
    </w:p>
    <w:p w14:paraId="277C7B47" w14:textId="77777777" w:rsidR="00AD1715" w:rsidRPr="00C05594" w:rsidRDefault="00AD1715" w:rsidP="00AD1715">
      <w:pPr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6D921E65" w14:textId="77777777" w:rsidR="00AD1715" w:rsidRPr="00E446F0" w:rsidRDefault="00AD1715" w:rsidP="00AD1715">
      <w:pPr>
        <w:pStyle w:val="ListParagraph"/>
        <w:rPr>
          <w:lang w:val="en-US"/>
        </w:rPr>
      </w:pPr>
    </w:p>
    <w:p w14:paraId="19A4ED19" w14:textId="77777777" w:rsidR="00AD1715" w:rsidRPr="00E446F0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E446F0">
        <w:rPr>
          <w:rFonts w:eastAsia="Malgun Gothic"/>
          <w:lang w:eastAsia="zh-CN"/>
        </w:rPr>
        <w:t>Reference</w:t>
      </w:r>
    </w:p>
    <w:p w14:paraId="67289AD7" w14:textId="77777777" w:rsidR="00AD1715" w:rsidRDefault="00AD1715" w:rsidP="00AD1715">
      <w:pPr>
        <w:rPr>
          <w:lang w:val="en-US" w:eastAsia="zh-CN"/>
        </w:rPr>
      </w:pPr>
      <w:r w:rsidRPr="00E446F0">
        <w:rPr>
          <w:lang w:val="en-US" w:eastAsia="zh-CN"/>
        </w:rPr>
        <w:t xml:space="preserve">The following ITU-T Recommendations and other references contain provisions, which, through reference in this text, constitute provisions of this </w:t>
      </w:r>
      <w:r>
        <w:rPr>
          <w:lang w:val="en-US" w:eastAsia="zh-CN"/>
        </w:rPr>
        <w:t>document</w:t>
      </w:r>
      <w:r w:rsidRPr="00E446F0">
        <w:rPr>
          <w:lang w:val="en-US" w:eastAsia="zh-CN"/>
        </w:rPr>
        <w:t xml:space="preserve">. At the time of publication, the editions indicated were valid. All Recommendations and other references are subject to revision; </w:t>
      </w:r>
      <w:r>
        <w:rPr>
          <w:lang w:val="en-US" w:eastAsia="zh-CN"/>
        </w:rPr>
        <w:t>readers</w:t>
      </w:r>
      <w:r w:rsidRPr="00E446F0">
        <w:rPr>
          <w:lang w:val="en-US" w:eastAsia="zh-CN"/>
        </w:rPr>
        <w:t xml:space="preserve"> of this </w:t>
      </w:r>
      <w:r>
        <w:rPr>
          <w:lang w:val="en-US" w:eastAsia="zh-CN"/>
        </w:rPr>
        <w:t xml:space="preserve">document </w:t>
      </w:r>
      <w:r w:rsidRPr="00E446F0">
        <w:rPr>
          <w:lang w:val="en-US" w:eastAsia="zh-CN"/>
        </w:rPr>
        <w:t xml:space="preserve">are therefore encouraged to investigate the possibility of applying the most recent edition of the Recommendations and other references listed below. </w:t>
      </w:r>
    </w:p>
    <w:p w14:paraId="1BC9243E" w14:textId="77777777" w:rsidR="00AD1715" w:rsidRDefault="00AD1715" w:rsidP="00AD1715">
      <w:pPr>
        <w:rPr>
          <w:lang w:val="en-US" w:eastAsia="zh-CN"/>
        </w:rPr>
      </w:pPr>
      <w:r w:rsidRPr="00E446F0">
        <w:rPr>
          <w:lang w:val="en-US" w:eastAsia="zh-CN"/>
        </w:rPr>
        <w:t>A list of the currently valid ITU-</w:t>
      </w:r>
      <w:r>
        <w:rPr>
          <w:lang w:val="en-US" w:eastAsia="zh-CN"/>
        </w:rPr>
        <w:t>T</w:t>
      </w:r>
      <w:r w:rsidRPr="00E446F0">
        <w:rPr>
          <w:lang w:val="en-US" w:eastAsia="zh-CN"/>
        </w:rPr>
        <w:t xml:space="preserve"> Recommendations is regularly published.</w:t>
      </w:r>
      <w:r>
        <w:rPr>
          <w:lang w:val="en-US" w:eastAsia="zh-CN"/>
        </w:rPr>
        <w:t xml:space="preserve"> </w:t>
      </w:r>
      <w:r w:rsidRPr="00E446F0">
        <w:rPr>
          <w:lang w:val="en-US" w:eastAsia="zh-CN"/>
        </w:rPr>
        <w:t xml:space="preserve">The reference to a document within this </w:t>
      </w:r>
      <w:r>
        <w:rPr>
          <w:lang w:val="en-US" w:eastAsia="zh-CN"/>
        </w:rPr>
        <w:t>document</w:t>
      </w:r>
      <w:r w:rsidRPr="00E446F0">
        <w:rPr>
          <w:lang w:val="en-US" w:eastAsia="zh-CN"/>
        </w:rPr>
        <w:t xml:space="preserve"> does not give it, as a stand-alone document, the status of a Recommendation.</w:t>
      </w:r>
    </w:p>
    <w:p w14:paraId="0E8014DA" w14:textId="77777777" w:rsidR="00AD1715" w:rsidRDefault="00AD1715" w:rsidP="00AD1715">
      <w:pPr>
        <w:pStyle w:val="ListParagraph"/>
        <w:numPr>
          <w:ilvl w:val="0"/>
          <w:numId w:val="22"/>
        </w:numPr>
        <w:rPr>
          <w:lang w:eastAsia="zh-CN"/>
        </w:rPr>
      </w:pPr>
      <w:r>
        <w:t>Available specifications such as ICF, ICD etc.</w:t>
      </w:r>
    </w:p>
    <w:p w14:paraId="62AC96C1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122066B9" w14:textId="77777777" w:rsidR="00AD1715" w:rsidRPr="00E446F0" w:rsidRDefault="00AD1715" w:rsidP="00AD1715">
      <w:pPr>
        <w:pStyle w:val="ListParagraph"/>
        <w:rPr>
          <w:lang w:val="en-US"/>
        </w:rPr>
      </w:pPr>
    </w:p>
    <w:p w14:paraId="00117D4F" w14:textId="77777777" w:rsidR="00AD1715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6413B7">
        <w:rPr>
          <w:rFonts w:eastAsia="Malgun Gothic"/>
          <w:lang w:eastAsia="zh-CN"/>
        </w:rPr>
        <w:t>Definitions</w:t>
      </w:r>
    </w:p>
    <w:p w14:paraId="3A00F8B8" w14:textId="77777777" w:rsidR="00AD1715" w:rsidRDefault="00AD1715" w:rsidP="00AD1715">
      <w:pPr>
        <w:pStyle w:val="ListParagraph"/>
        <w:numPr>
          <w:ilvl w:val="0"/>
          <w:numId w:val="22"/>
        </w:numPr>
      </w:pPr>
      <w:r>
        <w:t>Defining data annotation specifications</w:t>
      </w:r>
    </w:p>
    <w:p w14:paraId="52528D73" w14:textId="77777777" w:rsidR="00AD1715" w:rsidRDefault="00AD1715" w:rsidP="00AD1715">
      <w:pPr>
        <w:pStyle w:val="ListParagraph"/>
        <w:numPr>
          <w:ilvl w:val="1"/>
          <w:numId w:val="22"/>
        </w:numPr>
      </w:pPr>
      <w:r>
        <w:t>Controlled vocabulary</w:t>
      </w:r>
    </w:p>
    <w:p w14:paraId="44095DC1" w14:textId="77777777" w:rsidR="00AD1715" w:rsidRDefault="00AD1715" w:rsidP="00AD1715">
      <w:pPr>
        <w:pStyle w:val="ListParagraph"/>
        <w:numPr>
          <w:ilvl w:val="1"/>
          <w:numId w:val="22"/>
        </w:numPr>
      </w:pPr>
      <w:r>
        <w:t>Metadata</w:t>
      </w:r>
    </w:p>
    <w:p w14:paraId="365E7AF3" w14:textId="77777777" w:rsidR="00AD1715" w:rsidRPr="00334D99" w:rsidRDefault="00AD1715" w:rsidP="00AD1715">
      <w:pPr>
        <w:pStyle w:val="ListParagraph"/>
        <w:numPr>
          <w:ilvl w:val="1"/>
          <w:numId w:val="22"/>
        </w:numPr>
        <w:rPr>
          <w:rFonts w:eastAsiaTheme="minorEastAsia"/>
          <w:lang w:eastAsia="zh-CN"/>
        </w:rPr>
      </w:pPr>
      <w:r>
        <w:t>Examples</w:t>
      </w:r>
    </w:p>
    <w:p w14:paraId="619F7AD7" w14:textId="77777777" w:rsidR="00AD1715" w:rsidRPr="006413B7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rFonts w:eastAsia="Malgun Gothic"/>
          <w:lang w:eastAsia="zh-CN"/>
        </w:rPr>
      </w:pPr>
      <w:r w:rsidRPr="006413B7">
        <w:rPr>
          <w:rFonts w:eastAsia="Malgun Gothic"/>
          <w:lang w:eastAsia="zh-CN"/>
        </w:rPr>
        <w:t>Terms defined elsewhere</w:t>
      </w:r>
    </w:p>
    <w:p w14:paraId="3E387DA5" w14:textId="77777777" w:rsidR="00AD1715" w:rsidRDefault="00AD1715" w:rsidP="00AD1715">
      <w:pPr>
        <w:jc w:val="both"/>
        <w:rPr>
          <w:lang w:val="en-US" w:eastAsia="zh-CN"/>
        </w:rPr>
      </w:pPr>
      <w:r w:rsidRPr="000316F9">
        <w:rPr>
          <w:lang w:val="en-US" w:eastAsia="zh-CN"/>
        </w:rPr>
        <w:t xml:space="preserve">This </w:t>
      </w:r>
      <w:r>
        <w:rPr>
          <w:lang w:val="en-US" w:eastAsia="zh-CN"/>
        </w:rPr>
        <w:t>document</w:t>
      </w:r>
      <w:r w:rsidRPr="000316F9">
        <w:rPr>
          <w:lang w:val="en-US" w:eastAsia="zh-CN"/>
        </w:rPr>
        <w:t xml:space="preserve"> uses the following terms defined elsewhere:</w:t>
      </w:r>
      <w:r w:rsidRPr="000316F9" w:rsidDel="00AE3FA6">
        <w:rPr>
          <w:lang w:val="en-US" w:eastAsia="zh-CN"/>
        </w:rPr>
        <w:t xml:space="preserve"> </w:t>
      </w:r>
    </w:p>
    <w:p w14:paraId="1839003B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5DCA9061" w14:textId="77777777" w:rsidR="00AD1715" w:rsidRPr="000316F9" w:rsidRDefault="00AD1715" w:rsidP="00AD1715">
      <w:pPr>
        <w:jc w:val="both"/>
        <w:rPr>
          <w:color w:val="000000"/>
          <w:lang w:val="en-US" w:eastAsia="zh-CN"/>
        </w:rPr>
      </w:pPr>
    </w:p>
    <w:p w14:paraId="3F11B4E0" w14:textId="77777777" w:rsidR="00AD1715" w:rsidRPr="006413B7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rFonts w:eastAsia="Malgun Gothic"/>
          <w:lang w:eastAsia="zh-CN"/>
        </w:rPr>
      </w:pPr>
      <w:r w:rsidRPr="006413B7">
        <w:rPr>
          <w:rFonts w:eastAsia="Malgun Gothic"/>
          <w:lang w:eastAsia="zh-CN"/>
        </w:rPr>
        <w:t>Terms defined in this Recommendation</w:t>
      </w:r>
    </w:p>
    <w:p w14:paraId="2554D4D6" w14:textId="77777777" w:rsidR="00AD1715" w:rsidRPr="000316F9" w:rsidRDefault="00AD1715" w:rsidP="00AD1715">
      <w:pPr>
        <w:jc w:val="both"/>
        <w:rPr>
          <w:lang w:val="en-US" w:eastAsia="zh-CN"/>
        </w:rPr>
      </w:pPr>
      <w:r w:rsidRPr="000316F9">
        <w:rPr>
          <w:lang w:val="en-US" w:eastAsia="zh-CN"/>
        </w:rPr>
        <w:t>This document defines the following terms:</w:t>
      </w:r>
    </w:p>
    <w:p w14:paraId="4275D8F4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3E10DFDC" w14:textId="77777777" w:rsidR="00AD1715" w:rsidRDefault="00AD1715" w:rsidP="00AD1715">
      <w:pPr>
        <w:rPr>
          <w:lang w:val="en-US" w:eastAsia="zh-CN"/>
        </w:rPr>
      </w:pPr>
    </w:p>
    <w:p w14:paraId="2868BEE2" w14:textId="77777777" w:rsidR="00AD1715" w:rsidRPr="000316F9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Theme="minorEastAsia"/>
          <w:szCs w:val="24"/>
          <w:lang w:val="en-US"/>
        </w:rPr>
      </w:pPr>
      <w:r w:rsidRPr="006413B7">
        <w:rPr>
          <w:rFonts w:eastAsia="Malgun Gothic"/>
          <w:lang w:eastAsia="zh-CN"/>
        </w:rPr>
        <w:t>Abbreviations and acronyms</w:t>
      </w:r>
    </w:p>
    <w:p w14:paraId="556FB446" w14:textId="77777777" w:rsidR="00AD1715" w:rsidRDefault="00AD1715" w:rsidP="00AD1715">
      <w:pPr>
        <w:rPr>
          <w:lang w:val="en-US"/>
        </w:rPr>
      </w:pPr>
      <w:r w:rsidRPr="000316F9">
        <w:rPr>
          <w:lang w:val="en-US"/>
        </w:rPr>
        <w:t xml:space="preserve">This </w:t>
      </w:r>
      <w:r>
        <w:rPr>
          <w:lang w:val="en-US"/>
        </w:rPr>
        <w:t>document</w:t>
      </w:r>
      <w:r w:rsidRPr="000316F9">
        <w:rPr>
          <w:lang w:val="en-US"/>
        </w:rPr>
        <w:t xml:space="preserve"> uses the following abbreviations and acronyms:</w:t>
      </w:r>
    </w:p>
    <w:p w14:paraId="3963C8E8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441F4033" w14:textId="77777777" w:rsidR="00AD1715" w:rsidRPr="0001181A" w:rsidRDefault="00AD1715" w:rsidP="00AD1715">
      <w:pPr>
        <w:rPr>
          <w:lang w:eastAsia="zh-CN"/>
        </w:rPr>
      </w:pPr>
    </w:p>
    <w:p w14:paraId="7DEECF26" w14:textId="77777777" w:rsidR="00AD1715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Background </w:t>
      </w:r>
    </w:p>
    <w:p w14:paraId="4D8DD0DA" w14:textId="77777777" w:rsidR="00AD1715" w:rsidRDefault="00AD1715" w:rsidP="00AD1715">
      <w:pPr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TBD&gt;</w:t>
      </w:r>
    </w:p>
    <w:p w14:paraId="54921256" w14:textId="77777777" w:rsidR="00AD1715" w:rsidRDefault="00AD1715" w:rsidP="00AD1715">
      <w:pPr>
        <w:pStyle w:val="ListParagraph"/>
        <w:numPr>
          <w:ilvl w:val="0"/>
          <w:numId w:val="22"/>
        </w:numPr>
      </w:pPr>
      <w:r>
        <w:t>Present status and future directions</w:t>
      </w:r>
    </w:p>
    <w:p w14:paraId="02D6509A" w14:textId="77777777" w:rsidR="00AD1715" w:rsidRDefault="00AD1715" w:rsidP="00AD1715">
      <w:pPr>
        <w:pStyle w:val="ListParagraph"/>
        <w:numPr>
          <w:ilvl w:val="1"/>
          <w:numId w:val="22"/>
        </w:numPr>
      </w:pPr>
      <w:r>
        <w:t>Semantic ontologies and integration</w:t>
      </w:r>
    </w:p>
    <w:p w14:paraId="72DED1E0" w14:textId="77777777" w:rsidR="00AD1715" w:rsidRDefault="00AD1715" w:rsidP="00AD1715">
      <w:pPr>
        <w:pStyle w:val="ListParagraph"/>
        <w:numPr>
          <w:ilvl w:val="1"/>
          <w:numId w:val="22"/>
        </w:numPr>
      </w:pPr>
      <w:r>
        <w:t>Individual researchers vs consortium</w:t>
      </w:r>
    </w:p>
    <w:p w14:paraId="6926657A" w14:textId="77777777" w:rsidR="00AD1715" w:rsidRPr="0001181A" w:rsidRDefault="00AD1715" w:rsidP="00AD1715">
      <w:pPr>
        <w:pStyle w:val="ListParagraph"/>
        <w:numPr>
          <w:ilvl w:val="1"/>
          <w:numId w:val="22"/>
        </w:numPr>
        <w:rPr>
          <w:lang w:eastAsia="zh-CN"/>
        </w:rPr>
      </w:pPr>
      <w:r>
        <w:t>Professional paid services</w:t>
      </w:r>
    </w:p>
    <w:p w14:paraId="010FE7D8" w14:textId="77777777" w:rsidR="00AD1715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5B6866">
        <w:rPr>
          <w:rFonts w:eastAsia="Malgun Gothic"/>
          <w:lang w:eastAsia="zh-CN"/>
        </w:rPr>
        <w:t>General requirements of data annotation</w:t>
      </w:r>
    </w:p>
    <w:p w14:paraId="5A3DF9DF" w14:textId="77777777" w:rsidR="00AD1715" w:rsidRPr="00D1735B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rFonts w:eastAsia="Malgun Gothic"/>
          <w:lang w:eastAsia="zh-CN"/>
        </w:rPr>
      </w:pPr>
      <w:r w:rsidRPr="00D1735B">
        <w:rPr>
          <w:rFonts w:eastAsia="Malgun Gothic"/>
          <w:lang w:eastAsia="zh-CN"/>
        </w:rPr>
        <w:t>Types of data annotations</w:t>
      </w:r>
    </w:p>
    <w:p w14:paraId="16A7C6E4" w14:textId="77777777" w:rsidR="00AD1715" w:rsidRDefault="00AD1715" w:rsidP="00AD1715">
      <w:pPr>
        <w:pStyle w:val="ListParagraph"/>
        <w:numPr>
          <w:ilvl w:val="0"/>
          <w:numId w:val="22"/>
        </w:numPr>
      </w:pPr>
      <w:r w:rsidRPr="00D1735B">
        <w:t>Human readable</w:t>
      </w:r>
    </w:p>
    <w:p w14:paraId="3D85E6D4" w14:textId="77777777" w:rsidR="00AD1715" w:rsidRDefault="00AD1715" w:rsidP="00AD1715">
      <w:pPr>
        <w:pStyle w:val="ListParagraph"/>
        <w:numPr>
          <w:ilvl w:val="0"/>
          <w:numId w:val="22"/>
        </w:numPr>
      </w:pPr>
      <w:r w:rsidRPr="00D1735B">
        <w:t>Machine readable</w:t>
      </w:r>
    </w:p>
    <w:p w14:paraId="54F5303A" w14:textId="77777777" w:rsidR="00AD1715" w:rsidRPr="00743230" w:rsidRDefault="00AD1715" w:rsidP="00AD1715">
      <w:pPr>
        <w:pStyle w:val="ListParagraph"/>
        <w:numPr>
          <w:ilvl w:val="0"/>
          <w:numId w:val="22"/>
        </w:numPr>
        <w:rPr>
          <w:rFonts w:eastAsiaTheme="minorEastAsia"/>
          <w:lang w:eastAsia="zh-CN"/>
        </w:rPr>
      </w:pPr>
      <w:r w:rsidRPr="00D1735B">
        <w:t>Hybrid</w:t>
      </w:r>
    </w:p>
    <w:p w14:paraId="5D47F969" w14:textId="77777777" w:rsidR="00AD1715" w:rsidRPr="006C4129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rFonts w:eastAsia="Malgun Gothic"/>
          <w:lang w:eastAsia="zh-CN"/>
        </w:rPr>
      </w:pPr>
      <w:r w:rsidRPr="006C4129">
        <w:rPr>
          <w:rFonts w:eastAsia="Malgun Gothic"/>
          <w:lang w:eastAsia="zh-CN"/>
        </w:rPr>
        <w:t>Data privacy</w:t>
      </w:r>
    </w:p>
    <w:p w14:paraId="2D3810E8" w14:textId="77777777" w:rsidR="00AD1715" w:rsidRDefault="00AD1715" w:rsidP="00AD1715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&lt;</w:t>
      </w:r>
      <w:r>
        <w:rPr>
          <w:sz w:val="22"/>
          <w:szCs w:val="22"/>
          <w:lang w:eastAsia="zh-CN"/>
        </w:rPr>
        <w:t>TBD&gt;</w:t>
      </w:r>
    </w:p>
    <w:p w14:paraId="5AED4D00" w14:textId="77777777" w:rsidR="00AD1715" w:rsidRDefault="00AD1715" w:rsidP="00AD1715">
      <w:pPr>
        <w:rPr>
          <w:sz w:val="22"/>
          <w:szCs w:val="22"/>
          <w:lang w:eastAsia="zh-CN"/>
        </w:rPr>
      </w:pPr>
    </w:p>
    <w:p w14:paraId="5CAFE618" w14:textId="77777777" w:rsidR="00AD1715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sz w:val="22"/>
          <w:szCs w:val="22"/>
          <w:lang w:eastAsia="zh-CN"/>
        </w:rPr>
      </w:pPr>
      <w:r w:rsidRPr="006C4129">
        <w:rPr>
          <w:rFonts w:eastAsia="Malgun Gothic" w:hint="eastAsia"/>
          <w:lang w:eastAsia="zh-CN"/>
        </w:rPr>
        <w:t>Q</w:t>
      </w:r>
      <w:r w:rsidRPr="006C4129">
        <w:rPr>
          <w:rFonts w:eastAsia="Malgun Gothic"/>
          <w:lang w:eastAsia="zh-CN"/>
        </w:rPr>
        <w:t>uality requirements of data sets</w:t>
      </w:r>
    </w:p>
    <w:p w14:paraId="631B128A" w14:textId="77777777" w:rsidR="00AD1715" w:rsidRDefault="00AD1715" w:rsidP="00AD1715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&lt;</w:t>
      </w:r>
      <w:r>
        <w:rPr>
          <w:sz w:val="22"/>
          <w:szCs w:val="22"/>
          <w:lang w:eastAsia="zh-CN"/>
        </w:rPr>
        <w:t>TBD&gt;</w:t>
      </w:r>
    </w:p>
    <w:p w14:paraId="20A32096" w14:textId="77777777" w:rsidR="00AD1715" w:rsidRPr="006C4129" w:rsidRDefault="00AD1715" w:rsidP="00AD1715">
      <w:pPr>
        <w:pStyle w:val="Heading1"/>
        <w:numPr>
          <w:ilvl w:val="1"/>
          <w:numId w:val="1"/>
        </w:numPr>
        <w:tabs>
          <w:tab w:val="clear" w:pos="576"/>
          <w:tab w:val="num" w:pos="709"/>
        </w:tabs>
        <w:ind w:left="680" w:rightChars="50" w:right="120" w:hanging="680"/>
        <w:rPr>
          <w:rFonts w:eastAsia="Malgun Gothic"/>
          <w:lang w:eastAsia="zh-CN"/>
        </w:rPr>
      </w:pPr>
      <w:r w:rsidRPr="006C4129">
        <w:rPr>
          <w:rFonts w:eastAsia="Malgun Gothic"/>
          <w:lang w:eastAsia="zh-CN"/>
        </w:rPr>
        <w:t xml:space="preserve">Qualification requirements </w:t>
      </w:r>
      <w:r w:rsidRPr="006C4129">
        <w:rPr>
          <w:rFonts w:eastAsia="Malgun Gothic" w:hint="eastAsia"/>
          <w:lang w:eastAsia="zh-CN"/>
        </w:rPr>
        <w:t>of</w:t>
      </w:r>
      <w:r w:rsidRPr="006C4129">
        <w:rPr>
          <w:rFonts w:eastAsia="Malgun Gothic"/>
          <w:lang w:eastAsia="zh-CN"/>
        </w:rPr>
        <w:t xml:space="preserve"> labelling doctors</w:t>
      </w:r>
    </w:p>
    <w:p w14:paraId="2D25D5E9" w14:textId="77777777" w:rsidR="00AD1715" w:rsidRDefault="00AD1715" w:rsidP="00AD1715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&lt;</w:t>
      </w:r>
      <w:r>
        <w:rPr>
          <w:sz w:val="22"/>
          <w:szCs w:val="22"/>
          <w:lang w:eastAsia="zh-CN"/>
        </w:rPr>
        <w:t>TBD&gt;</w:t>
      </w:r>
    </w:p>
    <w:p w14:paraId="1F8C270F" w14:textId="77777777" w:rsidR="00AD1715" w:rsidRPr="006C4129" w:rsidRDefault="00AD1715" w:rsidP="00AD1715">
      <w:pPr>
        <w:rPr>
          <w:sz w:val="22"/>
          <w:szCs w:val="22"/>
          <w:lang w:eastAsia="zh-CN"/>
        </w:rPr>
      </w:pPr>
    </w:p>
    <w:p w14:paraId="5EC33500" w14:textId="77777777" w:rsidR="00AD1715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5B6866">
        <w:rPr>
          <w:rFonts w:eastAsia="Malgun Gothic"/>
          <w:lang w:eastAsia="zh-CN"/>
        </w:rPr>
        <w:t xml:space="preserve">Requirements </w:t>
      </w:r>
      <w:r w:rsidRPr="005B6866">
        <w:rPr>
          <w:rFonts w:eastAsia="Malgun Gothic" w:hint="eastAsia"/>
          <w:lang w:eastAsia="zh-CN"/>
        </w:rPr>
        <w:t>of</w:t>
      </w:r>
      <w:r w:rsidRPr="005B6866">
        <w:rPr>
          <w:rFonts w:eastAsia="Malgun Gothic"/>
          <w:lang w:eastAsia="zh-CN"/>
        </w:rPr>
        <w:t xml:space="preserve"> </w:t>
      </w:r>
      <w:r w:rsidRPr="005B6866">
        <w:rPr>
          <w:rFonts w:eastAsia="Malgun Gothic" w:hint="eastAsia"/>
          <w:lang w:eastAsia="zh-CN"/>
        </w:rPr>
        <w:t>data</w:t>
      </w:r>
      <w:r w:rsidRPr="005B6866">
        <w:rPr>
          <w:rFonts w:eastAsia="Malgun Gothic"/>
          <w:lang w:eastAsia="zh-CN"/>
        </w:rPr>
        <w:t xml:space="preserve"> distribution</w:t>
      </w:r>
    </w:p>
    <w:p w14:paraId="01D536F1" w14:textId="77777777" w:rsidR="00AD1715" w:rsidRDefault="00AD1715" w:rsidP="00AD1715">
      <w:pPr>
        <w:rPr>
          <w:lang w:val="en-US" w:eastAsia="zh-CN"/>
        </w:rPr>
      </w:pPr>
      <w:r w:rsidRPr="00940454">
        <w:rPr>
          <w:lang w:eastAsia="zh-CN"/>
        </w:rPr>
        <w:t xml:space="preserve">In order to avoid bias in data distribution, </w:t>
      </w:r>
      <w:r>
        <w:rPr>
          <w:lang w:val="en-US" w:eastAsia="zh-CN"/>
        </w:rPr>
        <w:t xml:space="preserve">it is suggested that </w:t>
      </w:r>
      <w:r w:rsidRPr="00940454">
        <w:rPr>
          <w:lang w:eastAsia="zh-CN"/>
        </w:rPr>
        <w:t>the</w:t>
      </w:r>
      <w:r w:rsidRPr="00CA7D6D">
        <w:rPr>
          <w:lang w:val="en-US" w:eastAsia="zh-CN"/>
        </w:rPr>
        <w:t xml:space="preserve"> labelling of </w:t>
      </w:r>
      <w:r>
        <w:rPr>
          <w:lang w:val="en-US" w:eastAsia="zh-CN"/>
        </w:rPr>
        <w:t>medical image</w:t>
      </w:r>
      <w:r w:rsidRPr="00CA7D6D"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</w:t>
      </w:r>
      <w:r w:rsidRPr="00CA7D6D">
        <w:rPr>
          <w:lang w:val="en-US" w:eastAsia="zh-CN"/>
        </w:rPr>
        <w:t xml:space="preserve">carried out by grouping and crossing. Figure 8.1 illustrates the </w:t>
      </w:r>
      <w:r>
        <w:rPr>
          <w:rFonts w:hint="eastAsia"/>
          <w:lang w:val="en-US" w:eastAsia="zh-CN"/>
        </w:rPr>
        <w:t>recommended</w:t>
      </w:r>
      <w:r>
        <w:rPr>
          <w:lang w:val="en-US" w:eastAsia="zh-CN"/>
        </w:rPr>
        <w:t xml:space="preserve"> </w:t>
      </w:r>
      <w:r w:rsidRPr="00CA7D6D">
        <w:rPr>
          <w:lang w:val="en-US" w:eastAsia="zh-CN"/>
        </w:rPr>
        <w:t>data distribution</w:t>
      </w:r>
      <w:r w:rsidRPr="00036AFB"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workflow</w:t>
      </w:r>
      <w:r w:rsidRPr="00CA7D6D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14:paraId="6BA96B47" w14:textId="77777777" w:rsidR="00AD1715" w:rsidRDefault="00AD1715" w:rsidP="00AD1715">
      <w:pPr>
        <w:jc w:val="center"/>
        <w:rPr>
          <w:lang w:val="en-US"/>
        </w:rPr>
      </w:pPr>
      <w:r w:rsidRPr="001A5D87">
        <w:rPr>
          <w:noProof/>
          <w:lang w:eastAsia="en-GB"/>
        </w:rPr>
        <w:lastRenderedPageBreak/>
        <w:drawing>
          <wp:inline distT="0" distB="0" distL="0" distR="0" wp14:anchorId="0C922B03" wp14:editId="5E88CD82">
            <wp:extent cx="4533633" cy="3398226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9716" cy="34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77AF" w14:textId="77777777" w:rsidR="00AD1715" w:rsidRPr="005B6866" w:rsidRDefault="00AD1715" w:rsidP="00AD1715">
      <w:pPr>
        <w:jc w:val="center"/>
        <w:rPr>
          <w:rFonts w:eastAsia="Malgun Gothic"/>
          <w:lang w:eastAsia="zh-CN"/>
        </w:rPr>
      </w:pPr>
      <w:r w:rsidRPr="00CA7D6D">
        <w:rPr>
          <w:rFonts w:hint="eastAsia"/>
          <w:lang w:val="en-US" w:eastAsia="zh-CN"/>
        </w:rPr>
        <w:t>F</w:t>
      </w:r>
      <w:r w:rsidRPr="00CA7D6D">
        <w:rPr>
          <w:lang w:val="en-US" w:eastAsia="zh-CN"/>
        </w:rPr>
        <w:t>ig 8</w:t>
      </w:r>
      <w:r>
        <w:rPr>
          <w:lang w:val="en-US" w:eastAsia="zh-CN"/>
        </w:rPr>
        <w:t>.1</w:t>
      </w:r>
      <w:r w:rsidRPr="005B6866">
        <w:rPr>
          <w:rFonts w:eastAsia="Malgun Gothic"/>
          <w:lang w:eastAsia="zh-CN"/>
        </w:rPr>
        <w:t xml:space="preserve"> </w:t>
      </w:r>
      <w:r>
        <w:rPr>
          <w:rFonts w:eastAsia="Malgun Gothic"/>
          <w:lang w:val="en-US" w:eastAsia="zh-CN"/>
        </w:rPr>
        <w:t>W</w:t>
      </w:r>
      <w:r>
        <w:rPr>
          <w:rFonts w:eastAsia="Malgun Gothic" w:hint="eastAsia"/>
          <w:lang w:val="en-US" w:eastAsia="zh-CN"/>
        </w:rPr>
        <w:t>orkflow</w:t>
      </w:r>
      <w:r w:rsidRPr="005B6866">
        <w:rPr>
          <w:rFonts w:eastAsia="Malgun Gothic" w:hint="eastAsia"/>
          <w:lang w:eastAsia="zh-CN"/>
        </w:rPr>
        <w:t xml:space="preserve"> </w:t>
      </w:r>
      <w:r w:rsidRPr="005B6866">
        <w:rPr>
          <w:rFonts w:eastAsia="Malgun Gothic"/>
          <w:lang w:eastAsia="zh-CN"/>
        </w:rPr>
        <w:t xml:space="preserve">of </w:t>
      </w:r>
      <w:r>
        <w:rPr>
          <w:rFonts w:eastAsia="Malgun Gothic"/>
          <w:lang w:eastAsia="zh-CN"/>
        </w:rPr>
        <w:t>D</w:t>
      </w:r>
      <w:r w:rsidRPr="005B6866">
        <w:rPr>
          <w:rFonts w:eastAsia="Malgun Gothic"/>
          <w:lang w:eastAsia="zh-CN"/>
        </w:rPr>
        <w:t xml:space="preserve">ata </w:t>
      </w:r>
      <w:r>
        <w:rPr>
          <w:rFonts w:eastAsia="Malgun Gothic"/>
          <w:lang w:eastAsia="zh-CN"/>
        </w:rPr>
        <w:t>Distribution</w:t>
      </w:r>
    </w:p>
    <w:p w14:paraId="644D4CEA" w14:textId="77777777" w:rsidR="00AD1715" w:rsidRDefault="00AD1715" w:rsidP="00AD1715">
      <w:pPr>
        <w:rPr>
          <w:lang w:val="en-US"/>
        </w:rPr>
      </w:pPr>
    </w:p>
    <w:p w14:paraId="048C8CC5" w14:textId="77777777" w:rsidR="00AD1715" w:rsidRDefault="00AD1715" w:rsidP="00AD1715">
      <w:pPr>
        <w:rPr>
          <w:lang w:val="en-US"/>
        </w:rPr>
      </w:pPr>
      <w:r>
        <w:rPr>
          <w:lang w:val="en-US"/>
        </w:rPr>
        <w:t>&lt;TBD&gt;</w:t>
      </w:r>
    </w:p>
    <w:p w14:paraId="1F011A4A" w14:textId="77777777" w:rsidR="00AD1715" w:rsidRPr="00753F0E" w:rsidRDefault="00AD1715" w:rsidP="00AD1715">
      <w:pPr>
        <w:rPr>
          <w:rFonts w:ascii="Microsoft YaHei" w:eastAsia="Microsoft YaHei" w:hAnsi="Microsoft YaHei" w:cs="Microsoft YaHei"/>
          <w:lang w:val="en-US" w:eastAsia="zh-CN"/>
        </w:rPr>
      </w:pPr>
    </w:p>
    <w:p w14:paraId="085A4F9E" w14:textId="77777777" w:rsidR="00AD1715" w:rsidRPr="005B6866" w:rsidRDefault="00AD1715" w:rsidP="00AD1715">
      <w:pPr>
        <w:pStyle w:val="Heading1"/>
        <w:numPr>
          <w:ilvl w:val="0"/>
          <w:numId w:val="1"/>
        </w:numPr>
        <w:tabs>
          <w:tab w:val="clear" w:pos="432"/>
        </w:tabs>
        <w:ind w:left="680" w:hanging="680"/>
        <w:rPr>
          <w:rFonts w:eastAsia="Malgun Gothic"/>
          <w:lang w:eastAsia="zh-CN"/>
        </w:rPr>
      </w:pPr>
      <w:r w:rsidRPr="005B6866">
        <w:rPr>
          <w:rFonts w:eastAsia="Malgun Gothic"/>
          <w:lang w:eastAsia="zh-CN"/>
        </w:rPr>
        <w:t xml:space="preserve">Requirements </w:t>
      </w:r>
      <w:r w:rsidRPr="005B6866">
        <w:rPr>
          <w:rFonts w:eastAsia="Malgun Gothic" w:hint="eastAsia"/>
          <w:lang w:eastAsia="zh-CN"/>
        </w:rPr>
        <w:t>of</w:t>
      </w:r>
      <w:r w:rsidRPr="005B6866">
        <w:rPr>
          <w:rFonts w:eastAsia="Malgun Gothic"/>
          <w:lang w:eastAsia="zh-CN"/>
        </w:rPr>
        <w:t xml:space="preserve"> data annotation tool</w:t>
      </w:r>
    </w:p>
    <w:p w14:paraId="0BAD25DC" w14:textId="77777777" w:rsidR="00AD1715" w:rsidRPr="00E446F0" w:rsidRDefault="00AD1715" w:rsidP="00AD1715">
      <w:pPr>
        <w:rPr>
          <w:rFonts w:eastAsiaTheme="minorEastAsia"/>
          <w:lang w:eastAsia="zh-CN"/>
        </w:rPr>
      </w:pPr>
      <w:r>
        <w:rPr>
          <w:lang w:val="en-US"/>
        </w:rPr>
        <w:t>&lt;TBD&gt;</w:t>
      </w:r>
    </w:p>
    <w:p w14:paraId="006F87F5" w14:textId="77777777" w:rsidR="00E03557" w:rsidRDefault="00E03557" w:rsidP="00E03557"/>
    <w:p w14:paraId="1E8850EE" w14:textId="77777777" w:rsidR="003429F2" w:rsidRDefault="00BC1D31" w:rsidP="00404076">
      <w:pPr>
        <w:spacing w:after="20"/>
        <w:jc w:val="center"/>
      </w:pPr>
      <w:r>
        <w:t>____________________________</w:t>
      </w:r>
    </w:p>
    <w:p w14:paraId="6E9573DA" w14:textId="77777777" w:rsidR="00BC1D31" w:rsidRPr="00AB258E" w:rsidRDefault="00BC1D31" w:rsidP="00BC1D31"/>
    <w:sectPr w:rsidR="00BC1D31" w:rsidRPr="00AB258E" w:rsidSect="007B7733">
      <w:headerReference w:type="default" r:id="rId15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F8B3" w14:textId="77777777" w:rsidR="00E400BF" w:rsidRDefault="00E400BF" w:rsidP="007B7733">
      <w:pPr>
        <w:spacing w:before="0"/>
      </w:pPr>
      <w:r>
        <w:separator/>
      </w:r>
    </w:p>
  </w:endnote>
  <w:endnote w:type="continuationSeparator" w:id="0">
    <w:p w14:paraId="4AAA30A5" w14:textId="77777777" w:rsidR="00E400BF" w:rsidRDefault="00E400B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A223" w14:textId="77777777" w:rsidR="00E400BF" w:rsidRDefault="00E400BF" w:rsidP="007B7733">
      <w:pPr>
        <w:spacing w:before="0"/>
      </w:pPr>
      <w:r>
        <w:separator/>
      </w:r>
    </w:p>
  </w:footnote>
  <w:footnote w:type="continuationSeparator" w:id="0">
    <w:p w14:paraId="23D09FDA" w14:textId="77777777" w:rsidR="00E400BF" w:rsidRDefault="00E400B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F599" w14:textId="458214AD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6071D">
      <w:rPr>
        <w:noProof/>
      </w:rPr>
      <w:t>4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405BE10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6071D">
      <w:rPr>
        <w:noProof/>
      </w:rPr>
      <w:t>FG-AI4H-G-205-A03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8F111F"/>
    <w:multiLevelType w:val="hybridMultilevel"/>
    <w:tmpl w:val="EBD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64F9"/>
    <w:multiLevelType w:val="hybridMultilevel"/>
    <w:tmpl w:val="5D9A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071D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3669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715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00BF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fgai4h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singh@bmi.icmr.org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ushan@caict.ac.c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3C99E-ED56-4D32-9BC3-AF101A904B2F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449</Words>
  <Characters>2853</Characters>
  <Application>Microsoft Office Word</Application>
  <DocSecurity>0</DocSecurity>
  <Lines>124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DEL05C: Data annotation specification</vt:lpstr>
    </vt:vector>
  </TitlesOfParts>
  <Manager>ITU-T</Manager>
  <Company>International Telecommunication Union (ITU)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DEL05C: Data annotation specification</dc:title>
  <dc:subject/>
  <dc:creator>Editor</dc:creator>
  <cp:keywords/>
  <dc:description>FG-AI4H-G-205-A03  For: New Delhi, 13-15 November 2019_x000d_Document date: ITU-T Focus Group on AI for Health_x000d_Saved by ITU51013830 at 16:50:57 on 16/12/2019</dc:description>
  <cp:lastModifiedBy>Dabiri, Ayda</cp:lastModifiedBy>
  <cp:revision>19</cp:revision>
  <cp:lastPrinted>2011-04-05T14:28:00Z</cp:lastPrinted>
  <dcterms:created xsi:type="dcterms:W3CDTF">2019-04-09T13:22:00Z</dcterms:created>
  <dcterms:modified xsi:type="dcterms:W3CDTF">2019-12-16T15:51:00Z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FG-AI4H-G-205-A03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Editor</vt:lpwstr>
  </property>
</Properties>
</file>