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992"/>
        <w:gridCol w:w="3686"/>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F529C8B" w:rsidR="00E03557" w:rsidRPr="00852AAD" w:rsidRDefault="00BC1D31" w:rsidP="007A5634">
            <w:pPr>
              <w:pStyle w:val="Docnumber"/>
            </w:pPr>
            <w:r>
              <w:t>FG-AI4H</w:t>
            </w:r>
            <w:r w:rsidR="00E03557">
              <w:t>-</w:t>
            </w:r>
            <w:r w:rsidR="00007288">
              <w:t>G</w:t>
            </w:r>
            <w:r>
              <w:t>-</w:t>
            </w:r>
            <w:r w:rsidR="007A5634">
              <w:t>202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3FD56C7" w:rsidR="00BC1D31" w:rsidRPr="00123B21" w:rsidRDefault="007A5634"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BF5CE27" w:rsidR="00BC1D31" w:rsidRPr="00123B21" w:rsidRDefault="007A5634"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DDC216F" w:rsidR="00BC1D31" w:rsidRPr="00123B21" w:rsidRDefault="007A5634" w:rsidP="002E6647">
            <w:r w:rsidRPr="007A5634">
              <w:t>DEL02: AI4H regulatory best practices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6BC5521" w:rsidR="00E03557" w:rsidRPr="00BC1D31" w:rsidRDefault="007A5634" w:rsidP="002E6647">
            <w:pPr>
              <w:rPr>
                <w:highlight w:val="yellow"/>
              </w:rPr>
            </w:pPr>
            <w:r w:rsidRPr="007A5634">
              <w:rPr>
                <w:lang w:val="en-US"/>
              </w:rPr>
              <w:t>Discussion</w:t>
            </w:r>
          </w:p>
        </w:tc>
      </w:tr>
      <w:bookmarkEnd w:id="2"/>
      <w:bookmarkEnd w:id="10"/>
      <w:tr w:rsidR="007A5634" w:rsidRPr="00E03557" w14:paraId="487F5750" w14:textId="77777777" w:rsidTr="007A5634">
        <w:trPr>
          <w:cantSplit/>
          <w:jc w:val="center"/>
        </w:trPr>
        <w:tc>
          <w:tcPr>
            <w:tcW w:w="1700" w:type="dxa"/>
            <w:gridSpan w:val="2"/>
            <w:tcBorders>
              <w:top w:val="single" w:sz="6" w:space="0" w:color="auto"/>
              <w:bottom w:val="single" w:sz="6" w:space="0" w:color="auto"/>
            </w:tcBorders>
          </w:tcPr>
          <w:p w14:paraId="70A3F5E0" w14:textId="77777777" w:rsidR="007A5634" w:rsidRPr="00E03557" w:rsidRDefault="007A5634" w:rsidP="007A5634">
            <w:pPr>
              <w:rPr>
                <w:b/>
                <w:bCs/>
              </w:rPr>
            </w:pPr>
            <w:r w:rsidRPr="00E03557">
              <w:rPr>
                <w:b/>
                <w:bCs/>
              </w:rPr>
              <w:t>Contact:</w:t>
            </w:r>
          </w:p>
        </w:tc>
        <w:tc>
          <w:tcPr>
            <w:tcW w:w="4254" w:type="dxa"/>
            <w:gridSpan w:val="2"/>
            <w:tcBorders>
              <w:top w:val="single" w:sz="6" w:space="0" w:color="auto"/>
              <w:bottom w:val="single" w:sz="6" w:space="0" w:color="auto"/>
            </w:tcBorders>
          </w:tcPr>
          <w:p w14:paraId="5D1C7C66" w14:textId="144D62DB" w:rsidR="007A5634" w:rsidRPr="00BC1D31" w:rsidRDefault="007A5634" w:rsidP="007A5634">
            <w:pPr>
              <w:rPr>
                <w:highlight w:val="yellow"/>
              </w:rPr>
            </w:pPr>
            <w:r w:rsidRPr="001A4F8B">
              <w:rPr>
                <w:lang w:val="de-DE"/>
              </w:rPr>
              <w:t>Jackie Ma</w:t>
            </w:r>
            <w:r w:rsidRPr="001A4F8B">
              <w:rPr>
                <w:lang w:val="de-DE"/>
              </w:rPr>
              <w:br/>
              <w:t>Fraunhofer HHI</w:t>
            </w:r>
            <w:r w:rsidRPr="001A4F8B">
              <w:rPr>
                <w:lang w:val="de-DE"/>
              </w:rPr>
              <w:br/>
              <w:t>Germany</w:t>
            </w:r>
          </w:p>
        </w:tc>
        <w:tc>
          <w:tcPr>
            <w:tcW w:w="3686" w:type="dxa"/>
            <w:tcBorders>
              <w:top w:val="single" w:sz="6" w:space="0" w:color="auto"/>
              <w:bottom w:val="single" w:sz="6" w:space="0" w:color="auto"/>
            </w:tcBorders>
          </w:tcPr>
          <w:p w14:paraId="28DD2FCB" w14:textId="70232364" w:rsidR="007A5634" w:rsidRPr="00BC1D31" w:rsidRDefault="007A5634" w:rsidP="007A5634">
            <w:pPr>
              <w:rPr>
                <w:highlight w:val="yellow"/>
              </w:rPr>
            </w:pPr>
            <w:r w:rsidRPr="001A4F8B">
              <w:t xml:space="preserve">Tel: </w:t>
            </w:r>
            <w:r w:rsidRPr="001A4F8B">
              <w:tab/>
              <w:t>+49 30 31002 461</w:t>
            </w:r>
            <w:r w:rsidRPr="001A4F8B">
              <w:br/>
              <w:t>Email: jackie.ma@hhi.fraunhofer.de</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ABC0CEB" w:rsidR="00E03557" w:rsidRPr="00BC1D31" w:rsidRDefault="00DC7803" w:rsidP="002E6647">
            <w:pPr>
              <w:rPr>
                <w:highlight w:val="yellow"/>
              </w:rPr>
            </w:pPr>
            <w:r w:rsidRPr="00DC7803">
              <w:t xml:space="preserve">This document contains the proposed initial structure for the FG-AI4H deliverable 2, </w:t>
            </w:r>
            <w:r w:rsidRPr="007A5634">
              <w:t>AI4H regulatory best practices</w:t>
            </w:r>
            <w:r w:rsidRPr="00DC7803">
              <w:t>.</w:t>
            </w:r>
          </w:p>
        </w:tc>
      </w:tr>
    </w:tbl>
    <w:p w14:paraId="1A80D092" w14:textId="212DD095" w:rsidR="007A5634" w:rsidRDefault="007A5634" w:rsidP="00E03557"/>
    <w:p w14:paraId="38A4B12D" w14:textId="2CE38D6C" w:rsidR="007A5634" w:rsidRDefault="007A5634" w:rsidP="007A5634">
      <w:pPr>
        <w:spacing w:before="0"/>
      </w:pPr>
      <w:r>
        <w:br w:type="page"/>
      </w:r>
    </w:p>
    <w:p w14:paraId="7FCC2D81" w14:textId="77777777" w:rsidR="007A5634" w:rsidRPr="000F2773" w:rsidRDefault="007A5634" w:rsidP="007A5634">
      <w:pPr>
        <w:pStyle w:val="Heading1"/>
        <w:numPr>
          <w:ilvl w:val="0"/>
          <w:numId w:val="0"/>
        </w:numPr>
        <w:ind w:left="432" w:hanging="432"/>
      </w:pPr>
      <w:bookmarkStart w:id="11" w:name="_Toc24123793"/>
      <w:r>
        <w:lastRenderedPageBreak/>
        <w:t>Introduction</w:t>
      </w:r>
      <w:bookmarkEnd w:id="11"/>
    </w:p>
    <w:p w14:paraId="56FAA06D" w14:textId="77777777" w:rsidR="007A5634" w:rsidRPr="004342A6" w:rsidRDefault="007A5634" w:rsidP="007A5634">
      <w:r w:rsidRPr="00066EC4">
        <w:rPr>
          <w:highlight w:val="yellow"/>
        </w:rPr>
        <w:t>TBA</w:t>
      </w:r>
    </w:p>
    <w:p w14:paraId="67E96B75" w14:textId="77777777" w:rsidR="007A5634" w:rsidRDefault="007A5634" w:rsidP="007A5634">
      <w:pPr>
        <w:pStyle w:val="Heading1"/>
        <w:numPr>
          <w:ilvl w:val="0"/>
          <w:numId w:val="1"/>
        </w:numPr>
      </w:pPr>
      <w:r>
        <w:t>Objective of the deliverable</w:t>
      </w:r>
    </w:p>
    <w:p w14:paraId="00CC5CFF" w14:textId="77777777" w:rsidR="007A5634" w:rsidRDefault="007A5634" w:rsidP="007A5634">
      <w:r w:rsidRPr="004342A6">
        <w:t>High</w:t>
      </w:r>
      <w:r>
        <w:t>-</w:t>
      </w:r>
      <w:r w:rsidRPr="004342A6">
        <w:t>level perspective and guidelines on the best practices for regulation of AI for health towards the safe application of AI solutions. It will include common elements of AI regulation across different verticals as well as some regional and country-specific regulations.</w:t>
      </w:r>
    </w:p>
    <w:p w14:paraId="3B184EEC" w14:textId="77777777" w:rsidR="007A5634" w:rsidRDefault="007A5634" w:rsidP="007A5634">
      <w:pPr>
        <w:pStyle w:val="Heading1"/>
        <w:numPr>
          <w:ilvl w:val="0"/>
          <w:numId w:val="1"/>
        </w:numPr>
      </w:pPr>
      <w:r>
        <w:t>Overview and examples of best practices</w:t>
      </w:r>
    </w:p>
    <w:p w14:paraId="2E9874A0" w14:textId="77777777" w:rsidR="007A5634" w:rsidRDefault="007A5634" w:rsidP="007A5634">
      <w:pPr>
        <w:pStyle w:val="Heading2"/>
        <w:numPr>
          <w:ilvl w:val="1"/>
          <w:numId w:val="1"/>
        </w:numPr>
      </w:pPr>
      <w:r>
        <w:t>General elements used for the high-level perspectives and guidelines</w:t>
      </w:r>
    </w:p>
    <w:p w14:paraId="29BEE89B" w14:textId="77777777" w:rsidR="007A5634" w:rsidRDefault="007A5634" w:rsidP="007A5634">
      <w:r>
        <w:t>Consider (where applicable):</w:t>
      </w:r>
    </w:p>
    <w:p w14:paraId="1BEE4AEB" w14:textId="77777777" w:rsidR="007A5634" w:rsidRDefault="007A5634" w:rsidP="007A5634">
      <w:pPr>
        <w:pStyle w:val="ListParagraph"/>
        <w:numPr>
          <w:ilvl w:val="0"/>
          <w:numId w:val="21"/>
        </w:numPr>
      </w:pPr>
      <w:r>
        <w:t>National AI strategies (incl. efforts for data infrastructures, data sovereignty/security/privacy etc.)</w:t>
      </w:r>
    </w:p>
    <w:p w14:paraId="1FBCCD39" w14:textId="77777777" w:rsidR="007A5634" w:rsidRDefault="007A5634" w:rsidP="007A5634">
      <w:pPr>
        <w:pStyle w:val="ListParagraph"/>
        <w:numPr>
          <w:ilvl w:val="0"/>
          <w:numId w:val="21"/>
        </w:numPr>
      </w:pPr>
      <w:r>
        <w:t>Governance and public services (incl. education and training)</w:t>
      </w:r>
    </w:p>
    <w:p w14:paraId="2919D1DC" w14:textId="77777777" w:rsidR="007A5634" w:rsidRDefault="007A5634" w:rsidP="007A5634">
      <w:pPr>
        <w:pStyle w:val="ListParagraph"/>
        <w:numPr>
          <w:ilvl w:val="0"/>
          <w:numId w:val="21"/>
        </w:numPr>
      </w:pPr>
      <w:r>
        <w:t>Regulatory stakeholders (e.g. Federal Agencies, Ministry of Health, Chief of State, etc.)</w:t>
      </w:r>
    </w:p>
    <w:p w14:paraId="5E94A9B4" w14:textId="77777777" w:rsidR="007A5634" w:rsidRDefault="007A5634" w:rsidP="007A5634">
      <w:pPr>
        <w:pStyle w:val="ListParagraph"/>
        <w:numPr>
          <w:ilvl w:val="0"/>
          <w:numId w:val="21"/>
        </w:numPr>
      </w:pPr>
      <w:r>
        <w:t>Standardization and requirements processes (e.g. national standardized data format, clearances and approvals for AI technology, etc.)</w:t>
      </w:r>
    </w:p>
    <w:p w14:paraId="083F54DB" w14:textId="77777777" w:rsidR="007A5634" w:rsidRPr="00066EC4" w:rsidRDefault="007A5634" w:rsidP="007A5634">
      <w:pPr>
        <w:pStyle w:val="ListParagraph"/>
        <w:numPr>
          <w:ilvl w:val="0"/>
          <w:numId w:val="21"/>
        </w:numPr>
        <w:rPr>
          <w:highlight w:val="yellow"/>
        </w:rPr>
      </w:pPr>
      <w:r w:rsidRPr="00066EC4">
        <w:rPr>
          <w:highlight w:val="yellow"/>
        </w:rPr>
        <w:t>…</w:t>
      </w:r>
    </w:p>
    <w:p w14:paraId="00A70FB5" w14:textId="77777777" w:rsidR="007A5634" w:rsidRDefault="007A5634" w:rsidP="007A5634">
      <w:pPr>
        <w:pStyle w:val="Heading2"/>
        <w:numPr>
          <w:ilvl w:val="1"/>
          <w:numId w:val="1"/>
        </w:numPr>
      </w:pPr>
      <w:r>
        <w:t>Regulatory local best practices</w:t>
      </w:r>
    </w:p>
    <w:p w14:paraId="2412446F" w14:textId="4A7EBDAF" w:rsidR="007A5634" w:rsidRPr="00D84C83" w:rsidRDefault="007A5634" w:rsidP="007A5634">
      <w:r w:rsidRPr="00D84C83">
        <w:t>Consider the following lists of (sub-)continents or countries of:</w:t>
      </w:r>
    </w:p>
    <w:p w14:paraId="6BD81A35" w14:textId="77777777" w:rsidR="007A5634" w:rsidRPr="00D84C83" w:rsidRDefault="007A5634" w:rsidP="007A5634">
      <w:pPr>
        <w:rPr>
          <w:b/>
        </w:rPr>
      </w:pPr>
      <w:r w:rsidRPr="00D84C83">
        <w:rPr>
          <w:b/>
        </w:rPr>
        <w:t>Africa (tentative)</w:t>
      </w:r>
    </w:p>
    <w:p w14:paraId="5C725E52" w14:textId="77777777" w:rsidR="007A5634" w:rsidRPr="00D84C83" w:rsidRDefault="007A5634" w:rsidP="007A5634">
      <w:pPr>
        <w:rPr>
          <w:b/>
        </w:rPr>
      </w:pPr>
      <w:r w:rsidRPr="00D84C83">
        <w:rPr>
          <w:b/>
        </w:rPr>
        <w:t>Asia-Pacific (tentative)</w:t>
      </w:r>
    </w:p>
    <w:p w14:paraId="2A996A26" w14:textId="77777777" w:rsidR="007A5634" w:rsidRDefault="007A5634" w:rsidP="007A5634">
      <w:pPr>
        <w:pStyle w:val="ListParagraph"/>
        <w:numPr>
          <w:ilvl w:val="0"/>
          <w:numId w:val="25"/>
        </w:numPr>
      </w:pPr>
      <w:r>
        <w:t>China (AI development plan, CFDA)</w:t>
      </w:r>
    </w:p>
    <w:p w14:paraId="5A89FF08" w14:textId="3C3EA1B4" w:rsidR="007A5634" w:rsidRDefault="007A5634" w:rsidP="007A5634">
      <w:pPr>
        <w:pStyle w:val="ListParagraph"/>
        <w:numPr>
          <w:ilvl w:val="0"/>
          <w:numId w:val="25"/>
        </w:numPr>
      </w:pPr>
      <w:r>
        <w:t>India (national AI Strate</w:t>
      </w:r>
      <w:r w:rsidR="00477092">
        <w:t>g</w:t>
      </w:r>
      <w:r>
        <w:t>y)</w:t>
      </w:r>
    </w:p>
    <w:p w14:paraId="7B09BDD4" w14:textId="7D985574" w:rsidR="007A5634" w:rsidRDefault="007A5634" w:rsidP="007A5634">
      <w:pPr>
        <w:pStyle w:val="ListParagraph"/>
        <w:numPr>
          <w:ilvl w:val="0"/>
          <w:numId w:val="25"/>
        </w:numPr>
      </w:pPr>
      <w:r>
        <w:t>Japan (national AI Strate</w:t>
      </w:r>
      <w:r w:rsidR="00477092">
        <w:t>g</w:t>
      </w:r>
      <w:r>
        <w:t>y)</w:t>
      </w:r>
    </w:p>
    <w:p w14:paraId="3FC46BBF" w14:textId="77777777" w:rsidR="007A5634" w:rsidRPr="00D84C83" w:rsidRDefault="007A5634" w:rsidP="007A5634">
      <w:pPr>
        <w:pStyle w:val="ListParagraph"/>
        <w:numPr>
          <w:ilvl w:val="0"/>
          <w:numId w:val="25"/>
        </w:numPr>
      </w:pPr>
      <w:r w:rsidRPr="00D84C83">
        <w:t>Singapore (AI Singapore national AI programme launched by NRF)</w:t>
      </w:r>
    </w:p>
    <w:p w14:paraId="6D66506E" w14:textId="77777777" w:rsidR="007A5634" w:rsidRDefault="007A5634" w:rsidP="007A5634">
      <w:pPr>
        <w:pStyle w:val="ListParagraph"/>
        <w:numPr>
          <w:ilvl w:val="0"/>
          <w:numId w:val="25"/>
        </w:numPr>
      </w:pPr>
      <w:r w:rsidRPr="00D84C83">
        <w:t>UAE (appointed Minister for AI part of the UAE Strategy for AI)</w:t>
      </w:r>
    </w:p>
    <w:p w14:paraId="09288832" w14:textId="77777777" w:rsidR="007A5634" w:rsidRPr="00066EC4" w:rsidRDefault="007A5634" w:rsidP="007A5634">
      <w:pPr>
        <w:pStyle w:val="ListParagraph"/>
        <w:numPr>
          <w:ilvl w:val="0"/>
          <w:numId w:val="25"/>
        </w:numPr>
        <w:rPr>
          <w:highlight w:val="yellow"/>
        </w:rPr>
      </w:pPr>
      <w:r w:rsidRPr="00066EC4">
        <w:rPr>
          <w:highlight w:val="yellow"/>
        </w:rPr>
        <w:t>…</w:t>
      </w:r>
    </w:p>
    <w:p w14:paraId="72FD9FEE" w14:textId="77777777" w:rsidR="007A5634" w:rsidRPr="00D84C83" w:rsidRDefault="007A5634" w:rsidP="007A5634">
      <w:pPr>
        <w:rPr>
          <w:b/>
        </w:rPr>
      </w:pPr>
      <w:r w:rsidRPr="00D84C83">
        <w:rPr>
          <w:b/>
        </w:rPr>
        <w:t>Australia and New Zealand (tentative)</w:t>
      </w:r>
    </w:p>
    <w:p w14:paraId="06ED6F64" w14:textId="77777777" w:rsidR="007A5634" w:rsidRDefault="007A5634" w:rsidP="007A5634">
      <w:pPr>
        <w:rPr>
          <w:b/>
        </w:rPr>
      </w:pPr>
      <w:r w:rsidRPr="00D84C83">
        <w:rPr>
          <w:b/>
        </w:rPr>
        <w:t>Eastern Europe (tentative)</w:t>
      </w:r>
    </w:p>
    <w:p w14:paraId="5DD7019B" w14:textId="77777777" w:rsidR="007A5634" w:rsidRPr="00D84C83" w:rsidRDefault="007A5634" w:rsidP="007A5634">
      <w:pPr>
        <w:rPr>
          <w:b/>
        </w:rPr>
      </w:pPr>
      <w:r w:rsidRPr="00D84C83">
        <w:rPr>
          <w:b/>
        </w:rPr>
        <w:t>Latin America (tentative)</w:t>
      </w:r>
    </w:p>
    <w:p w14:paraId="1C656C94" w14:textId="77777777" w:rsidR="007A5634" w:rsidRPr="00D84C83" w:rsidRDefault="007A5634" w:rsidP="007A5634">
      <w:pPr>
        <w:rPr>
          <w:b/>
        </w:rPr>
      </w:pPr>
      <w:r w:rsidRPr="00D84C83">
        <w:rPr>
          <w:b/>
        </w:rPr>
        <w:t>North America (tentative)</w:t>
      </w:r>
    </w:p>
    <w:p w14:paraId="7A03385D" w14:textId="77777777" w:rsidR="007A5634" w:rsidRDefault="007A5634" w:rsidP="007A5634">
      <w:pPr>
        <w:pStyle w:val="ListParagraph"/>
        <w:numPr>
          <w:ilvl w:val="0"/>
          <w:numId w:val="24"/>
        </w:numPr>
      </w:pPr>
      <w:r>
        <w:t>America (American AI Initiative, FDA)</w:t>
      </w:r>
    </w:p>
    <w:p w14:paraId="68963661" w14:textId="77777777" w:rsidR="007A5634" w:rsidRDefault="007A5634" w:rsidP="007A5634">
      <w:pPr>
        <w:pStyle w:val="ListParagraph"/>
        <w:numPr>
          <w:ilvl w:val="0"/>
          <w:numId w:val="24"/>
        </w:numPr>
      </w:pPr>
      <w:r w:rsidRPr="00D84C83">
        <w:t>Canada (Pan-Canadian AI Strategy)</w:t>
      </w:r>
    </w:p>
    <w:p w14:paraId="65B104F9" w14:textId="77777777" w:rsidR="007A5634" w:rsidRPr="00066EC4" w:rsidRDefault="007A5634" w:rsidP="007A5634">
      <w:pPr>
        <w:pStyle w:val="ListParagraph"/>
        <w:numPr>
          <w:ilvl w:val="0"/>
          <w:numId w:val="24"/>
        </w:numPr>
        <w:rPr>
          <w:highlight w:val="yellow"/>
        </w:rPr>
      </w:pPr>
      <w:r w:rsidRPr="00066EC4">
        <w:rPr>
          <w:highlight w:val="yellow"/>
        </w:rPr>
        <w:t>…</w:t>
      </w:r>
    </w:p>
    <w:p w14:paraId="5318A736" w14:textId="77777777" w:rsidR="007A5634" w:rsidRPr="00D84C83" w:rsidRDefault="007A5634" w:rsidP="007A5634">
      <w:pPr>
        <w:rPr>
          <w:b/>
        </w:rPr>
      </w:pPr>
      <w:r w:rsidRPr="00D84C83">
        <w:rPr>
          <w:b/>
        </w:rPr>
        <w:t>Western Europe (tentative)</w:t>
      </w:r>
    </w:p>
    <w:p w14:paraId="73D3ABE3" w14:textId="77777777" w:rsidR="007A5634" w:rsidRPr="00D84C83" w:rsidRDefault="007A5634" w:rsidP="007A5634">
      <w:pPr>
        <w:pStyle w:val="ListParagraph"/>
        <w:numPr>
          <w:ilvl w:val="0"/>
          <w:numId w:val="23"/>
        </w:numPr>
      </w:pPr>
      <w:r w:rsidRPr="00D84C83">
        <w:t>Finland (national AI Strategy)</w:t>
      </w:r>
    </w:p>
    <w:p w14:paraId="1A762B8A" w14:textId="77777777" w:rsidR="007A5634" w:rsidRPr="00D84C83" w:rsidRDefault="007A5634" w:rsidP="007A5634">
      <w:pPr>
        <w:pStyle w:val="ListParagraph"/>
        <w:numPr>
          <w:ilvl w:val="0"/>
          <w:numId w:val="23"/>
        </w:numPr>
      </w:pPr>
      <w:r w:rsidRPr="00D84C83">
        <w:t>France (national AI Strategy)</w:t>
      </w:r>
    </w:p>
    <w:p w14:paraId="4270FB37" w14:textId="77777777" w:rsidR="007A5634" w:rsidRPr="00D84C83" w:rsidRDefault="007A5634" w:rsidP="007A5634">
      <w:pPr>
        <w:pStyle w:val="ListParagraph"/>
        <w:numPr>
          <w:ilvl w:val="0"/>
          <w:numId w:val="23"/>
        </w:numPr>
      </w:pPr>
      <w:r w:rsidRPr="00D84C83">
        <w:t>Germany (national AI Strategy)</w:t>
      </w:r>
    </w:p>
    <w:p w14:paraId="03623BA9" w14:textId="77777777" w:rsidR="007A5634" w:rsidRDefault="007A5634" w:rsidP="007A5634">
      <w:pPr>
        <w:pStyle w:val="ListParagraph"/>
        <w:numPr>
          <w:ilvl w:val="0"/>
          <w:numId w:val="23"/>
        </w:numPr>
      </w:pPr>
      <w:r w:rsidRPr="00D84C83">
        <w:t>United Kingdom (national AI Strategy)</w:t>
      </w:r>
    </w:p>
    <w:p w14:paraId="6A976B3A" w14:textId="3D4D3155" w:rsidR="007A5634" w:rsidRDefault="007A5634" w:rsidP="007A5634">
      <w:pPr>
        <w:pStyle w:val="ListParagraph"/>
        <w:numPr>
          <w:ilvl w:val="0"/>
          <w:numId w:val="23"/>
        </w:numPr>
      </w:pPr>
      <w:r>
        <w:t>…</w:t>
      </w:r>
    </w:p>
    <w:p w14:paraId="556A563B" w14:textId="0B63FF77" w:rsidR="007A5634" w:rsidRDefault="007A5634" w:rsidP="007A5634">
      <w:pPr>
        <w:pStyle w:val="ListParagraph"/>
      </w:pPr>
    </w:p>
    <w:p w14:paraId="164C3753" w14:textId="77777777" w:rsidR="007A5634" w:rsidRDefault="007A5634" w:rsidP="007A5634">
      <w:pPr>
        <w:pStyle w:val="ListParagraph"/>
      </w:pPr>
    </w:p>
    <w:p w14:paraId="4DF9900C" w14:textId="77777777" w:rsidR="007A5634" w:rsidRDefault="007A5634" w:rsidP="007A5634">
      <w:r>
        <w:lastRenderedPageBreak/>
        <w:t>Tabular overview</w:t>
      </w:r>
    </w:p>
    <w:tbl>
      <w:tblPr>
        <w:tblStyle w:val="TableGrid"/>
        <w:tblW w:w="0" w:type="auto"/>
        <w:tblLook w:val="04A0" w:firstRow="1" w:lastRow="0" w:firstColumn="1" w:lastColumn="0" w:noHBand="0" w:noVBand="1"/>
      </w:tblPr>
      <w:tblGrid>
        <w:gridCol w:w="1925"/>
        <w:gridCol w:w="1926"/>
        <w:gridCol w:w="1926"/>
        <w:gridCol w:w="1926"/>
        <w:gridCol w:w="1926"/>
      </w:tblGrid>
      <w:tr w:rsidR="007A5634" w14:paraId="60291EC3" w14:textId="77777777" w:rsidTr="00CF2D0E">
        <w:tc>
          <w:tcPr>
            <w:tcW w:w="1925" w:type="dxa"/>
          </w:tcPr>
          <w:p w14:paraId="7A17FF7C" w14:textId="77777777" w:rsidR="007A5634" w:rsidRDefault="007A5634" w:rsidP="00CF2D0E">
            <w:bookmarkStart w:id="12" w:name="_GoBack"/>
            <w:bookmarkEnd w:id="12"/>
          </w:p>
        </w:tc>
        <w:tc>
          <w:tcPr>
            <w:tcW w:w="1926" w:type="dxa"/>
          </w:tcPr>
          <w:p w14:paraId="05B1442B" w14:textId="77777777" w:rsidR="007A5634" w:rsidRDefault="007A5634" w:rsidP="00CF2D0E">
            <w:r>
              <w:t>National AI Strategy</w:t>
            </w:r>
          </w:p>
        </w:tc>
        <w:tc>
          <w:tcPr>
            <w:tcW w:w="1926" w:type="dxa"/>
          </w:tcPr>
          <w:p w14:paraId="7C90CC81" w14:textId="77777777" w:rsidR="007A5634" w:rsidRDefault="007A5634" w:rsidP="00CF2D0E">
            <w:r>
              <w:t>Responsible Ministry</w:t>
            </w:r>
          </w:p>
        </w:tc>
        <w:tc>
          <w:tcPr>
            <w:tcW w:w="1926" w:type="dxa"/>
          </w:tcPr>
          <w:p w14:paraId="5A027B7B" w14:textId="77777777" w:rsidR="007A5634" w:rsidRDefault="007A5634" w:rsidP="00CF2D0E">
            <w:r>
              <w:t>Regulatory Agency</w:t>
            </w:r>
          </w:p>
        </w:tc>
        <w:tc>
          <w:tcPr>
            <w:tcW w:w="1926" w:type="dxa"/>
          </w:tcPr>
          <w:p w14:paraId="2C47F906" w14:textId="77777777" w:rsidR="007A5634" w:rsidRDefault="007A5634" w:rsidP="00CF2D0E">
            <w:r>
              <w:t>…</w:t>
            </w:r>
          </w:p>
        </w:tc>
      </w:tr>
      <w:tr w:rsidR="007A5634" w14:paraId="35B9C1C0" w14:textId="77777777" w:rsidTr="00CF2D0E">
        <w:tc>
          <w:tcPr>
            <w:tcW w:w="1925" w:type="dxa"/>
          </w:tcPr>
          <w:p w14:paraId="248E18E6" w14:textId="77777777" w:rsidR="007A5634" w:rsidRDefault="007A5634" w:rsidP="00CF2D0E">
            <w:r>
              <w:t>Country A</w:t>
            </w:r>
          </w:p>
        </w:tc>
        <w:tc>
          <w:tcPr>
            <w:tcW w:w="1926" w:type="dxa"/>
          </w:tcPr>
          <w:p w14:paraId="7A5E0545" w14:textId="77777777" w:rsidR="007A5634" w:rsidRDefault="007A5634" w:rsidP="00CF2D0E">
            <w:pPr>
              <w:jc w:val="center"/>
            </w:pPr>
            <w:r>
              <w:t>Y</w:t>
            </w:r>
          </w:p>
        </w:tc>
        <w:tc>
          <w:tcPr>
            <w:tcW w:w="1926" w:type="dxa"/>
          </w:tcPr>
          <w:p w14:paraId="03FD207B" w14:textId="77777777" w:rsidR="007A5634" w:rsidRDefault="007A5634" w:rsidP="00CF2D0E">
            <w:pPr>
              <w:jc w:val="center"/>
            </w:pPr>
            <w:r>
              <w:t>Y</w:t>
            </w:r>
          </w:p>
        </w:tc>
        <w:tc>
          <w:tcPr>
            <w:tcW w:w="1926" w:type="dxa"/>
          </w:tcPr>
          <w:p w14:paraId="20D3BE44" w14:textId="77777777" w:rsidR="007A5634" w:rsidRDefault="007A5634" w:rsidP="00CF2D0E">
            <w:pPr>
              <w:jc w:val="center"/>
            </w:pPr>
            <w:r>
              <w:t>Y</w:t>
            </w:r>
          </w:p>
        </w:tc>
        <w:tc>
          <w:tcPr>
            <w:tcW w:w="1926" w:type="dxa"/>
          </w:tcPr>
          <w:p w14:paraId="7636F74A" w14:textId="77777777" w:rsidR="007A5634" w:rsidRDefault="007A5634" w:rsidP="00CF2D0E">
            <w:pPr>
              <w:jc w:val="center"/>
            </w:pPr>
            <w:r>
              <w:t>…</w:t>
            </w:r>
          </w:p>
        </w:tc>
      </w:tr>
      <w:tr w:rsidR="007A5634" w14:paraId="7A1977AB" w14:textId="77777777" w:rsidTr="00CF2D0E">
        <w:tc>
          <w:tcPr>
            <w:tcW w:w="1925" w:type="dxa"/>
          </w:tcPr>
          <w:p w14:paraId="324AC3EF" w14:textId="77777777" w:rsidR="007A5634" w:rsidRDefault="007A5634" w:rsidP="00CF2D0E">
            <w:r>
              <w:t>Country B</w:t>
            </w:r>
          </w:p>
        </w:tc>
        <w:tc>
          <w:tcPr>
            <w:tcW w:w="1926" w:type="dxa"/>
          </w:tcPr>
          <w:p w14:paraId="794B71DA" w14:textId="77777777" w:rsidR="007A5634" w:rsidRDefault="007A5634" w:rsidP="00CF2D0E">
            <w:pPr>
              <w:jc w:val="center"/>
            </w:pPr>
            <w:r>
              <w:t>Y</w:t>
            </w:r>
          </w:p>
        </w:tc>
        <w:tc>
          <w:tcPr>
            <w:tcW w:w="1926" w:type="dxa"/>
          </w:tcPr>
          <w:p w14:paraId="5E5BA3B7" w14:textId="77777777" w:rsidR="007A5634" w:rsidRDefault="007A5634" w:rsidP="00CF2D0E">
            <w:pPr>
              <w:jc w:val="center"/>
            </w:pPr>
            <w:r>
              <w:t>N</w:t>
            </w:r>
          </w:p>
        </w:tc>
        <w:tc>
          <w:tcPr>
            <w:tcW w:w="1926" w:type="dxa"/>
          </w:tcPr>
          <w:p w14:paraId="7CA4967E" w14:textId="77777777" w:rsidR="007A5634" w:rsidRDefault="007A5634" w:rsidP="00CF2D0E">
            <w:pPr>
              <w:jc w:val="center"/>
            </w:pPr>
            <w:r>
              <w:t>N</w:t>
            </w:r>
          </w:p>
        </w:tc>
        <w:tc>
          <w:tcPr>
            <w:tcW w:w="1926" w:type="dxa"/>
          </w:tcPr>
          <w:p w14:paraId="512E5902" w14:textId="77777777" w:rsidR="007A5634" w:rsidRDefault="007A5634" w:rsidP="00CF2D0E">
            <w:pPr>
              <w:jc w:val="center"/>
            </w:pPr>
            <w:r>
              <w:t>…</w:t>
            </w:r>
          </w:p>
        </w:tc>
      </w:tr>
      <w:tr w:rsidR="007A5634" w14:paraId="1815901D" w14:textId="77777777" w:rsidTr="00CF2D0E">
        <w:tc>
          <w:tcPr>
            <w:tcW w:w="1925" w:type="dxa"/>
          </w:tcPr>
          <w:p w14:paraId="3E10C213" w14:textId="77777777" w:rsidR="007A5634" w:rsidRDefault="007A5634" w:rsidP="00CF2D0E">
            <w:r>
              <w:t>…</w:t>
            </w:r>
          </w:p>
        </w:tc>
        <w:tc>
          <w:tcPr>
            <w:tcW w:w="1926" w:type="dxa"/>
          </w:tcPr>
          <w:p w14:paraId="23F21C8F" w14:textId="77777777" w:rsidR="007A5634" w:rsidRDefault="007A5634" w:rsidP="00CF2D0E">
            <w:pPr>
              <w:jc w:val="center"/>
            </w:pPr>
            <w:r>
              <w:t>…</w:t>
            </w:r>
          </w:p>
        </w:tc>
        <w:tc>
          <w:tcPr>
            <w:tcW w:w="1926" w:type="dxa"/>
          </w:tcPr>
          <w:p w14:paraId="1A3E62A2" w14:textId="77777777" w:rsidR="007A5634" w:rsidRDefault="007A5634" w:rsidP="00CF2D0E">
            <w:pPr>
              <w:jc w:val="center"/>
            </w:pPr>
            <w:r>
              <w:t>…</w:t>
            </w:r>
          </w:p>
        </w:tc>
        <w:tc>
          <w:tcPr>
            <w:tcW w:w="1926" w:type="dxa"/>
          </w:tcPr>
          <w:p w14:paraId="665A9BAB" w14:textId="77777777" w:rsidR="007A5634" w:rsidRDefault="007A5634" w:rsidP="00CF2D0E">
            <w:pPr>
              <w:jc w:val="center"/>
            </w:pPr>
            <w:r>
              <w:t>…</w:t>
            </w:r>
          </w:p>
        </w:tc>
        <w:tc>
          <w:tcPr>
            <w:tcW w:w="1926" w:type="dxa"/>
          </w:tcPr>
          <w:p w14:paraId="3D12DF84" w14:textId="77777777" w:rsidR="007A5634" w:rsidRDefault="007A5634" w:rsidP="00CF2D0E">
            <w:pPr>
              <w:jc w:val="center"/>
            </w:pPr>
            <w:r>
              <w:t>…</w:t>
            </w:r>
          </w:p>
        </w:tc>
      </w:tr>
    </w:tbl>
    <w:p w14:paraId="0E46751D" w14:textId="77777777" w:rsidR="007A5634" w:rsidRPr="00D84C83" w:rsidRDefault="007A5634" w:rsidP="007A5634"/>
    <w:p w14:paraId="4007A570" w14:textId="77777777" w:rsidR="007A5634" w:rsidRPr="00D84C83" w:rsidRDefault="007A5634" w:rsidP="007A5634">
      <w:pPr>
        <w:pStyle w:val="Heading2"/>
        <w:numPr>
          <w:ilvl w:val="1"/>
          <w:numId w:val="1"/>
        </w:numPr>
      </w:pPr>
      <w:r w:rsidRPr="00D84C83">
        <w:t>Global initiatives</w:t>
      </w:r>
    </w:p>
    <w:p w14:paraId="0062939B" w14:textId="77777777" w:rsidR="007A5634" w:rsidRDefault="007A5634" w:rsidP="007A5634">
      <w:pPr>
        <w:pStyle w:val="ListParagraph"/>
        <w:numPr>
          <w:ilvl w:val="0"/>
          <w:numId w:val="22"/>
        </w:numPr>
      </w:pPr>
      <w:r>
        <w:t xml:space="preserve">Made in Europe – European </w:t>
      </w:r>
      <w:proofErr w:type="spellStart"/>
      <w:r>
        <w:t>Commision</w:t>
      </w:r>
      <w:proofErr w:type="spellEnd"/>
      <w:r>
        <w:t xml:space="preserve"> Strategy on AI</w:t>
      </w:r>
    </w:p>
    <w:p w14:paraId="60C55395" w14:textId="77777777" w:rsidR="007A5634" w:rsidRDefault="007A5634" w:rsidP="007A5634">
      <w:pPr>
        <w:pStyle w:val="ListParagraph"/>
        <w:numPr>
          <w:ilvl w:val="0"/>
          <w:numId w:val="22"/>
        </w:numPr>
      </w:pPr>
      <w:r w:rsidRPr="00D84C83">
        <w:t>OECD principles on AI</w:t>
      </w:r>
      <w:r>
        <w:t xml:space="preserve"> </w:t>
      </w:r>
    </w:p>
    <w:p w14:paraId="0D2476C4" w14:textId="77777777" w:rsidR="007A5634" w:rsidRDefault="007A5634" w:rsidP="007A5634">
      <w:pPr>
        <w:pStyle w:val="ListParagraph"/>
        <w:numPr>
          <w:ilvl w:val="0"/>
          <w:numId w:val="22"/>
        </w:numPr>
      </w:pPr>
      <w:r>
        <w:t>Human-centred AI principles – G20</w:t>
      </w:r>
    </w:p>
    <w:p w14:paraId="4AECF3D3" w14:textId="77777777" w:rsidR="007A5634" w:rsidRPr="00D84C83" w:rsidRDefault="007A5634" w:rsidP="007A5634">
      <w:pPr>
        <w:pStyle w:val="ListParagraph"/>
        <w:numPr>
          <w:ilvl w:val="0"/>
          <w:numId w:val="22"/>
        </w:numPr>
      </w:pPr>
      <w:r>
        <w:t>…</w:t>
      </w:r>
    </w:p>
    <w:p w14:paraId="7F52CF73" w14:textId="77777777" w:rsidR="007A5634" w:rsidRDefault="007A5634" w:rsidP="007A5634">
      <w:pPr>
        <w:pStyle w:val="Heading1"/>
        <w:numPr>
          <w:ilvl w:val="0"/>
          <w:numId w:val="1"/>
        </w:numPr>
      </w:pPr>
      <w:r>
        <w:t>AI4H perspectives and guidelines</w:t>
      </w:r>
    </w:p>
    <w:p w14:paraId="26ED5AE7" w14:textId="77777777" w:rsidR="007A5634" w:rsidRPr="00066EC4" w:rsidRDefault="007A5634" w:rsidP="007A5634">
      <w:pPr>
        <w:rPr>
          <w:b/>
          <w:highlight w:val="yellow"/>
        </w:rPr>
      </w:pPr>
      <w:r w:rsidRPr="00066EC4">
        <w:rPr>
          <w:b/>
          <w:highlight w:val="yellow"/>
        </w:rPr>
        <w:t>Who should be involved?</w:t>
      </w:r>
    </w:p>
    <w:p w14:paraId="7AC50796" w14:textId="77777777" w:rsidR="007A5634" w:rsidRPr="00066EC4" w:rsidRDefault="007A5634" w:rsidP="007A5634">
      <w:pPr>
        <w:rPr>
          <w:b/>
          <w:highlight w:val="yellow"/>
        </w:rPr>
      </w:pPr>
      <w:r w:rsidRPr="00066EC4">
        <w:rPr>
          <w:b/>
          <w:highlight w:val="yellow"/>
        </w:rPr>
        <w:t>What is to be expected by the respective authorities?</w:t>
      </w:r>
    </w:p>
    <w:p w14:paraId="73C1041E" w14:textId="77777777" w:rsidR="007A5634" w:rsidRPr="003F25FA" w:rsidRDefault="007A5634" w:rsidP="007A5634">
      <w:pPr>
        <w:rPr>
          <w:b/>
        </w:rPr>
      </w:pPr>
      <w:r w:rsidRPr="00066EC4">
        <w:rPr>
          <w:b/>
          <w:highlight w:val="yellow"/>
        </w:rPr>
        <w:t>What are the potential long-term risks and strategies?</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0DA13" w14:textId="77777777" w:rsidR="00C90845" w:rsidRDefault="00C90845" w:rsidP="007B7733">
      <w:pPr>
        <w:spacing w:before="0"/>
      </w:pPr>
      <w:r>
        <w:separator/>
      </w:r>
    </w:p>
  </w:endnote>
  <w:endnote w:type="continuationSeparator" w:id="0">
    <w:p w14:paraId="4DF48E9A" w14:textId="77777777" w:rsidR="00C90845" w:rsidRDefault="00C9084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9256" w14:textId="77777777" w:rsidR="00C90845" w:rsidRDefault="00C90845" w:rsidP="007B7733">
      <w:pPr>
        <w:spacing w:before="0"/>
      </w:pPr>
      <w:r>
        <w:separator/>
      </w:r>
    </w:p>
  </w:footnote>
  <w:footnote w:type="continuationSeparator" w:id="0">
    <w:p w14:paraId="272B2FE3" w14:textId="77777777" w:rsidR="00C90845" w:rsidRDefault="00C9084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00E2B16" w:rsidR="007B7733" w:rsidRDefault="007B7733" w:rsidP="005E2231">
    <w:pPr>
      <w:pStyle w:val="Header"/>
      <w:rPr>
        <w:lang w:val="pt-BR"/>
      </w:rPr>
    </w:pPr>
    <w:r>
      <w:t xml:space="preserve">- </w:t>
    </w:r>
    <w:r>
      <w:fldChar w:fldCharType="begin"/>
    </w:r>
    <w:r>
      <w:instrText xml:space="preserve"> PAGE  \* MERGEFORMAT </w:instrText>
    </w:r>
    <w:r>
      <w:fldChar w:fldCharType="separate"/>
    </w:r>
    <w:r w:rsidR="00DC7803">
      <w:rPr>
        <w:noProof/>
      </w:rPr>
      <w:t>3</w:t>
    </w:r>
    <w:r>
      <w:rPr>
        <w:noProof/>
      </w:rPr>
      <w:fldChar w:fldCharType="end"/>
    </w:r>
    <w:r>
      <w:rPr>
        <w:lang w:val="pt-BR"/>
      </w:rPr>
      <w:t xml:space="preserve"> -</w:t>
    </w:r>
  </w:p>
  <w:p w14:paraId="07A7B8FD" w14:textId="4E511A9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77092">
      <w:rPr>
        <w:noProof/>
      </w:rPr>
      <w:t>FG-AI4H-G-202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73165"/>
    <w:multiLevelType w:val="hybridMultilevel"/>
    <w:tmpl w:val="5E92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0567F3"/>
    <w:multiLevelType w:val="hybridMultilevel"/>
    <w:tmpl w:val="5D80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61C6"/>
    <w:multiLevelType w:val="hybridMultilevel"/>
    <w:tmpl w:val="5CAA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63917"/>
    <w:multiLevelType w:val="hybridMultilevel"/>
    <w:tmpl w:val="A74C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74387"/>
    <w:multiLevelType w:val="hybridMultilevel"/>
    <w:tmpl w:val="C6B0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 w:numId="23">
    <w:abstractNumId w:val="12"/>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24A2"/>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09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5634"/>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0845"/>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803"/>
    <w:rsid w:val="00DD136D"/>
    <w:rsid w:val="00DD2F98"/>
    <w:rsid w:val="00DD514A"/>
    <w:rsid w:val="00DD76A3"/>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468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7A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CCCC1-550F-42DC-AC1A-862BFD57B0A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2213</Characters>
  <Application>Microsoft Office Word</Application>
  <DocSecurity>0</DocSecurity>
  <Lines>110</Lines>
  <Paragraphs>75</Paragraphs>
  <ScaleCrop>false</ScaleCrop>
  <HeadingPairs>
    <vt:vector size="2" baseType="variant">
      <vt:variant>
        <vt:lpstr>Title</vt:lpstr>
      </vt:variant>
      <vt:variant>
        <vt:i4>1</vt:i4>
      </vt:variant>
    </vt:vector>
  </HeadingPairs>
  <TitlesOfParts>
    <vt:vector size="1" baseType="lpstr">
      <vt:lpstr>DEL02: AI4H regulatory best practices</vt:lpstr>
    </vt:vector>
  </TitlesOfParts>
  <Manager>ITU-T</Manager>
  <Company>International Telecommunication Union (ITU)</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DEL02: AI4H regulatory best practices</dc:title>
  <dc:subject/>
  <dc:creator>Editor</dc:creator>
  <cp:keywords/>
  <dc:description>FG-AI4H-G-202  For: New Delhi, 13-15 November 2019_x000d_Document date: ITU-T Focus Group on AI for Health_x000d_Saved by ITU51013830 at 16:03:04 on 18/11/2019</dc:description>
  <cp:lastModifiedBy>Secretariat</cp:lastModifiedBy>
  <cp:revision>2</cp:revision>
  <cp:lastPrinted>2011-04-05T14:28:00Z</cp:lastPrinted>
  <dcterms:created xsi:type="dcterms:W3CDTF">2019-11-20T23:37:00Z</dcterms:created>
  <dcterms:modified xsi:type="dcterms:W3CDTF">2019-11-20T23:37:00Z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