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0" w:type="dxa"/>
        <w:jc w:val="center"/>
        <w:tblLayout w:type="fixed"/>
        <w:tblCellMar>
          <w:left w:w="57" w:type="dxa"/>
          <w:right w:w="57" w:type="dxa"/>
        </w:tblCellMar>
        <w:tblLook w:val="0000" w:firstRow="0" w:lastRow="0" w:firstColumn="0" w:lastColumn="0" w:noHBand="0" w:noVBand="0"/>
      </w:tblPr>
      <w:tblGrid>
        <w:gridCol w:w="1133"/>
        <w:gridCol w:w="567"/>
        <w:gridCol w:w="3262"/>
        <w:gridCol w:w="978"/>
        <w:gridCol w:w="3587"/>
        <w:gridCol w:w="23"/>
      </w:tblGrid>
      <w:tr w:rsidR="00E03557" w:rsidRPr="00BC1225" w14:paraId="42396BB7" w14:textId="77777777" w:rsidTr="007A3AE7">
        <w:trPr>
          <w:cantSplit/>
          <w:jc w:val="center"/>
        </w:trPr>
        <w:tc>
          <w:tcPr>
            <w:tcW w:w="1133" w:type="dxa"/>
            <w:vMerge w:val="restart"/>
            <w:vAlign w:val="center"/>
          </w:tcPr>
          <w:p w14:paraId="624632D4" w14:textId="77777777" w:rsidR="00E03557" w:rsidRPr="00BC1225" w:rsidRDefault="00BC1D31" w:rsidP="00E03557">
            <w:pPr>
              <w:jc w:val="center"/>
              <w:rPr>
                <w:sz w:val="20"/>
                <w:szCs w:val="20"/>
                <w:lang w:val="en-US"/>
              </w:rPr>
            </w:pPr>
            <w:bookmarkStart w:id="0" w:name="dtableau"/>
            <w:bookmarkStart w:id="1" w:name="dsg" w:colFirst="1" w:colLast="1"/>
            <w:bookmarkStart w:id="2" w:name="dnum" w:colFirst="2" w:colLast="2"/>
            <w:r w:rsidRPr="00BC1225">
              <w:rPr>
                <w:noProof/>
                <w:sz w:val="20"/>
                <w:szCs w:val="20"/>
                <w:lang w:val="en-US"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BC1225" w:rsidRDefault="00E03557" w:rsidP="00E03557">
            <w:pPr>
              <w:rPr>
                <w:sz w:val="16"/>
                <w:szCs w:val="16"/>
                <w:lang w:val="en-US"/>
              </w:rPr>
            </w:pPr>
            <w:r w:rsidRPr="00BC1225">
              <w:rPr>
                <w:sz w:val="16"/>
                <w:szCs w:val="16"/>
                <w:lang w:val="en-US"/>
              </w:rPr>
              <w:t>INTERNATIONAL TELECOMMUNICATION UNION</w:t>
            </w:r>
          </w:p>
          <w:p w14:paraId="673124F3" w14:textId="77777777" w:rsidR="00E03557" w:rsidRPr="00BC1225" w:rsidRDefault="00E03557" w:rsidP="00E03557">
            <w:pPr>
              <w:rPr>
                <w:b/>
                <w:bCs/>
                <w:sz w:val="26"/>
                <w:szCs w:val="26"/>
                <w:lang w:val="en-US"/>
              </w:rPr>
            </w:pPr>
            <w:r w:rsidRPr="00BC1225">
              <w:rPr>
                <w:b/>
                <w:bCs/>
                <w:sz w:val="26"/>
                <w:szCs w:val="26"/>
                <w:lang w:val="en-US"/>
              </w:rPr>
              <w:t>TELECOMMUNICATION</w:t>
            </w:r>
            <w:r w:rsidRPr="00BC1225">
              <w:rPr>
                <w:b/>
                <w:bCs/>
                <w:sz w:val="26"/>
                <w:szCs w:val="26"/>
                <w:lang w:val="en-US"/>
              </w:rPr>
              <w:br/>
              <w:t>STANDARDIZATION SECTOR</w:t>
            </w:r>
          </w:p>
          <w:p w14:paraId="63635F75" w14:textId="77777777" w:rsidR="00E03557" w:rsidRPr="00BC1225" w:rsidRDefault="00E03557" w:rsidP="00E03557">
            <w:pPr>
              <w:rPr>
                <w:sz w:val="20"/>
                <w:szCs w:val="20"/>
                <w:lang w:val="en-US"/>
              </w:rPr>
            </w:pPr>
            <w:r w:rsidRPr="00BC1225">
              <w:rPr>
                <w:sz w:val="20"/>
                <w:szCs w:val="20"/>
                <w:lang w:val="en-US"/>
              </w:rPr>
              <w:t>STUDY PERIOD 2017-2020</w:t>
            </w:r>
          </w:p>
        </w:tc>
        <w:tc>
          <w:tcPr>
            <w:tcW w:w="4588" w:type="dxa"/>
            <w:gridSpan w:val="3"/>
          </w:tcPr>
          <w:p w14:paraId="7651FBE5" w14:textId="22655331" w:rsidR="00E03557" w:rsidRPr="00BC1225" w:rsidRDefault="00BC1D31" w:rsidP="002E6647">
            <w:pPr>
              <w:pStyle w:val="Docnumber"/>
              <w:rPr>
                <w:lang w:val="en-US"/>
              </w:rPr>
            </w:pPr>
            <w:r w:rsidRPr="00BC1225">
              <w:rPr>
                <w:lang w:val="en-US"/>
              </w:rPr>
              <w:t>FG-AI4H</w:t>
            </w:r>
            <w:r w:rsidR="00E03557" w:rsidRPr="00BC1225">
              <w:rPr>
                <w:lang w:val="en-US"/>
              </w:rPr>
              <w:t>-</w:t>
            </w:r>
            <w:r w:rsidR="00007288" w:rsidRPr="00BC1225">
              <w:rPr>
                <w:lang w:val="en-US"/>
              </w:rPr>
              <w:t>G</w:t>
            </w:r>
            <w:r w:rsidRPr="00BC1225">
              <w:rPr>
                <w:lang w:val="en-US"/>
              </w:rPr>
              <w:t>-</w:t>
            </w:r>
            <w:r w:rsidR="00571399">
              <w:rPr>
                <w:lang w:val="en-US"/>
              </w:rPr>
              <w:t>039</w:t>
            </w:r>
          </w:p>
        </w:tc>
      </w:tr>
      <w:bookmarkEnd w:id="2"/>
      <w:tr w:rsidR="00E03557" w:rsidRPr="00BC1225" w14:paraId="68F2E283" w14:textId="77777777" w:rsidTr="007A3AE7">
        <w:trPr>
          <w:cantSplit/>
          <w:jc w:val="center"/>
        </w:trPr>
        <w:tc>
          <w:tcPr>
            <w:tcW w:w="1133" w:type="dxa"/>
            <w:vMerge/>
          </w:tcPr>
          <w:p w14:paraId="2FE61822" w14:textId="77777777" w:rsidR="00E03557" w:rsidRPr="00BC1225" w:rsidRDefault="00E03557" w:rsidP="00E03557">
            <w:pPr>
              <w:rPr>
                <w:smallCaps/>
                <w:sz w:val="20"/>
                <w:lang w:val="en-US"/>
              </w:rPr>
            </w:pPr>
          </w:p>
        </w:tc>
        <w:tc>
          <w:tcPr>
            <w:tcW w:w="3829" w:type="dxa"/>
            <w:gridSpan w:val="2"/>
            <w:vMerge/>
          </w:tcPr>
          <w:p w14:paraId="2938A339" w14:textId="77777777" w:rsidR="00E03557" w:rsidRPr="00BC1225" w:rsidRDefault="00E03557" w:rsidP="00E03557">
            <w:pPr>
              <w:rPr>
                <w:smallCaps/>
                <w:sz w:val="20"/>
                <w:lang w:val="en-US"/>
              </w:rPr>
            </w:pPr>
            <w:bookmarkStart w:id="3" w:name="ddate" w:colFirst="2" w:colLast="2"/>
          </w:p>
        </w:tc>
        <w:tc>
          <w:tcPr>
            <w:tcW w:w="4588" w:type="dxa"/>
            <w:gridSpan w:val="3"/>
          </w:tcPr>
          <w:p w14:paraId="7CDA977F" w14:textId="77777777" w:rsidR="00E03557" w:rsidRPr="00BC1225" w:rsidRDefault="00BA5199" w:rsidP="002E6647">
            <w:pPr>
              <w:jc w:val="right"/>
              <w:rPr>
                <w:b/>
                <w:bCs/>
                <w:sz w:val="28"/>
                <w:szCs w:val="28"/>
                <w:lang w:val="en-US"/>
              </w:rPr>
            </w:pPr>
            <w:r w:rsidRPr="00BC1225">
              <w:rPr>
                <w:b/>
                <w:bCs/>
                <w:sz w:val="28"/>
                <w:szCs w:val="28"/>
                <w:lang w:val="en-US"/>
              </w:rPr>
              <w:t xml:space="preserve">ITU-T </w:t>
            </w:r>
            <w:r w:rsidR="00BC1D31" w:rsidRPr="00BC1225">
              <w:rPr>
                <w:b/>
                <w:bCs/>
                <w:sz w:val="28"/>
                <w:szCs w:val="28"/>
                <w:lang w:val="en-US"/>
              </w:rPr>
              <w:t>Focus Group on AI for Health</w:t>
            </w:r>
          </w:p>
        </w:tc>
      </w:tr>
      <w:tr w:rsidR="00E03557" w:rsidRPr="00BC1225" w14:paraId="7D8EA8AA" w14:textId="77777777" w:rsidTr="007A3AE7">
        <w:trPr>
          <w:cantSplit/>
          <w:jc w:val="center"/>
        </w:trPr>
        <w:tc>
          <w:tcPr>
            <w:tcW w:w="1133" w:type="dxa"/>
            <w:vMerge/>
            <w:tcBorders>
              <w:bottom w:val="single" w:sz="12" w:space="0" w:color="auto"/>
            </w:tcBorders>
          </w:tcPr>
          <w:p w14:paraId="48E8B3B3" w14:textId="77777777" w:rsidR="00E03557" w:rsidRPr="00BC1225" w:rsidRDefault="00E03557" w:rsidP="00E03557">
            <w:pPr>
              <w:rPr>
                <w:b/>
                <w:bCs/>
                <w:sz w:val="26"/>
                <w:lang w:val="en-US"/>
              </w:rPr>
            </w:pPr>
          </w:p>
        </w:tc>
        <w:tc>
          <w:tcPr>
            <w:tcW w:w="3829" w:type="dxa"/>
            <w:gridSpan w:val="2"/>
            <w:vMerge/>
            <w:tcBorders>
              <w:bottom w:val="single" w:sz="12" w:space="0" w:color="auto"/>
            </w:tcBorders>
          </w:tcPr>
          <w:p w14:paraId="2242BA63" w14:textId="77777777" w:rsidR="00E03557" w:rsidRPr="00BC1225" w:rsidRDefault="00E03557" w:rsidP="00E03557">
            <w:pPr>
              <w:rPr>
                <w:b/>
                <w:bCs/>
                <w:sz w:val="26"/>
                <w:lang w:val="en-US"/>
              </w:rPr>
            </w:pPr>
            <w:bookmarkStart w:id="4" w:name="dorlang" w:colFirst="2" w:colLast="2"/>
            <w:bookmarkEnd w:id="3"/>
          </w:p>
        </w:tc>
        <w:tc>
          <w:tcPr>
            <w:tcW w:w="4588" w:type="dxa"/>
            <w:gridSpan w:val="3"/>
            <w:tcBorders>
              <w:bottom w:val="single" w:sz="12" w:space="0" w:color="auto"/>
            </w:tcBorders>
          </w:tcPr>
          <w:p w14:paraId="74F53211" w14:textId="77777777" w:rsidR="00E03557" w:rsidRPr="00BC1225" w:rsidRDefault="00E03557" w:rsidP="002E6647">
            <w:pPr>
              <w:jc w:val="right"/>
              <w:rPr>
                <w:b/>
                <w:bCs/>
                <w:sz w:val="28"/>
                <w:szCs w:val="28"/>
                <w:lang w:val="en-US"/>
              </w:rPr>
            </w:pPr>
            <w:r w:rsidRPr="00BC1225">
              <w:rPr>
                <w:b/>
                <w:bCs/>
                <w:sz w:val="28"/>
                <w:szCs w:val="28"/>
                <w:lang w:val="en-US"/>
              </w:rPr>
              <w:t>Original: English</w:t>
            </w:r>
          </w:p>
        </w:tc>
      </w:tr>
      <w:tr w:rsidR="00BC1D31" w:rsidRPr="00BC1225" w14:paraId="5324B041" w14:textId="77777777" w:rsidTr="007A3AE7">
        <w:trPr>
          <w:cantSplit/>
          <w:jc w:val="center"/>
        </w:trPr>
        <w:tc>
          <w:tcPr>
            <w:tcW w:w="1700" w:type="dxa"/>
            <w:gridSpan w:val="2"/>
          </w:tcPr>
          <w:p w14:paraId="64E97093" w14:textId="77777777" w:rsidR="00BC1D31" w:rsidRPr="00BC1225" w:rsidRDefault="00BC1D31" w:rsidP="002E6647">
            <w:pPr>
              <w:rPr>
                <w:b/>
                <w:bCs/>
                <w:lang w:val="en-US"/>
              </w:rPr>
            </w:pPr>
            <w:bookmarkStart w:id="5" w:name="dbluepink" w:colFirst="1" w:colLast="1"/>
            <w:bookmarkStart w:id="6" w:name="dmeeting" w:colFirst="2" w:colLast="2"/>
            <w:bookmarkEnd w:id="4"/>
            <w:bookmarkEnd w:id="1"/>
            <w:r w:rsidRPr="00BC1225">
              <w:rPr>
                <w:b/>
                <w:bCs/>
                <w:lang w:val="en-US"/>
              </w:rPr>
              <w:t>WG(s):</w:t>
            </w:r>
          </w:p>
        </w:tc>
        <w:tc>
          <w:tcPr>
            <w:tcW w:w="3262" w:type="dxa"/>
            <w:shd w:val="clear" w:color="auto" w:fill="auto"/>
          </w:tcPr>
          <w:p w14:paraId="6A90AA1E" w14:textId="59F59772" w:rsidR="00BC1D31" w:rsidRPr="00516448" w:rsidRDefault="00571399" w:rsidP="002E6647">
            <w:pPr>
              <w:rPr>
                <w:lang w:val="en-US"/>
              </w:rPr>
            </w:pPr>
            <w:r>
              <w:rPr>
                <w:lang w:val="en-US"/>
              </w:rPr>
              <w:t>Plenary</w:t>
            </w:r>
          </w:p>
        </w:tc>
        <w:tc>
          <w:tcPr>
            <w:tcW w:w="4588" w:type="dxa"/>
            <w:gridSpan w:val="3"/>
          </w:tcPr>
          <w:p w14:paraId="4ADB1E42" w14:textId="67C459E4" w:rsidR="00BC1D31" w:rsidRPr="00BC1225" w:rsidRDefault="00007288" w:rsidP="00007288">
            <w:pPr>
              <w:jc w:val="right"/>
              <w:rPr>
                <w:lang w:val="en-US"/>
              </w:rPr>
            </w:pPr>
            <w:r w:rsidRPr="00BC1225">
              <w:rPr>
                <w:lang w:val="en-US"/>
              </w:rPr>
              <w:t>New Delhi</w:t>
            </w:r>
            <w:r w:rsidR="00B00A54" w:rsidRPr="00BC1225">
              <w:rPr>
                <w:lang w:val="en-US"/>
              </w:rPr>
              <w:t xml:space="preserve">, </w:t>
            </w:r>
            <w:r w:rsidR="00E44C0E" w:rsidRPr="00BC1225">
              <w:rPr>
                <w:lang w:val="en-US"/>
              </w:rPr>
              <w:t>13</w:t>
            </w:r>
            <w:r w:rsidRPr="00BC1225">
              <w:rPr>
                <w:lang w:val="en-US"/>
              </w:rPr>
              <w:t>-15 November</w:t>
            </w:r>
            <w:r w:rsidR="00BC1D31" w:rsidRPr="00BC1225">
              <w:rPr>
                <w:lang w:val="en-US"/>
              </w:rPr>
              <w:t xml:space="preserve"> </w:t>
            </w:r>
            <w:r w:rsidR="00401AE5" w:rsidRPr="00BC1225">
              <w:rPr>
                <w:lang w:val="en-US"/>
              </w:rPr>
              <w:t>2019</w:t>
            </w:r>
          </w:p>
        </w:tc>
      </w:tr>
      <w:tr w:rsidR="00E03557" w:rsidRPr="00BC1225" w14:paraId="7A2222D1" w14:textId="77777777" w:rsidTr="007A3AE7">
        <w:trPr>
          <w:cantSplit/>
          <w:jc w:val="center"/>
        </w:trPr>
        <w:tc>
          <w:tcPr>
            <w:tcW w:w="9550" w:type="dxa"/>
            <w:gridSpan w:val="6"/>
          </w:tcPr>
          <w:p w14:paraId="418A8521" w14:textId="77777777" w:rsidR="00E03557" w:rsidRPr="00BC1225" w:rsidRDefault="00BC1D31" w:rsidP="00E03557">
            <w:pPr>
              <w:jc w:val="center"/>
              <w:rPr>
                <w:b/>
                <w:bCs/>
                <w:lang w:val="en-US"/>
              </w:rPr>
            </w:pPr>
            <w:bookmarkStart w:id="7" w:name="dtitle" w:colFirst="0" w:colLast="0"/>
            <w:bookmarkEnd w:id="5"/>
            <w:bookmarkEnd w:id="6"/>
            <w:r w:rsidRPr="00BC1225">
              <w:rPr>
                <w:b/>
                <w:bCs/>
                <w:lang w:val="en-US"/>
              </w:rPr>
              <w:t>DOCUMENT</w:t>
            </w:r>
          </w:p>
        </w:tc>
      </w:tr>
      <w:tr w:rsidR="00BC1D31" w:rsidRPr="00BC1225" w14:paraId="19F83BB5" w14:textId="77777777" w:rsidTr="007A3AE7">
        <w:trPr>
          <w:cantSplit/>
          <w:jc w:val="center"/>
        </w:trPr>
        <w:tc>
          <w:tcPr>
            <w:tcW w:w="1700" w:type="dxa"/>
            <w:gridSpan w:val="2"/>
          </w:tcPr>
          <w:p w14:paraId="0A9EB858" w14:textId="77777777" w:rsidR="00BC1D31" w:rsidRPr="00BC1225" w:rsidRDefault="00BC1D31" w:rsidP="002E6647">
            <w:pPr>
              <w:rPr>
                <w:b/>
                <w:bCs/>
                <w:lang w:val="en-US"/>
              </w:rPr>
            </w:pPr>
            <w:bookmarkStart w:id="8" w:name="dsource" w:colFirst="1" w:colLast="1"/>
            <w:bookmarkEnd w:id="7"/>
            <w:r w:rsidRPr="00BC1225">
              <w:rPr>
                <w:b/>
                <w:bCs/>
                <w:lang w:val="en-US"/>
              </w:rPr>
              <w:t>Source:</w:t>
            </w:r>
          </w:p>
        </w:tc>
        <w:tc>
          <w:tcPr>
            <w:tcW w:w="7850" w:type="dxa"/>
            <w:gridSpan w:val="4"/>
          </w:tcPr>
          <w:p w14:paraId="0612CABC" w14:textId="5372EEB4" w:rsidR="00BC1D31" w:rsidRPr="00BC1225" w:rsidRDefault="00BD6468" w:rsidP="002E6647">
            <w:pPr>
              <w:rPr>
                <w:lang w:val="en-US"/>
              </w:rPr>
            </w:pPr>
            <w:r w:rsidRPr="00BC1225">
              <w:rPr>
                <w:lang w:val="en-US"/>
              </w:rPr>
              <w:t xml:space="preserve">Common Health </w:t>
            </w:r>
            <w:r w:rsidR="00571399">
              <w:rPr>
                <w:lang w:val="en-US"/>
              </w:rPr>
              <w:t>(</w:t>
            </w:r>
            <w:r w:rsidRPr="00BC1225">
              <w:rPr>
                <w:lang w:val="en-US"/>
              </w:rPr>
              <w:t>Malaysia</w:t>
            </w:r>
            <w:r w:rsidR="00571399">
              <w:rPr>
                <w:lang w:val="en-US"/>
              </w:rPr>
              <w:t>)</w:t>
            </w:r>
          </w:p>
        </w:tc>
      </w:tr>
      <w:tr w:rsidR="00BC1D31" w:rsidRPr="00BC1225" w14:paraId="3E75D40B" w14:textId="77777777" w:rsidTr="007A3AE7">
        <w:trPr>
          <w:cantSplit/>
          <w:jc w:val="center"/>
        </w:trPr>
        <w:tc>
          <w:tcPr>
            <w:tcW w:w="1700" w:type="dxa"/>
            <w:gridSpan w:val="2"/>
          </w:tcPr>
          <w:p w14:paraId="63174513" w14:textId="77777777" w:rsidR="00BC1D31" w:rsidRPr="00BC1225" w:rsidRDefault="00BC1D31" w:rsidP="002E6647">
            <w:pPr>
              <w:rPr>
                <w:lang w:val="en-US"/>
              </w:rPr>
            </w:pPr>
            <w:bookmarkStart w:id="9" w:name="dtitle1" w:colFirst="1" w:colLast="1"/>
            <w:bookmarkEnd w:id="8"/>
            <w:r w:rsidRPr="00BC1225">
              <w:rPr>
                <w:b/>
                <w:bCs/>
                <w:lang w:val="en-US"/>
              </w:rPr>
              <w:t>Title:</w:t>
            </w:r>
          </w:p>
        </w:tc>
        <w:tc>
          <w:tcPr>
            <w:tcW w:w="7850" w:type="dxa"/>
            <w:gridSpan w:val="4"/>
          </w:tcPr>
          <w:p w14:paraId="0EC1DE32" w14:textId="49A38D7E" w:rsidR="00BC1D31" w:rsidRPr="00BC1225" w:rsidRDefault="000331FB" w:rsidP="002E6647">
            <w:pPr>
              <w:rPr>
                <w:lang w:val="en-US"/>
              </w:rPr>
            </w:pPr>
            <w:r>
              <w:rPr>
                <w:lang w:val="en-US"/>
              </w:rPr>
              <w:t xml:space="preserve">New TG on </w:t>
            </w:r>
            <w:r w:rsidR="00BD6468" w:rsidRPr="00BC1225">
              <w:rPr>
                <w:lang w:val="en-US"/>
              </w:rPr>
              <w:t>Universal Health Coverage</w:t>
            </w:r>
          </w:p>
        </w:tc>
      </w:tr>
      <w:tr w:rsidR="00E03557" w:rsidRPr="00BC1225" w14:paraId="6CCF8811" w14:textId="77777777" w:rsidTr="007A3AE7">
        <w:trPr>
          <w:cantSplit/>
          <w:jc w:val="center"/>
        </w:trPr>
        <w:tc>
          <w:tcPr>
            <w:tcW w:w="1700" w:type="dxa"/>
            <w:gridSpan w:val="2"/>
            <w:tcBorders>
              <w:bottom w:val="single" w:sz="6" w:space="0" w:color="auto"/>
            </w:tcBorders>
          </w:tcPr>
          <w:p w14:paraId="49548675" w14:textId="77777777" w:rsidR="00E03557" w:rsidRPr="00BC1225" w:rsidRDefault="00E03557" w:rsidP="002E6647">
            <w:pPr>
              <w:rPr>
                <w:b/>
                <w:bCs/>
                <w:lang w:val="en-US"/>
              </w:rPr>
            </w:pPr>
            <w:bookmarkStart w:id="10" w:name="dpurpose" w:colFirst="1" w:colLast="1"/>
            <w:bookmarkEnd w:id="9"/>
            <w:r w:rsidRPr="00BC1225">
              <w:rPr>
                <w:b/>
                <w:bCs/>
                <w:lang w:val="en-US"/>
              </w:rPr>
              <w:t>Purpose:</w:t>
            </w:r>
          </w:p>
        </w:tc>
        <w:tc>
          <w:tcPr>
            <w:tcW w:w="7850" w:type="dxa"/>
            <w:gridSpan w:val="4"/>
            <w:tcBorders>
              <w:bottom w:val="single" w:sz="6" w:space="0" w:color="auto"/>
            </w:tcBorders>
          </w:tcPr>
          <w:p w14:paraId="4AB715E3" w14:textId="2A6C09DF" w:rsidR="00E03557" w:rsidRPr="00BC1225" w:rsidRDefault="00BD6468" w:rsidP="002E6647">
            <w:pPr>
              <w:rPr>
                <w:highlight w:val="yellow"/>
                <w:lang w:val="en-US"/>
              </w:rPr>
            </w:pPr>
            <w:r w:rsidRPr="00BC1225">
              <w:rPr>
                <w:lang w:val="en-US"/>
              </w:rPr>
              <w:t>Discussion</w:t>
            </w:r>
          </w:p>
        </w:tc>
      </w:tr>
      <w:bookmarkEnd w:id="0"/>
      <w:bookmarkEnd w:id="10"/>
      <w:tr w:rsidR="007A3AE7" w:rsidRPr="00BC1225" w14:paraId="487F5750" w14:textId="77777777" w:rsidTr="007A3AE7">
        <w:trPr>
          <w:gridAfter w:val="1"/>
          <w:wAfter w:w="23" w:type="dxa"/>
          <w:cantSplit/>
          <w:jc w:val="center"/>
        </w:trPr>
        <w:tc>
          <w:tcPr>
            <w:tcW w:w="1700" w:type="dxa"/>
            <w:gridSpan w:val="2"/>
            <w:tcBorders>
              <w:top w:val="single" w:sz="6" w:space="0" w:color="auto"/>
              <w:bottom w:val="single" w:sz="6" w:space="0" w:color="auto"/>
            </w:tcBorders>
          </w:tcPr>
          <w:p w14:paraId="70A3F5E0" w14:textId="77777777" w:rsidR="00BC1D31" w:rsidRPr="00BC1225" w:rsidRDefault="00BC1D31" w:rsidP="002E6647">
            <w:pPr>
              <w:rPr>
                <w:b/>
                <w:bCs/>
                <w:lang w:val="en-US"/>
              </w:rPr>
            </w:pPr>
            <w:r w:rsidRPr="00BC1225">
              <w:rPr>
                <w:b/>
                <w:bCs/>
                <w:lang w:val="en-US"/>
              </w:rPr>
              <w:t>Contact:</w:t>
            </w:r>
          </w:p>
        </w:tc>
        <w:tc>
          <w:tcPr>
            <w:tcW w:w="4240" w:type="dxa"/>
            <w:gridSpan w:val="2"/>
            <w:tcBorders>
              <w:top w:val="single" w:sz="6" w:space="0" w:color="auto"/>
              <w:bottom w:val="single" w:sz="6" w:space="0" w:color="auto"/>
            </w:tcBorders>
          </w:tcPr>
          <w:p w14:paraId="5D1C7C66" w14:textId="7A97DEB3" w:rsidR="00BC1D31" w:rsidRPr="00BC1225" w:rsidRDefault="00BD6468" w:rsidP="002E6647">
            <w:pPr>
              <w:rPr>
                <w:lang w:val="en-US"/>
              </w:rPr>
            </w:pPr>
            <w:r w:rsidRPr="00BC1225">
              <w:rPr>
                <w:lang w:val="en-US"/>
              </w:rPr>
              <w:t>Matthew Guilford</w:t>
            </w:r>
            <w:r w:rsidR="00BC1D31" w:rsidRPr="00BC1225">
              <w:rPr>
                <w:lang w:val="en-US"/>
              </w:rPr>
              <w:br/>
            </w:r>
            <w:r w:rsidRPr="00BC1225">
              <w:rPr>
                <w:lang w:val="en-US"/>
              </w:rPr>
              <w:t>Common Health</w:t>
            </w:r>
            <w:r w:rsidR="00BC1D31" w:rsidRPr="00BC1225">
              <w:rPr>
                <w:lang w:val="en-US"/>
              </w:rPr>
              <w:br/>
            </w:r>
            <w:r w:rsidRPr="00BC1225">
              <w:rPr>
                <w:lang w:val="en-US"/>
              </w:rPr>
              <w:t>Malaysia</w:t>
            </w:r>
          </w:p>
        </w:tc>
        <w:tc>
          <w:tcPr>
            <w:tcW w:w="3587" w:type="dxa"/>
            <w:tcBorders>
              <w:top w:val="single" w:sz="6" w:space="0" w:color="auto"/>
              <w:bottom w:val="single" w:sz="6" w:space="0" w:color="auto"/>
            </w:tcBorders>
          </w:tcPr>
          <w:p w14:paraId="28DD2FCB" w14:textId="0AC30F5F" w:rsidR="00BC1D31" w:rsidRPr="00BC1225" w:rsidRDefault="00BC1D31" w:rsidP="007A3AE7">
            <w:pPr>
              <w:ind w:left="14" w:hanging="14"/>
              <w:rPr>
                <w:lang w:val="en-US"/>
              </w:rPr>
            </w:pPr>
            <w:r w:rsidRPr="00BC1225">
              <w:rPr>
                <w:lang w:val="en-US"/>
              </w:rPr>
              <w:t xml:space="preserve">Tel: </w:t>
            </w:r>
            <w:r w:rsidRPr="00BC1225">
              <w:rPr>
                <w:lang w:val="en-US"/>
              </w:rPr>
              <w:tab/>
              <w:t>+</w:t>
            </w:r>
            <w:r w:rsidR="00BD6468" w:rsidRPr="00BC1225">
              <w:rPr>
                <w:lang w:val="en-US"/>
              </w:rPr>
              <w:t>12029009686</w:t>
            </w:r>
            <w:r w:rsidRPr="00BC1225">
              <w:rPr>
                <w:lang w:val="en-US"/>
              </w:rPr>
              <w:br/>
              <w:t xml:space="preserve">Fax: </w:t>
            </w:r>
            <w:r w:rsidRPr="00BC1225">
              <w:rPr>
                <w:lang w:val="en-US"/>
              </w:rPr>
              <w:tab/>
            </w:r>
            <w:r w:rsidR="007A3AE7" w:rsidRPr="00BC1225">
              <w:rPr>
                <w:lang w:val="en-US"/>
              </w:rPr>
              <w:t>N/A</w:t>
            </w:r>
            <w:r w:rsidRPr="00BC1225">
              <w:rPr>
                <w:lang w:val="en-US"/>
              </w:rPr>
              <w:br/>
              <w:t xml:space="preserve">Email: </w:t>
            </w:r>
            <w:r w:rsidRPr="00BC1225">
              <w:rPr>
                <w:lang w:val="en-US"/>
              </w:rPr>
              <w:tab/>
            </w:r>
            <w:hyperlink r:id="rId11" w:history="1">
              <w:r w:rsidR="00BD6468" w:rsidRPr="00BC1225">
                <w:rPr>
                  <w:rStyle w:val="Hyperlink"/>
                  <w:sz w:val="22"/>
                  <w:lang w:val="en-US"/>
                </w:rPr>
                <w:t>matt@onecommonhealth.com</w:t>
              </w:r>
            </w:hyperlink>
            <w:r w:rsidR="00BD6468" w:rsidRPr="00BC1225">
              <w:rPr>
                <w:sz w:val="22"/>
                <w:lang w:val="en-US"/>
              </w:rPr>
              <w:t xml:space="preserve"> </w:t>
            </w:r>
          </w:p>
        </w:tc>
      </w:tr>
    </w:tbl>
    <w:p w14:paraId="7D7B8E54" w14:textId="77777777" w:rsidR="00E03557" w:rsidRPr="00BC1225" w:rsidRDefault="00E03557" w:rsidP="00E03557">
      <w:pPr>
        <w:rPr>
          <w:lang w:val="en-US"/>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BC1225" w14:paraId="577E7F70" w14:textId="77777777" w:rsidTr="002E6647">
        <w:trPr>
          <w:cantSplit/>
          <w:jc w:val="center"/>
        </w:trPr>
        <w:tc>
          <w:tcPr>
            <w:tcW w:w="1701" w:type="dxa"/>
          </w:tcPr>
          <w:p w14:paraId="0810362A" w14:textId="77777777" w:rsidR="00E03557" w:rsidRPr="00BC1225" w:rsidRDefault="00E03557" w:rsidP="002E6647">
            <w:pPr>
              <w:rPr>
                <w:b/>
                <w:bCs/>
                <w:lang w:val="en-US"/>
              </w:rPr>
            </w:pPr>
            <w:r w:rsidRPr="00BC1225">
              <w:rPr>
                <w:b/>
                <w:bCs/>
                <w:lang w:val="en-US"/>
              </w:rPr>
              <w:t>Abstract:</w:t>
            </w:r>
          </w:p>
        </w:tc>
        <w:tc>
          <w:tcPr>
            <w:tcW w:w="7939" w:type="dxa"/>
          </w:tcPr>
          <w:p w14:paraId="70FA904B" w14:textId="7C87E0CE" w:rsidR="00E03557" w:rsidRPr="00516448" w:rsidRDefault="007A3AE7" w:rsidP="002E6647">
            <w:pPr>
              <w:rPr>
                <w:lang w:val="en-US"/>
              </w:rPr>
            </w:pPr>
            <w:r w:rsidRPr="00516448">
              <w:rPr>
                <w:lang w:val="en-US"/>
              </w:rPr>
              <w:t xml:space="preserve">This Document discusses the potential creation of a </w:t>
            </w:r>
            <w:r w:rsidR="009E62B0" w:rsidRPr="00516448">
              <w:rPr>
                <w:lang w:val="en-US"/>
              </w:rPr>
              <w:t>Topic</w:t>
            </w:r>
            <w:r w:rsidRPr="00516448">
              <w:rPr>
                <w:lang w:val="en-US"/>
              </w:rPr>
              <w:t xml:space="preserve"> Group on “AI for Universal Health Coverage.”</w:t>
            </w:r>
          </w:p>
        </w:tc>
      </w:tr>
    </w:tbl>
    <w:p w14:paraId="2AEBBEA2" w14:textId="559A7359" w:rsidR="00E03557" w:rsidRPr="00BC1225" w:rsidRDefault="00E03557" w:rsidP="00E03557">
      <w:pPr>
        <w:rPr>
          <w:lang w:val="en-US"/>
        </w:rPr>
      </w:pPr>
    </w:p>
    <w:p w14:paraId="24262FD3" w14:textId="1EAF4542" w:rsidR="007A3AE7" w:rsidRPr="00516448" w:rsidRDefault="007A3AE7" w:rsidP="007A3AE7">
      <w:pPr>
        <w:pStyle w:val="ListParagraph"/>
        <w:numPr>
          <w:ilvl w:val="0"/>
          <w:numId w:val="21"/>
        </w:numPr>
        <w:spacing w:before="0"/>
        <w:ind w:left="360"/>
        <w:rPr>
          <w:b/>
          <w:lang w:val="en-US"/>
        </w:rPr>
      </w:pPr>
      <w:r w:rsidRPr="00516448">
        <w:rPr>
          <w:b/>
          <w:lang w:val="en-US"/>
        </w:rPr>
        <w:t>Overview</w:t>
      </w:r>
    </w:p>
    <w:p w14:paraId="4500B9FC" w14:textId="064362A0" w:rsidR="007A3AE7" w:rsidRPr="00BC1225" w:rsidRDefault="007A3AE7" w:rsidP="007A3AE7">
      <w:pPr>
        <w:spacing w:before="0"/>
        <w:rPr>
          <w:lang w:val="en-US"/>
        </w:rPr>
      </w:pPr>
    </w:p>
    <w:p w14:paraId="622B37B7" w14:textId="00EFFFE3" w:rsidR="007A3AE7" w:rsidRPr="00BC1225" w:rsidRDefault="007A3AE7" w:rsidP="007A3AE7">
      <w:pPr>
        <w:spacing w:before="0"/>
        <w:rPr>
          <w:rFonts w:eastAsia="Times New Roman"/>
          <w:lang w:val="en-US" w:eastAsia="en-US"/>
        </w:rPr>
      </w:pPr>
      <w:r w:rsidRPr="00BC1225">
        <w:rPr>
          <w:lang w:val="en-US"/>
        </w:rPr>
        <w:t xml:space="preserve">On 23 September the world’s leaders gathered for the first High Level Meeting on Universal Health Coverage, </w:t>
      </w:r>
      <w:r w:rsidR="00F274E2" w:rsidRPr="00BC1225">
        <w:rPr>
          <w:lang w:val="en-US"/>
        </w:rPr>
        <w:t>recognizing that “</w:t>
      </w:r>
      <w:r w:rsidR="00F274E2" w:rsidRPr="00BC1225">
        <w:rPr>
          <w:rFonts w:eastAsia="Times New Roman"/>
          <w:lang w:val="en-US" w:eastAsia="en-US"/>
        </w:rPr>
        <w:t>universal health coverage is fundamental for achieving the Sustainable Development Goals related not only to health and well-being, but also to eradicate poverty in all its forms and dimensions,” and for advancing other priorities ranging from education to women’s empowerment.  The Political Declaration called for two immediate actions:</w:t>
      </w:r>
    </w:p>
    <w:p w14:paraId="123847C1" w14:textId="3543683A" w:rsidR="00F274E2" w:rsidRPr="00BC1225" w:rsidRDefault="00F274E2" w:rsidP="009E62B0">
      <w:pPr>
        <w:pStyle w:val="ListParagraph"/>
        <w:numPr>
          <w:ilvl w:val="0"/>
          <w:numId w:val="22"/>
        </w:numPr>
        <w:contextualSpacing w:val="0"/>
        <w:rPr>
          <w:rFonts w:eastAsia="Times New Roman"/>
          <w:lang w:val="en-US" w:eastAsia="en-US"/>
        </w:rPr>
      </w:pPr>
      <w:r w:rsidRPr="00BC1225">
        <w:rPr>
          <w:rFonts w:eastAsia="Times New Roman"/>
          <w:lang w:val="en-US" w:eastAsia="en-US"/>
        </w:rPr>
        <w:t>Covering an additional one billion people with essential health services and products by 2023, and closing the remaining gap completely by 2030, and</w:t>
      </w:r>
    </w:p>
    <w:p w14:paraId="760239A8" w14:textId="343825BA" w:rsidR="00F274E2" w:rsidRPr="00BC1225" w:rsidRDefault="00F274E2" w:rsidP="009E62B0">
      <w:pPr>
        <w:pStyle w:val="ListParagraph"/>
        <w:numPr>
          <w:ilvl w:val="0"/>
          <w:numId w:val="22"/>
        </w:numPr>
        <w:contextualSpacing w:val="0"/>
        <w:rPr>
          <w:rFonts w:eastAsia="Times New Roman"/>
          <w:lang w:val="en-US" w:eastAsia="en-US"/>
        </w:rPr>
      </w:pPr>
      <w:r w:rsidRPr="00BC1225">
        <w:rPr>
          <w:rFonts w:eastAsia="Times New Roman"/>
          <w:lang w:val="en-US" w:eastAsia="en-US"/>
        </w:rPr>
        <w:t xml:space="preserve">Reversing the trend of “catastrophic out of pocket health expenditure” by assuring financial risk protection and eliminating impoverishment due to health costs. </w:t>
      </w:r>
    </w:p>
    <w:p w14:paraId="690C2D7B" w14:textId="03739C29" w:rsidR="00F274E2" w:rsidRPr="00BC1225" w:rsidRDefault="00F274E2" w:rsidP="00F274E2">
      <w:pPr>
        <w:spacing w:before="0"/>
        <w:rPr>
          <w:rFonts w:eastAsia="Times New Roman"/>
          <w:lang w:val="en-US" w:eastAsia="en-US"/>
        </w:rPr>
      </w:pPr>
    </w:p>
    <w:p w14:paraId="053A75B0" w14:textId="28C7EE5F" w:rsidR="00F274E2" w:rsidRPr="00BC1225" w:rsidRDefault="009E62B0" w:rsidP="00F274E2">
      <w:pPr>
        <w:spacing w:before="0"/>
        <w:rPr>
          <w:rFonts w:eastAsia="Times New Roman"/>
          <w:lang w:val="en-US" w:eastAsia="en-US"/>
        </w:rPr>
      </w:pPr>
      <w:r w:rsidRPr="00BC1225">
        <w:rPr>
          <w:rFonts w:eastAsia="Times New Roman"/>
          <w:lang w:val="en-US" w:eastAsia="en-US"/>
        </w:rPr>
        <w:t xml:space="preserve">Innovations enabled by ITU/WHO Focus Group on Artificial Intelligence for Health’s other Topic Groups </w:t>
      </w:r>
      <w:r w:rsidR="000731D7" w:rsidRPr="00BC1225">
        <w:rPr>
          <w:rFonts w:eastAsia="Times New Roman"/>
          <w:lang w:val="en-US" w:eastAsia="en-US"/>
        </w:rPr>
        <w:t>will play an important role in making health services more accessible and in reducing cost at the system level.  At the same time, the Focus Group has an opportunity to play a leading role in outlining how advances artificial intelligence can be applied directly to the systems that finance health and healthcare services, such as national health insurance agencies, national health systems, private sector health insurance providers</w:t>
      </w:r>
      <w:r w:rsidR="00086040" w:rsidRPr="00BC1225">
        <w:rPr>
          <w:rFonts w:eastAsia="Times New Roman"/>
          <w:lang w:val="en-US" w:eastAsia="en-US"/>
        </w:rPr>
        <w:t xml:space="preserve">, and other payors for health.  AI use cases, data sets, tools and methodologies developed and/or supported by the Focus Group can help to expand the “universality” of financial protection for health </w:t>
      </w:r>
      <w:r w:rsidR="00180620" w:rsidRPr="00BC1225">
        <w:rPr>
          <w:rFonts w:eastAsia="Times New Roman"/>
          <w:lang w:val="en-US" w:eastAsia="en-US"/>
        </w:rPr>
        <w:t xml:space="preserve">and ensure that UHC initiatives are economically sustainable into 2030 and beyond. </w:t>
      </w:r>
    </w:p>
    <w:p w14:paraId="62865F32" w14:textId="77777777" w:rsidR="007A3AE7" w:rsidRPr="00BC1225" w:rsidRDefault="007A3AE7" w:rsidP="007A3AE7">
      <w:pPr>
        <w:spacing w:before="0"/>
        <w:rPr>
          <w:lang w:val="en-US"/>
        </w:rPr>
      </w:pPr>
    </w:p>
    <w:p w14:paraId="6020E31A" w14:textId="7E0867E1" w:rsidR="007A3AE7" w:rsidRPr="00516448" w:rsidRDefault="007A3AE7" w:rsidP="007A3AE7">
      <w:pPr>
        <w:pStyle w:val="ListParagraph"/>
        <w:numPr>
          <w:ilvl w:val="0"/>
          <w:numId w:val="21"/>
        </w:numPr>
        <w:spacing w:before="0"/>
        <w:ind w:left="360"/>
        <w:rPr>
          <w:b/>
          <w:lang w:val="en-US"/>
        </w:rPr>
      </w:pPr>
      <w:r w:rsidRPr="00516448">
        <w:rPr>
          <w:b/>
          <w:lang w:val="en-US"/>
        </w:rPr>
        <w:t>Relevance</w:t>
      </w:r>
    </w:p>
    <w:p w14:paraId="238627E3" w14:textId="7593D1EF" w:rsidR="007A3AE7" w:rsidRDefault="007A3AE7" w:rsidP="006818B9">
      <w:pPr>
        <w:spacing w:before="0"/>
        <w:rPr>
          <w:lang w:val="en-US"/>
        </w:rPr>
      </w:pPr>
    </w:p>
    <w:p w14:paraId="42E9AF44" w14:textId="583B31CA" w:rsidR="00670582" w:rsidRDefault="00670582" w:rsidP="006818B9">
      <w:pPr>
        <w:spacing w:before="0"/>
        <w:rPr>
          <w:lang w:val="en-US"/>
        </w:rPr>
      </w:pPr>
      <w:r>
        <w:rPr>
          <w:lang w:val="en-US"/>
        </w:rPr>
        <w:t xml:space="preserve">Addressed in previous section. </w:t>
      </w:r>
    </w:p>
    <w:p w14:paraId="34CA5835" w14:textId="77777777" w:rsidR="00670582" w:rsidRPr="00BC1225" w:rsidRDefault="00670582" w:rsidP="006818B9">
      <w:pPr>
        <w:spacing w:before="0"/>
        <w:rPr>
          <w:lang w:val="en-US"/>
        </w:rPr>
      </w:pPr>
    </w:p>
    <w:p w14:paraId="3A320F21" w14:textId="35FA45E2" w:rsidR="007A3AE7" w:rsidRPr="00516448" w:rsidRDefault="007A3AE7" w:rsidP="007A3AE7">
      <w:pPr>
        <w:pStyle w:val="ListParagraph"/>
        <w:numPr>
          <w:ilvl w:val="0"/>
          <w:numId w:val="21"/>
        </w:numPr>
        <w:spacing w:before="0"/>
        <w:ind w:left="360"/>
        <w:rPr>
          <w:b/>
          <w:lang w:val="en-US"/>
        </w:rPr>
      </w:pPr>
      <w:r w:rsidRPr="00516448">
        <w:rPr>
          <w:b/>
          <w:lang w:val="en-US"/>
        </w:rPr>
        <w:t>Impact</w:t>
      </w:r>
    </w:p>
    <w:p w14:paraId="000B307C" w14:textId="5F003B93" w:rsidR="006818B9" w:rsidRPr="00BC1225" w:rsidRDefault="006818B9" w:rsidP="006818B9">
      <w:pPr>
        <w:spacing w:before="0"/>
        <w:rPr>
          <w:lang w:val="en-US"/>
        </w:rPr>
      </w:pPr>
    </w:p>
    <w:p w14:paraId="26FA5FE7" w14:textId="12B28483" w:rsidR="006818B9" w:rsidRPr="00BC1225" w:rsidRDefault="006818B9" w:rsidP="006818B9">
      <w:pPr>
        <w:spacing w:before="0"/>
        <w:rPr>
          <w:lang w:val="en-US"/>
        </w:rPr>
      </w:pPr>
      <w:r w:rsidRPr="00BC1225">
        <w:rPr>
          <w:lang w:val="en-US"/>
        </w:rPr>
        <w:t xml:space="preserve">AI can directly provide an improvement relative to the existing practice of health financing.  Globally, health insurance – whether underwritten by governments or the private sector – has been </w:t>
      </w:r>
      <w:r w:rsidRPr="00BC1225">
        <w:rPr>
          <w:lang w:val="en-US"/>
        </w:rPr>
        <w:lastRenderedPageBreak/>
        <w:t xml:space="preserve">one of the slowest fields to embrace digital technologies.  </w:t>
      </w:r>
      <w:r w:rsidR="00BC1225" w:rsidRPr="00BC1225">
        <w:rPr>
          <w:lang w:val="en-US"/>
        </w:rPr>
        <w:t xml:space="preserve">Even in contexts where digital tools have transformed other aspects of healthcare, the process of paying for medical services is frequently paper-based, manual, and slow, consuming resources that could otherwise be used to fund health services.  In other environments, particularly LMICs, the inefficiency and high relative costs of health payment systems means that financial protection for health is simply too expensive for those who need it most. </w:t>
      </w:r>
    </w:p>
    <w:p w14:paraId="65925C3F" w14:textId="6C7124D7" w:rsidR="00BC1225" w:rsidRPr="00BC1225" w:rsidRDefault="00BC1225" w:rsidP="006818B9">
      <w:pPr>
        <w:spacing w:before="0"/>
        <w:rPr>
          <w:lang w:val="en-US"/>
        </w:rPr>
      </w:pPr>
    </w:p>
    <w:p w14:paraId="49F4472E" w14:textId="7EB8808A" w:rsidR="006818B9" w:rsidRPr="00BC1225" w:rsidRDefault="00BC1225" w:rsidP="006818B9">
      <w:pPr>
        <w:spacing w:before="0"/>
        <w:rPr>
          <w:lang w:val="en-US"/>
        </w:rPr>
      </w:pPr>
      <w:r w:rsidRPr="00BC1225">
        <w:rPr>
          <w:lang w:val="en-US"/>
        </w:rPr>
        <w:t>A growing base of evidence suggests AI has the potential to address these challenges by contributing across five dimensions of health financing:</w:t>
      </w:r>
    </w:p>
    <w:p w14:paraId="7E55B977" w14:textId="1A6A7902" w:rsidR="005722C4" w:rsidRPr="00BC1225" w:rsidRDefault="005722C4" w:rsidP="00BC1225">
      <w:pPr>
        <w:pStyle w:val="ListParagraph"/>
        <w:numPr>
          <w:ilvl w:val="0"/>
          <w:numId w:val="23"/>
        </w:numPr>
        <w:contextualSpacing w:val="0"/>
        <w:rPr>
          <w:lang w:val="en-US"/>
        </w:rPr>
      </w:pPr>
      <w:r w:rsidRPr="00670582">
        <w:rPr>
          <w:u w:val="single"/>
          <w:lang w:val="en-US"/>
        </w:rPr>
        <w:t>Benefits package design and underwriting</w:t>
      </w:r>
      <w:r w:rsidR="00BC1225" w:rsidRPr="00BC1225">
        <w:rPr>
          <w:lang w:val="en-US"/>
        </w:rPr>
        <w:t>:  Leveraging AI to design and price the risk associated with new, more responsible health insurance benefits packages, including services that are tailored to specific segments or even to individuals</w:t>
      </w:r>
      <w:r w:rsidR="00670582">
        <w:rPr>
          <w:lang w:val="en-US"/>
        </w:rPr>
        <w:t xml:space="preserve">, </w:t>
      </w:r>
    </w:p>
    <w:p w14:paraId="1AD5115D" w14:textId="1047D58B" w:rsidR="005722C4" w:rsidRPr="00BC1225" w:rsidRDefault="005722C4" w:rsidP="00BC1225">
      <w:pPr>
        <w:pStyle w:val="ListParagraph"/>
        <w:numPr>
          <w:ilvl w:val="0"/>
          <w:numId w:val="23"/>
        </w:numPr>
        <w:contextualSpacing w:val="0"/>
        <w:rPr>
          <w:lang w:val="en-US"/>
        </w:rPr>
      </w:pPr>
      <w:r w:rsidRPr="00670582">
        <w:rPr>
          <w:u w:val="single"/>
          <w:lang w:val="en-US"/>
        </w:rPr>
        <w:t>Beneficiary enrolment and premium collection</w:t>
      </w:r>
      <w:r w:rsidR="00BC1225" w:rsidRPr="00BC1225">
        <w:rPr>
          <w:lang w:val="en-US"/>
        </w:rPr>
        <w:t>:  Using AI to improve the ability of health insurance agencies to enroll</w:t>
      </w:r>
      <w:r w:rsidR="00670582">
        <w:rPr>
          <w:lang w:val="en-US"/>
        </w:rPr>
        <w:t xml:space="preserve"> and collect funds from participants (a particular challenge for informal workers), </w:t>
      </w:r>
    </w:p>
    <w:p w14:paraId="3D070CB6" w14:textId="4F8B7FFE" w:rsidR="005722C4" w:rsidRPr="00BC1225" w:rsidRDefault="005722C4" w:rsidP="00BC1225">
      <w:pPr>
        <w:pStyle w:val="ListParagraph"/>
        <w:numPr>
          <w:ilvl w:val="0"/>
          <w:numId w:val="23"/>
        </w:numPr>
        <w:contextualSpacing w:val="0"/>
        <w:rPr>
          <w:lang w:val="en-US"/>
        </w:rPr>
      </w:pPr>
      <w:r w:rsidRPr="00670582">
        <w:rPr>
          <w:u w:val="single"/>
          <w:lang w:val="en-US"/>
        </w:rPr>
        <w:t xml:space="preserve">Claims processing, </w:t>
      </w:r>
      <w:r w:rsidR="00180620" w:rsidRPr="00670582">
        <w:rPr>
          <w:u w:val="single"/>
          <w:lang w:val="en-US"/>
        </w:rPr>
        <w:t>payment</w:t>
      </w:r>
      <w:r w:rsidRPr="00670582">
        <w:rPr>
          <w:u w:val="single"/>
          <w:lang w:val="en-US"/>
        </w:rPr>
        <w:t>, and reporting</w:t>
      </w:r>
      <w:r w:rsidR="00670582">
        <w:rPr>
          <w:lang w:val="en-US"/>
        </w:rPr>
        <w:t>:  Deploying AI-based models for core health insurance claims administration activities, increasing the speed of claims payment and reducing costs due to manual, paper-based activities,</w:t>
      </w:r>
    </w:p>
    <w:p w14:paraId="76476D07" w14:textId="11816C64" w:rsidR="005722C4" w:rsidRPr="00BC1225" w:rsidRDefault="005722C4" w:rsidP="00BC1225">
      <w:pPr>
        <w:pStyle w:val="ListParagraph"/>
        <w:numPr>
          <w:ilvl w:val="0"/>
          <w:numId w:val="23"/>
        </w:numPr>
        <w:contextualSpacing w:val="0"/>
        <w:rPr>
          <w:lang w:val="en-US"/>
        </w:rPr>
      </w:pPr>
      <w:r w:rsidRPr="00670582">
        <w:rPr>
          <w:u w:val="single"/>
          <w:lang w:val="en-US"/>
        </w:rPr>
        <w:t>Fraud mitigation and quality assurance</w:t>
      </w:r>
      <w:r w:rsidR="00670582">
        <w:rPr>
          <w:lang w:val="en-US"/>
        </w:rPr>
        <w:t xml:space="preserve">:  Reducing fraud, waste, and abuse in health insurance systems by using AI to flag high-risk claims and to identify broader patterns that may signify improper activity, and </w:t>
      </w:r>
    </w:p>
    <w:p w14:paraId="3698AC36" w14:textId="1DCC231E" w:rsidR="00180620" w:rsidRPr="00670582" w:rsidRDefault="00180620" w:rsidP="00670582">
      <w:pPr>
        <w:pStyle w:val="ListParagraph"/>
        <w:numPr>
          <w:ilvl w:val="0"/>
          <w:numId w:val="23"/>
        </w:numPr>
        <w:contextualSpacing w:val="0"/>
        <w:rPr>
          <w:lang w:val="en-US"/>
        </w:rPr>
      </w:pPr>
      <w:r w:rsidRPr="00670582">
        <w:rPr>
          <w:u w:val="single"/>
          <w:lang w:val="en-US"/>
        </w:rPr>
        <w:t>Service linkages and continuity of care</w:t>
      </w:r>
      <w:r w:rsidR="00670582">
        <w:rPr>
          <w:lang w:val="en-US"/>
        </w:rPr>
        <w:t xml:space="preserve">:  Combining AI technologies with health insurance claims data to proactively link beneficiaries back to relevant health and other social services (e.g. driving secondary prevention and addressing social determinants of health). </w:t>
      </w:r>
      <w:r w:rsidRPr="00BC1225">
        <w:rPr>
          <w:lang w:val="en-US"/>
        </w:rPr>
        <w:br/>
      </w:r>
    </w:p>
    <w:p w14:paraId="0F364D30" w14:textId="222FDCA1" w:rsidR="00180620" w:rsidRPr="00BC1225" w:rsidRDefault="00812D94" w:rsidP="00180620">
      <w:pPr>
        <w:spacing w:before="0"/>
        <w:rPr>
          <w:lang w:val="en-US"/>
        </w:rPr>
      </w:pPr>
      <w:r>
        <w:rPr>
          <w:lang w:val="en-US"/>
        </w:rPr>
        <w:t xml:space="preserve">In addition to these direct contributions, AI also has the potential to enable improvements to the performance of health financing systems through indirect impact, including on: </w:t>
      </w:r>
    </w:p>
    <w:p w14:paraId="7020AEAF" w14:textId="0AB627E7" w:rsidR="00180620" w:rsidRPr="00BC1225" w:rsidRDefault="00180620" w:rsidP="00516448">
      <w:pPr>
        <w:pStyle w:val="ListParagraph"/>
        <w:numPr>
          <w:ilvl w:val="0"/>
          <w:numId w:val="24"/>
        </w:numPr>
        <w:contextualSpacing w:val="0"/>
        <w:rPr>
          <w:lang w:val="en-US"/>
        </w:rPr>
      </w:pPr>
      <w:r w:rsidRPr="00516448">
        <w:rPr>
          <w:u w:val="single"/>
          <w:lang w:val="en-US"/>
        </w:rPr>
        <w:t>New financing and reimbursement models</w:t>
      </w:r>
      <w:r w:rsidR="00812D94">
        <w:rPr>
          <w:lang w:val="en-US"/>
        </w:rPr>
        <w:t xml:space="preserve">:  </w:t>
      </w:r>
      <w:r w:rsidR="00516448">
        <w:rPr>
          <w:lang w:val="en-US"/>
        </w:rPr>
        <w:t xml:space="preserve">Providing data-driven recommendations on the design and improvement of non-fee-for-service payment models such as value-based care and capitation. </w:t>
      </w:r>
    </w:p>
    <w:p w14:paraId="613E3512" w14:textId="64956188" w:rsidR="00180620" w:rsidRPr="00BC1225" w:rsidRDefault="00180620" w:rsidP="00516448">
      <w:pPr>
        <w:pStyle w:val="ListParagraph"/>
        <w:numPr>
          <w:ilvl w:val="0"/>
          <w:numId w:val="24"/>
        </w:numPr>
        <w:contextualSpacing w:val="0"/>
        <w:rPr>
          <w:lang w:val="en-US"/>
        </w:rPr>
      </w:pPr>
      <w:r w:rsidRPr="00A57AFC">
        <w:rPr>
          <w:u w:val="single"/>
          <w:lang w:val="en-US"/>
        </w:rPr>
        <w:t>Cost effective interventions</w:t>
      </w:r>
      <w:r w:rsidR="00A57AFC">
        <w:rPr>
          <w:lang w:val="en-US"/>
        </w:rPr>
        <w:t xml:space="preserve">:  Analyzing and recommending inventions based on cost effectiveness relative to health impact. </w:t>
      </w:r>
    </w:p>
    <w:p w14:paraId="3133BF4A" w14:textId="77777777" w:rsidR="00180620" w:rsidRPr="00BC1225" w:rsidRDefault="00180620" w:rsidP="00A57AFC">
      <w:pPr>
        <w:spacing w:before="0"/>
        <w:rPr>
          <w:lang w:val="en-US"/>
        </w:rPr>
      </w:pPr>
    </w:p>
    <w:p w14:paraId="275C94BA" w14:textId="33EF0FEB" w:rsidR="007A3AE7" w:rsidRPr="00A82511" w:rsidRDefault="007A3AE7" w:rsidP="00A57AFC">
      <w:pPr>
        <w:pStyle w:val="ListParagraph"/>
        <w:numPr>
          <w:ilvl w:val="0"/>
          <w:numId w:val="21"/>
        </w:numPr>
        <w:spacing w:before="0"/>
        <w:ind w:left="360"/>
        <w:contextualSpacing w:val="0"/>
        <w:rPr>
          <w:b/>
          <w:lang w:val="en-US"/>
        </w:rPr>
      </w:pPr>
      <w:r w:rsidRPr="00A82511">
        <w:rPr>
          <w:b/>
          <w:lang w:val="en-US"/>
        </w:rPr>
        <w:t>Existing work</w:t>
      </w:r>
    </w:p>
    <w:p w14:paraId="75426F01" w14:textId="47E920FD" w:rsidR="00A82511" w:rsidRDefault="00A82511" w:rsidP="00A82511">
      <w:pPr>
        <w:spacing w:before="0"/>
        <w:rPr>
          <w:lang w:val="en-US"/>
        </w:rPr>
      </w:pPr>
    </w:p>
    <w:p w14:paraId="55A375E1" w14:textId="7F54A8A0" w:rsidR="00A82511" w:rsidRPr="00A82511" w:rsidRDefault="00A82511" w:rsidP="00A82511">
      <w:pPr>
        <w:spacing w:before="0"/>
        <w:rPr>
          <w:lang w:val="en-US"/>
        </w:rPr>
      </w:pPr>
      <w:r>
        <w:rPr>
          <w:lang w:val="en-US"/>
        </w:rPr>
        <w:t xml:space="preserve">While this project is new, it will leverage a range of small-scale research projects already in place across public and private health insurance programs.  </w:t>
      </w:r>
    </w:p>
    <w:p w14:paraId="4B918A46" w14:textId="77777777" w:rsidR="00A57AFC" w:rsidRPr="00A57AFC" w:rsidRDefault="00A57AFC" w:rsidP="00A57AFC">
      <w:pPr>
        <w:spacing w:before="0"/>
        <w:rPr>
          <w:lang w:val="en-US"/>
        </w:rPr>
      </w:pPr>
    </w:p>
    <w:p w14:paraId="13D04D9C" w14:textId="1F11003C" w:rsidR="007A3AE7" w:rsidRPr="00A57AFC" w:rsidRDefault="007A3AE7" w:rsidP="00A57AFC">
      <w:pPr>
        <w:pStyle w:val="ListParagraph"/>
        <w:numPr>
          <w:ilvl w:val="0"/>
          <w:numId w:val="21"/>
        </w:numPr>
        <w:spacing w:before="0"/>
        <w:ind w:left="360"/>
        <w:contextualSpacing w:val="0"/>
        <w:rPr>
          <w:b/>
          <w:lang w:val="en-US"/>
        </w:rPr>
      </w:pPr>
      <w:r w:rsidRPr="00A57AFC">
        <w:rPr>
          <w:b/>
          <w:lang w:val="en-US"/>
        </w:rPr>
        <w:t>Feasibility</w:t>
      </w:r>
    </w:p>
    <w:p w14:paraId="0FB84394" w14:textId="212E87F0" w:rsidR="00A57AFC" w:rsidRDefault="00A57AFC" w:rsidP="00A57AFC">
      <w:pPr>
        <w:spacing w:before="0"/>
        <w:rPr>
          <w:lang w:val="en-US"/>
        </w:rPr>
      </w:pPr>
    </w:p>
    <w:p w14:paraId="1121B824" w14:textId="71CA80A6" w:rsidR="00A57AFC" w:rsidRPr="00A57AFC" w:rsidRDefault="00A57AFC" w:rsidP="00A57AFC">
      <w:pPr>
        <w:spacing w:before="0"/>
        <w:rPr>
          <w:lang w:val="en-US"/>
        </w:rPr>
      </w:pPr>
      <w:r>
        <w:rPr>
          <w:lang w:val="en-US"/>
        </w:rPr>
        <w:t xml:space="preserve">Based on the current state of the art, this project is feasible.  </w:t>
      </w:r>
      <w:r w:rsidR="00C063F5">
        <w:rPr>
          <w:lang w:val="en-US"/>
        </w:rPr>
        <w:t>First, the</w:t>
      </w:r>
      <w:r>
        <w:rPr>
          <w:lang w:val="en-US"/>
        </w:rPr>
        <w:t xml:space="preserve"> project will </w:t>
      </w:r>
      <w:r w:rsidR="00C063F5">
        <w:rPr>
          <w:lang w:val="en-US"/>
        </w:rPr>
        <w:t>develop a set of “archetype” use cases representing different health systems and health financing models.  It will subsequently identify potential partners to build out real-world best practice demonstration projects.  The meth</w:t>
      </w:r>
      <w:r w:rsidR="00A82511">
        <w:rPr>
          <w:lang w:val="en-US"/>
        </w:rPr>
        <w:t>o</w:t>
      </w:r>
      <w:r w:rsidR="00C063F5">
        <w:rPr>
          <w:lang w:val="en-US"/>
        </w:rPr>
        <w:t xml:space="preserve">dology and results of these demonstration projects will then be shared out as open source “playbooks” for use by practitioners around the world. </w:t>
      </w:r>
    </w:p>
    <w:p w14:paraId="6A42B099" w14:textId="77777777" w:rsidR="00A57AFC" w:rsidRPr="00A57AFC" w:rsidRDefault="00A57AFC" w:rsidP="00A57AFC">
      <w:pPr>
        <w:spacing w:before="0"/>
        <w:rPr>
          <w:lang w:val="en-US"/>
        </w:rPr>
      </w:pPr>
    </w:p>
    <w:p w14:paraId="485274A6" w14:textId="6361369D" w:rsidR="007A3AE7" w:rsidRPr="00516448" w:rsidRDefault="007A3AE7" w:rsidP="007A3AE7">
      <w:pPr>
        <w:pStyle w:val="ListParagraph"/>
        <w:numPr>
          <w:ilvl w:val="0"/>
          <w:numId w:val="21"/>
        </w:numPr>
        <w:spacing w:before="0"/>
        <w:ind w:left="360"/>
        <w:rPr>
          <w:b/>
          <w:lang w:val="en-US"/>
        </w:rPr>
      </w:pPr>
      <w:r w:rsidRPr="00516448">
        <w:rPr>
          <w:b/>
          <w:lang w:val="en-US"/>
        </w:rPr>
        <w:t>Data availability</w:t>
      </w:r>
    </w:p>
    <w:p w14:paraId="777E5A7D" w14:textId="77777777" w:rsidR="007A3AE7" w:rsidRPr="00BC1225" w:rsidRDefault="007A3AE7" w:rsidP="007A3AE7">
      <w:pPr>
        <w:pStyle w:val="ListParagraph"/>
        <w:rPr>
          <w:lang w:val="en-US"/>
        </w:rPr>
      </w:pPr>
    </w:p>
    <w:p w14:paraId="23791248" w14:textId="1F98E6C8" w:rsidR="007A3AE7" w:rsidRDefault="007A3AE7" w:rsidP="007A3AE7">
      <w:pPr>
        <w:spacing w:before="0"/>
        <w:rPr>
          <w:lang w:val="en-US"/>
        </w:rPr>
      </w:pPr>
      <w:r w:rsidRPr="00BC1225">
        <w:rPr>
          <w:lang w:val="en-US"/>
        </w:rPr>
        <w:lastRenderedPageBreak/>
        <w:t xml:space="preserve">National health insurance agencies, ministries of health, </w:t>
      </w:r>
      <w:r w:rsidR="00516448">
        <w:rPr>
          <w:lang w:val="en-US"/>
        </w:rPr>
        <w:t xml:space="preserve">and private sector entities working with health financing have a range of data sets that could be made available to the Topic Group.  Additionally, Common Health will commit to sharing certain aggregated, deidentified data to support the work of the Topic Group and will encourage other stakeholders to do the same. </w:t>
      </w:r>
    </w:p>
    <w:p w14:paraId="47DA48AB" w14:textId="3E846153" w:rsidR="00A57AFC" w:rsidRDefault="00A57AFC" w:rsidP="007A3AE7">
      <w:pPr>
        <w:spacing w:before="0"/>
        <w:rPr>
          <w:lang w:val="en-US"/>
        </w:rPr>
      </w:pPr>
    </w:p>
    <w:p w14:paraId="77967348" w14:textId="17565A16" w:rsidR="00A57AFC" w:rsidRPr="00BC1225" w:rsidRDefault="00A57AFC" w:rsidP="007A3AE7">
      <w:pPr>
        <w:spacing w:before="0"/>
        <w:rPr>
          <w:lang w:val="en-US"/>
        </w:rPr>
      </w:pPr>
      <w:r>
        <w:rPr>
          <w:lang w:val="en-US"/>
        </w:rPr>
        <w:t xml:space="preserve">One of the Topic Group’s first activities will be to map potential data sources representing a range of geographic contexts and health financing models. </w:t>
      </w:r>
    </w:p>
    <w:p w14:paraId="64111B86" w14:textId="77777777" w:rsidR="007A3AE7" w:rsidRPr="00BC1225" w:rsidRDefault="007A3AE7" w:rsidP="00516448">
      <w:pPr>
        <w:pStyle w:val="ListParagraph"/>
        <w:spacing w:before="0"/>
        <w:rPr>
          <w:lang w:val="en-US"/>
        </w:rPr>
      </w:pPr>
    </w:p>
    <w:p w14:paraId="71DFBCEA" w14:textId="33BBEDC8" w:rsidR="007A3AE7" w:rsidRPr="00516448" w:rsidRDefault="007A3AE7" w:rsidP="00516448">
      <w:pPr>
        <w:pStyle w:val="ListParagraph"/>
        <w:numPr>
          <w:ilvl w:val="0"/>
          <w:numId w:val="21"/>
        </w:numPr>
        <w:snapToGrid w:val="0"/>
        <w:spacing w:before="0"/>
        <w:ind w:left="360"/>
        <w:contextualSpacing w:val="0"/>
        <w:rPr>
          <w:b/>
          <w:lang w:val="en-US"/>
        </w:rPr>
      </w:pPr>
      <w:r w:rsidRPr="00516448">
        <w:rPr>
          <w:b/>
          <w:lang w:val="en-US"/>
        </w:rPr>
        <w:t>Data quality</w:t>
      </w:r>
    </w:p>
    <w:p w14:paraId="54C98775" w14:textId="77777777" w:rsidR="00516448" w:rsidRDefault="00516448" w:rsidP="00516448">
      <w:pPr>
        <w:snapToGrid w:val="0"/>
        <w:spacing w:before="0"/>
        <w:rPr>
          <w:lang w:val="en-US"/>
        </w:rPr>
      </w:pPr>
    </w:p>
    <w:p w14:paraId="2B59B20C" w14:textId="2C3E95BB" w:rsidR="007A3AE7" w:rsidRDefault="00516448" w:rsidP="00516448">
      <w:pPr>
        <w:snapToGrid w:val="0"/>
        <w:spacing w:before="0"/>
        <w:rPr>
          <w:lang w:val="en-US"/>
        </w:rPr>
      </w:pPr>
      <w:r>
        <w:rPr>
          <w:lang w:val="en-US"/>
        </w:rPr>
        <w:t xml:space="preserve">To be determined once specific projects within Topic Group are scoped. </w:t>
      </w:r>
    </w:p>
    <w:p w14:paraId="4F9BB982" w14:textId="77777777" w:rsidR="00516448" w:rsidRPr="00516448" w:rsidRDefault="00516448" w:rsidP="00516448">
      <w:pPr>
        <w:snapToGrid w:val="0"/>
        <w:spacing w:before="0"/>
        <w:rPr>
          <w:lang w:val="en-US"/>
        </w:rPr>
      </w:pPr>
    </w:p>
    <w:p w14:paraId="0EA8C2DD" w14:textId="464EB942" w:rsidR="007A3AE7" w:rsidRPr="00516448" w:rsidRDefault="007A3AE7" w:rsidP="00516448">
      <w:pPr>
        <w:pStyle w:val="ListParagraph"/>
        <w:numPr>
          <w:ilvl w:val="0"/>
          <w:numId w:val="21"/>
        </w:numPr>
        <w:snapToGrid w:val="0"/>
        <w:spacing w:before="0"/>
        <w:ind w:left="360"/>
        <w:contextualSpacing w:val="0"/>
        <w:rPr>
          <w:b/>
          <w:lang w:val="en-US"/>
        </w:rPr>
      </w:pPr>
      <w:r w:rsidRPr="00516448">
        <w:rPr>
          <w:b/>
          <w:lang w:val="en-US"/>
        </w:rPr>
        <w:t>Annotation / label quality</w:t>
      </w:r>
    </w:p>
    <w:p w14:paraId="432ACFF2" w14:textId="77777777" w:rsidR="00516448" w:rsidRDefault="00516448" w:rsidP="00516448">
      <w:pPr>
        <w:snapToGrid w:val="0"/>
        <w:spacing w:before="0"/>
        <w:rPr>
          <w:lang w:val="en-US"/>
        </w:rPr>
      </w:pPr>
    </w:p>
    <w:p w14:paraId="14A29513" w14:textId="5D4C8943" w:rsidR="00516448" w:rsidRPr="00516448" w:rsidRDefault="00516448" w:rsidP="00516448">
      <w:pPr>
        <w:snapToGrid w:val="0"/>
        <w:spacing w:before="0"/>
        <w:rPr>
          <w:lang w:val="en-US"/>
        </w:rPr>
      </w:pPr>
      <w:r>
        <w:rPr>
          <w:lang w:val="en-US"/>
        </w:rPr>
        <w:t xml:space="preserve">To be determined once specific projects within Topic Group are scoped. </w:t>
      </w:r>
    </w:p>
    <w:p w14:paraId="70AF069A" w14:textId="77777777" w:rsidR="007A3AE7" w:rsidRPr="00516448" w:rsidRDefault="007A3AE7" w:rsidP="00516448">
      <w:pPr>
        <w:snapToGrid w:val="0"/>
        <w:spacing w:before="0"/>
        <w:rPr>
          <w:lang w:val="en-US"/>
        </w:rPr>
      </w:pPr>
    </w:p>
    <w:p w14:paraId="5526065F" w14:textId="77369314" w:rsidR="007A3AE7" w:rsidRPr="00516448" w:rsidRDefault="007A3AE7" w:rsidP="00516448">
      <w:pPr>
        <w:pStyle w:val="ListParagraph"/>
        <w:numPr>
          <w:ilvl w:val="0"/>
          <w:numId w:val="21"/>
        </w:numPr>
        <w:snapToGrid w:val="0"/>
        <w:spacing w:before="0"/>
        <w:ind w:left="360"/>
        <w:contextualSpacing w:val="0"/>
        <w:rPr>
          <w:b/>
          <w:lang w:val="en-US"/>
        </w:rPr>
      </w:pPr>
      <w:r w:rsidRPr="00516448">
        <w:rPr>
          <w:b/>
          <w:lang w:val="en-US"/>
        </w:rPr>
        <w:t>Data provenance</w:t>
      </w:r>
    </w:p>
    <w:p w14:paraId="03B56A12" w14:textId="77777777" w:rsidR="00516448" w:rsidRPr="00516448" w:rsidRDefault="00516448" w:rsidP="00516448">
      <w:pPr>
        <w:snapToGrid w:val="0"/>
        <w:spacing w:before="0"/>
        <w:rPr>
          <w:lang w:val="en-US"/>
        </w:rPr>
      </w:pPr>
    </w:p>
    <w:p w14:paraId="69FCE64A" w14:textId="41E5ECB9" w:rsidR="007A3AE7" w:rsidRDefault="00516448" w:rsidP="00516448">
      <w:pPr>
        <w:snapToGrid w:val="0"/>
        <w:spacing w:before="0"/>
        <w:rPr>
          <w:lang w:val="en-US"/>
        </w:rPr>
      </w:pPr>
      <w:r>
        <w:rPr>
          <w:lang w:val="en-US"/>
        </w:rPr>
        <w:t xml:space="preserve">To be determined once specific projects within Topic Group are scoped. </w:t>
      </w:r>
    </w:p>
    <w:p w14:paraId="525A3DF2" w14:textId="77777777" w:rsidR="00516448" w:rsidRPr="00516448" w:rsidRDefault="00516448" w:rsidP="00516448">
      <w:pPr>
        <w:snapToGrid w:val="0"/>
        <w:spacing w:before="0"/>
        <w:rPr>
          <w:lang w:val="en-US"/>
        </w:rPr>
      </w:pPr>
    </w:p>
    <w:p w14:paraId="7221E4BB" w14:textId="115CB8B9" w:rsidR="007A3AE7" w:rsidRPr="00516448" w:rsidRDefault="007A3AE7" w:rsidP="00516448">
      <w:pPr>
        <w:pStyle w:val="ListParagraph"/>
        <w:numPr>
          <w:ilvl w:val="0"/>
          <w:numId w:val="21"/>
        </w:numPr>
        <w:snapToGrid w:val="0"/>
        <w:spacing w:before="0"/>
        <w:ind w:left="360"/>
        <w:contextualSpacing w:val="0"/>
        <w:rPr>
          <w:b/>
          <w:lang w:val="en-US"/>
        </w:rPr>
      </w:pPr>
      <w:r w:rsidRPr="00516448">
        <w:rPr>
          <w:b/>
          <w:lang w:val="en-US"/>
        </w:rPr>
        <w:t>Benchmarking</w:t>
      </w:r>
    </w:p>
    <w:p w14:paraId="7F88E5C0" w14:textId="77777777" w:rsidR="00516448" w:rsidRDefault="00516448" w:rsidP="00516448">
      <w:pPr>
        <w:snapToGrid w:val="0"/>
        <w:spacing w:before="0"/>
        <w:rPr>
          <w:lang w:val="en-US"/>
        </w:rPr>
      </w:pPr>
    </w:p>
    <w:p w14:paraId="475831E8" w14:textId="51853D2E" w:rsidR="007A3AE7" w:rsidRPr="00BC1225" w:rsidRDefault="00516448" w:rsidP="00516448">
      <w:pPr>
        <w:snapToGrid w:val="0"/>
        <w:spacing w:before="0"/>
        <w:rPr>
          <w:lang w:val="en-US"/>
        </w:rPr>
      </w:pPr>
      <w:r>
        <w:rPr>
          <w:lang w:val="en-US"/>
        </w:rPr>
        <w:t xml:space="preserve">To be determined once specific projects within Topic Group are scoped. </w:t>
      </w:r>
    </w:p>
    <w:p w14:paraId="1E8850EE" w14:textId="77777777" w:rsidR="003429F2" w:rsidRPr="00BC1225" w:rsidRDefault="00BC1D31" w:rsidP="00404076">
      <w:pPr>
        <w:spacing w:after="20"/>
        <w:jc w:val="center"/>
        <w:rPr>
          <w:lang w:val="en-US"/>
        </w:rPr>
      </w:pPr>
      <w:r w:rsidRPr="00BC1225">
        <w:rPr>
          <w:lang w:val="en-US"/>
        </w:rPr>
        <w:t>____________________________</w:t>
      </w:r>
    </w:p>
    <w:p w14:paraId="6E9573DA" w14:textId="77777777" w:rsidR="00BC1D31" w:rsidRPr="00BC1225" w:rsidRDefault="00BC1D31" w:rsidP="00BC1D31">
      <w:pPr>
        <w:rPr>
          <w:lang w:val="en-US"/>
        </w:rPr>
      </w:pPr>
      <w:bookmarkStart w:id="11" w:name="_GoBack"/>
      <w:bookmarkEnd w:id="11"/>
    </w:p>
    <w:sectPr w:rsidR="00BC1D31" w:rsidRPr="00BC1225" w:rsidSect="007B7733">
      <w:headerReference w:type="default" r:id="rId1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56BD4" w14:textId="77777777" w:rsidR="008363C7" w:rsidRDefault="008363C7" w:rsidP="007B7733">
      <w:pPr>
        <w:spacing w:before="0"/>
      </w:pPr>
      <w:r>
        <w:separator/>
      </w:r>
    </w:p>
  </w:endnote>
  <w:endnote w:type="continuationSeparator" w:id="0">
    <w:p w14:paraId="78D4B94A" w14:textId="77777777" w:rsidR="008363C7" w:rsidRDefault="008363C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B8FA4" w14:textId="77777777" w:rsidR="008363C7" w:rsidRDefault="008363C7" w:rsidP="007B7733">
      <w:pPr>
        <w:spacing w:before="0"/>
      </w:pPr>
      <w:r>
        <w:separator/>
      </w:r>
    </w:p>
  </w:footnote>
  <w:footnote w:type="continuationSeparator" w:id="0">
    <w:p w14:paraId="254A2845" w14:textId="77777777" w:rsidR="008363C7" w:rsidRDefault="008363C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A57AFC" w:rsidRDefault="00A57AFC" w:rsidP="009E62B0">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C933921" w:rsidR="00A57AFC" w:rsidRPr="007336C4" w:rsidRDefault="00A57AFC" w:rsidP="009E62B0">
    <w:pPr>
      <w:pStyle w:val="Header"/>
    </w:pPr>
    <w:r>
      <w:rPr>
        <w:noProof/>
      </w:rPr>
      <w:fldChar w:fldCharType="begin"/>
    </w:r>
    <w:r>
      <w:rPr>
        <w:noProof/>
      </w:rPr>
      <w:instrText xml:space="preserve"> STYLEREF  Docnumber  \* MERGEFORMAT </w:instrText>
    </w:r>
    <w:r>
      <w:rPr>
        <w:noProof/>
      </w:rPr>
      <w:fldChar w:fldCharType="separate"/>
    </w:r>
    <w:r w:rsidR="009B7494">
      <w:rPr>
        <w:noProof/>
      </w:rPr>
      <w:t>FG-AI4H-G-039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220EBE"/>
    <w:multiLevelType w:val="hybridMultilevel"/>
    <w:tmpl w:val="8EBC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16231"/>
    <w:multiLevelType w:val="hybridMultilevel"/>
    <w:tmpl w:val="78A8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42B51"/>
    <w:multiLevelType w:val="hybridMultilevel"/>
    <w:tmpl w:val="F358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F19C0"/>
    <w:multiLevelType w:val="hybridMultilevel"/>
    <w:tmpl w:val="0044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3"/>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331FB"/>
    <w:rsid w:val="0004493F"/>
    <w:rsid w:val="00050A24"/>
    <w:rsid w:val="00055464"/>
    <w:rsid w:val="0006330F"/>
    <w:rsid w:val="00063556"/>
    <w:rsid w:val="000661D3"/>
    <w:rsid w:val="000731D7"/>
    <w:rsid w:val="000769E6"/>
    <w:rsid w:val="00077E88"/>
    <w:rsid w:val="0008099A"/>
    <w:rsid w:val="000842F4"/>
    <w:rsid w:val="00085268"/>
    <w:rsid w:val="00086040"/>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0620"/>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23AF"/>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448"/>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1399"/>
    <w:rsid w:val="005722C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0582"/>
    <w:rsid w:val="00671B96"/>
    <w:rsid w:val="00672840"/>
    <w:rsid w:val="00672A32"/>
    <w:rsid w:val="00672C0A"/>
    <w:rsid w:val="00673355"/>
    <w:rsid w:val="006733BC"/>
    <w:rsid w:val="006818B9"/>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3AE7"/>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2D94"/>
    <w:rsid w:val="00814C73"/>
    <w:rsid w:val="00821E6D"/>
    <w:rsid w:val="00823B5F"/>
    <w:rsid w:val="00823E8E"/>
    <w:rsid w:val="00831BDA"/>
    <w:rsid w:val="0083402B"/>
    <w:rsid w:val="008363C7"/>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4D2E"/>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494"/>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2B0"/>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57AFC"/>
    <w:rsid w:val="00A62887"/>
    <w:rsid w:val="00A64EF2"/>
    <w:rsid w:val="00A67788"/>
    <w:rsid w:val="00A7057D"/>
    <w:rsid w:val="00A71A73"/>
    <w:rsid w:val="00A72130"/>
    <w:rsid w:val="00A74048"/>
    <w:rsid w:val="00A74697"/>
    <w:rsid w:val="00A74ED9"/>
    <w:rsid w:val="00A76ABC"/>
    <w:rsid w:val="00A77A81"/>
    <w:rsid w:val="00A81DD7"/>
    <w:rsid w:val="00A82511"/>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331B"/>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225"/>
    <w:rsid w:val="00BC1D31"/>
    <w:rsid w:val="00BC1F8A"/>
    <w:rsid w:val="00BC27D4"/>
    <w:rsid w:val="00BC41A0"/>
    <w:rsid w:val="00BD0091"/>
    <w:rsid w:val="00BD06A6"/>
    <w:rsid w:val="00BD3ACE"/>
    <w:rsid w:val="00BD6468"/>
    <w:rsid w:val="00BD6C74"/>
    <w:rsid w:val="00BE735C"/>
    <w:rsid w:val="00BF0878"/>
    <w:rsid w:val="00BF3358"/>
    <w:rsid w:val="00BF5690"/>
    <w:rsid w:val="00BF639B"/>
    <w:rsid w:val="00C0104E"/>
    <w:rsid w:val="00C02937"/>
    <w:rsid w:val="00C0323E"/>
    <w:rsid w:val="00C036F7"/>
    <w:rsid w:val="00C03E5B"/>
    <w:rsid w:val="00C04058"/>
    <w:rsid w:val="00C063F5"/>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274E2"/>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BD6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5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t@onecommonhealth.com"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C210F-366D-4C51-B6C8-8EEE7D821C66}"/>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4</TotalTime>
  <Pages>3</Pages>
  <Words>904</Words>
  <Characters>5368</Characters>
  <Application>Microsoft Office Word</Application>
  <DocSecurity>0</DocSecurity>
  <Lines>136</Lines>
  <Paragraphs>55</Paragraphs>
  <ScaleCrop>false</ScaleCrop>
  <HeadingPairs>
    <vt:vector size="2" baseType="variant">
      <vt:variant>
        <vt:lpstr>Title</vt:lpstr>
      </vt:variant>
      <vt:variant>
        <vt:i4>1</vt:i4>
      </vt:variant>
    </vt:vector>
  </HeadingPairs>
  <TitlesOfParts>
    <vt:vector size="1" baseType="lpstr">
      <vt:lpstr>Universal Health Coverage</vt:lpstr>
    </vt:vector>
  </TitlesOfParts>
  <Manager>ITU-T</Manager>
  <Company>International Telecommunication Union (ITU)</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TG on Universal Health Coverage</dc:title>
  <dc:subject/>
  <dc:creator>Common Health (Malaysia)</dc:creator>
  <cp:keywords/>
  <dc:description>FG-AI4H-G-039  For: New Delhi, 13-15 November 2019_x000d_Document date: ITU-T Focus Group on AI for Health_x000d_Saved by ITU51013388 at 06:10:19 on 13/11/2019</dc:description>
  <cp:lastModifiedBy>Secretariat</cp:lastModifiedBy>
  <cp:revision>6</cp:revision>
  <cp:lastPrinted>2011-04-05T14:28:00Z</cp:lastPrinted>
  <dcterms:created xsi:type="dcterms:W3CDTF">2019-11-13T05:05:00Z</dcterms:created>
  <dcterms:modified xsi:type="dcterms:W3CDTF">2019-11-13T05:10:00Z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FG-AI4H-G-039</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Common Health (Malaysia)</vt:lpwstr>
  </property>
</Properties>
</file>