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998EF29" w:rsidR="00E03557" w:rsidRPr="00852AAD" w:rsidRDefault="00BC1D31" w:rsidP="002E6647">
            <w:pPr>
              <w:pStyle w:val="Docnumber"/>
            </w:pPr>
            <w:r>
              <w:t>FG-AI4H</w:t>
            </w:r>
            <w:r w:rsidR="00E03557">
              <w:t>-</w:t>
            </w:r>
            <w:r w:rsidR="00007288">
              <w:t>G</w:t>
            </w:r>
            <w:r>
              <w:t>-</w:t>
            </w:r>
            <w:r w:rsidR="00934772" w:rsidRPr="00934772">
              <w:t>025</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6B112855" w:rsidR="00BC1D31" w:rsidRPr="00123B21" w:rsidRDefault="00934772" w:rsidP="002E6647">
            <w:r>
              <w:t>DASH; DAISAM</w:t>
            </w:r>
          </w:p>
        </w:tc>
        <w:tc>
          <w:tcPr>
            <w:tcW w:w="4678" w:type="dxa"/>
            <w:gridSpan w:val="2"/>
          </w:tcPr>
          <w:p w14:paraId="4ADB1E42" w14:textId="67C459E4" w:rsidR="00BC1D31" w:rsidRPr="00123B21" w:rsidRDefault="00007288" w:rsidP="00007288">
            <w:pPr>
              <w:jc w:val="right"/>
            </w:pPr>
            <w:r>
              <w:t>New Delhi</w:t>
            </w:r>
            <w:r w:rsidR="00B00A54">
              <w:t xml:space="preserve">, </w:t>
            </w:r>
            <w:r w:rsidR="00E44C0E">
              <w:t>13</w:t>
            </w:r>
            <w:r>
              <w:t>-15 November</w:t>
            </w:r>
            <w:r w:rsidR="00BC1D31" w:rsidRPr="00401AE5">
              <w:t xml:space="preserve"> </w:t>
            </w:r>
            <w:r w:rsidR="00401AE5" w:rsidRPr="00401AE5">
              <w:t>2019</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5828CDF" w:rsidR="00BC1D31" w:rsidRPr="00123B21" w:rsidRDefault="00F7302F" w:rsidP="002E6647">
            <w:r w:rsidRPr="00F7302F">
              <w:t>WG-DASH Chair; WG-DAISAM Vice Chair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6D42DFBD" w:rsidR="00BC1D31" w:rsidRPr="00123B21" w:rsidRDefault="00F7302F" w:rsidP="002E6647">
            <w:r>
              <w:t xml:space="preserve">Invitation to </w:t>
            </w:r>
            <w:r w:rsidRPr="00F7302F">
              <w:t>Workshop on AI4H standardized assessment framework &amp; handling and assessment methods</w:t>
            </w:r>
            <w:r w:rsidR="0041002E">
              <w:t xml:space="preserve"> from 8 to </w:t>
            </w:r>
            <w:r>
              <w:t>9 Jan 2020 in Berlin, Germany</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6E8C33ED" w:rsidR="00E03557" w:rsidRPr="00BC1D31" w:rsidRDefault="00F7302F" w:rsidP="002E6647">
            <w:pPr>
              <w:rPr>
                <w:highlight w:val="yellow"/>
              </w:rPr>
            </w:pPr>
            <w:r w:rsidRPr="00F7302F">
              <w:rPr>
                <w:lang w:val="en-US"/>
              </w:rPr>
              <w:t>Admin</w:t>
            </w:r>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7BFD0F14" w:rsidR="00BC1D31" w:rsidRPr="00F7302F" w:rsidRDefault="00F7302F" w:rsidP="002E6647">
            <w:r w:rsidRPr="00F7302F">
              <w:t xml:space="preserve">Luis Oala </w:t>
            </w:r>
            <w:r>
              <w:br/>
            </w:r>
            <w:r w:rsidRPr="00F7302F">
              <w:t xml:space="preserve">Fraunhofer HHI </w:t>
            </w:r>
            <w:r>
              <w:br/>
            </w:r>
            <w:r w:rsidRPr="00F7302F">
              <w:t>Germany</w:t>
            </w:r>
          </w:p>
        </w:tc>
        <w:tc>
          <w:tcPr>
            <w:tcW w:w="3587" w:type="dxa"/>
            <w:tcBorders>
              <w:top w:val="single" w:sz="6" w:space="0" w:color="auto"/>
              <w:bottom w:val="single" w:sz="6" w:space="0" w:color="auto"/>
            </w:tcBorders>
          </w:tcPr>
          <w:p w14:paraId="28DD2FCB" w14:textId="1C997E4E" w:rsidR="00BC1D31" w:rsidRPr="00BC1D31" w:rsidRDefault="00F7302F" w:rsidP="002E6647">
            <w:pPr>
              <w:rPr>
                <w:highlight w:val="yellow"/>
              </w:rPr>
            </w:pPr>
            <w:r w:rsidRPr="00F7302F">
              <w:t xml:space="preserve">Email: </w:t>
            </w:r>
            <w:hyperlink r:id="rId11" w:history="1">
              <w:r w:rsidR="00DE18AC" w:rsidRPr="006F19AF">
                <w:rPr>
                  <w:rStyle w:val="Hyperlink"/>
                </w:rPr>
                <w:t>luis.oala@hhi.fraunhofer.de</w:t>
              </w:r>
            </w:hyperlink>
            <w:r w:rsidR="00DE18AC">
              <w:t xml:space="preserve"> </w:t>
            </w:r>
          </w:p>
        </w:tc>
      </w:tr>
      <w:tr w:rsidR="00BC1D3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7974D081" w14:textId="1246F414" w:rsidR="00BC1D31" w:rsidRPr="00BC1D31" w:rsidRDefault="00F7302F" w:rsidP="002E6647">
            <w:pPr>
              <w:rPr>
                <w:highlight w:val="yellow"/>
              </w:rPr>
            </w:pPr>
            <w:r w:rsidRPr="00F7302F">
              <w:t xml:space="preserve">Marc Lecoultre </w:t>
            </w:r>
            <w:r>
              <w:br/>
            </w:r>
            <w:r w:rsidRPr="00F7302F">
              <w:t xml:space="preserve">MLLab.ai </w:t>
            </w:r>
            <w:r>
              <w:br/>
            </w:r>
            <w:r w:rsidRPr="00F7302F">
              <w:t>Switzerland</w:t>
            </w:r>
          </w:p>
        </w:tc>
        <w:tc>
          <w:tcPr>
            <w:tcW w:w="3587" w:type="dxa"/>
            <w:tcBorders>
              <w:top w:val="single" w:sz="6" w:space="0" w:color="auto"/>
              <w:bottom w:val="single" w:sz="6" w:space="0" w:color="auto"/>
            </w:tcBorders>
          </w:tcPr>
          <w:p w14:paraId="116FD316" w14:textId="507DD60C" w:rsidR="00BC1D31" w:rsidRPr="00BC1D31" w:rsidRDefault="00F7302F" w:rsidP="002E6647">
            <w:pPr>
              <w:rPr>
                <w:highlight w:val="yellow"/>
              </w:rPr>
            </w:pPr>
            <w:r w:rsidRPr="00F7302F">
              <w:t xml:space="preserve">Tel: +41 79 321 09 29 </w:t>
            </w:r>
            <w:r>
              <w:br/>
            </w:r>
            <w:r w:rsidRPr="00F7302F">
              <w:t xml:space="preserve">Fax: +41 22 364 30 69 </w:t>
            </w:r>
            <w:r>
              <w:br/>
            </w:r>
            <w:r w:rsidRPr="00F7302F">
              <w:t xml:space="preserve">Email: </w:t>
            </w:r>
            <w:hyperlink r:id="rId12" w:history="1">
              <w:r w:rsidR="00DE18AC" w:rsidRPr="006F19AF">
                <w:rPr>
                  <w:rStyle w:val="Hyperlink"/>
                </w:rPr>
                <w:t>ml@mllab.ai</w:t>
              </w:r>
            </w:hyperlink>
            <w:r w:rsidR="00DE18AC">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763EFF">
        <w:trPr>
          <w:cantSplit/>
          <w:trHeight w:val="2182"/>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6FE4E75E" w:rsidR="00E03557" w:rsidRPr="00F7302F" w:rsidRDefault="00F7302F" w:rsidP="00F7302F">
            <w:r w:rsidRPr="00F7302F">
              <w:t>Invitation to the ITU/WHO Focus Group</w:t>
            </w:r>
            <w:r w:rsidR="0041002E">
              <w:t xml:space="preserve"> on</w:t>
            </w:r>
            <w:r w:rsidRPr="00F7302F">
              <w:t xml:space="preserve"> Artificial Intelligence for Health (FG-AI4H) Workshop</w:t>
            </w:r>
            <w:r>
              <w:t xml:space="preserve"> on Artificial Intelligence for Health Standardized Assessment Framework Handling and Assessment Methods. The Workshop will be held on 8 and 9 </w:t>
            </w:r>
            <w:r w:rsidR="0041002E">
              <w:t>January</w:t>
            </w:r>
            <w:r>
              <w:t xml:space="preserve"> 2020 and will be hosted by </w:t>
            </w:r>
            <w:r w:rsidRPr="00F7302F">
              <w:t>Fraunhofer Institute for Telecommunications</w:t>
            </w:r>
            <w:r>
              <w:t xml:space="preserve"> (</w:t>
            </w:r>
            <w:proofErr w:type="spellStart"/>
            <w:r>
              <w:t>Einsteinufer</w:t>
            </w:r>
            <w:proofErr w:type="spellEnd"/>
            <w:r>
              <w:t xml:space="preserve"> 37, 10587 Berlin, GERMANY). </w:t>
            </w:r>
            <w:r w:rsidRPr="00F7302F">
              <w:t>Participation is open and free to all interested parties.</w:t>
            </w:r>
            <w:r>
              <w:t xml:space="preserve"> Please register </w:t>
            </w:r>
            <w:r w:rsidR="00763EFF">
              <w:t xml:space="preserve">at </w:t>
            </w:r>
            <w:hyperlink r:id="rId13" w:history="1">
              <w:r w:rsidR="00763EFF" w:rsidRPr="006F19AF">
                <w:rPr>
                  <w:rStyle w:val="Hyperlink"/>
                </w:rPr>
                <w:t>https://forms.gle/FVn7KBwHy1bvHCV96</w:t>
              </w:r>
            </w:hyperlink>
            <w:r>
              <w:t>.</w:t>
            </w:r>
          </w:p>
        </w:tc>
      </w:tr>
    </w:tbl>
    <w:p w14:paraId="2AEBBEA2" w14:textId="735C05E6" w:rsidR="00E56BF7" w:rsidRDefault="00E56BF7" w:rsidP="00E03557"/>
    <w:p w14:paraId="2C5B3FC4" w14:textId="77777777" w:rsidR="00E56BF7" w:rsidRDefault="00E56BF7">
      <w:pPr>
        <w:spacing w:before="0"/>
      </w:pPr>
      <w:r>
        <w:br w:type="page"/>
      </w:r>
    </w:p>
    <w:p w14:paraId="5D996D7C" w14:textId="3A496ACB" w:rsidR="00E56BF7" w:rsidRDefault="003A15E5" w:rsidP="00E56BF7">
      <w:r w:rsidRPr="00E03557">
        <w:rPr>
          <w:noProof/>
          <w:sz w:val="20"/>
          <w:szCs w:val="20"/>
          <w:lang w:eastAsia="en-GB"/>
        </w:rPr>
        <w:lastRenderedPageBreak/>
        <w:drawing>
          <wp:anchor distT="0" distB="0" distL="114300" distR="114300" simplePos="0" relativeHeight="251662336" behindDoc="1" locked="0" layoutInCell="1" allowOverlap="1" wp14:anchorId="148DD445" wp14:editId="0B680398">
            <wp:simplePos x="0" y="0"/>
            <wp:positionH relativeFrom="column">
              <wp:posOffset>2698226</wp:posOffset>
            </wp:positionH>
            <wp:positionV relativeFrom="paragraph">
              <wp:posOffset>0</wp:posOffset>
            </wp:positionV>
            <wp:extent cx="682625" cy="825500"/>
            <wp:effectExtent l="0" t="0" r="3175" b="0"/>
            <wp:wrapTight wrapText="bothSides">
              <wp:wrapPolygon edited="0">
                <wp:start x="603" y="0"/>
                <wp:lineTo x="0" y="11963"/>
                <wp:lineTo x="1206" y="15951"/>
                <wp:lineTo x="1808" y="17446"/>
                <wp:lineTo x="19289" y="19938"/>
                <wp:lineTo x="21098" y="19938"/>
                <wp:lineTo x="21098" y="5483"/>
                <wp:lineTo x="13864" y="1994"/>
                <wp:lineTo x="3617" y="0"/>
                <wp:lineTo x="603" y="0"/>
              </wp:wrapPolygon>
            </wp:wrapTight>
            <wp:docPr id="4"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0" distR="0" simplePos="0" relativeHeight="251660288" behindDoc="0" locked="0" layoutInCell="1" allowOverlap="1" wp14:anchorId="15D68AD7" wp14:editId="1A39010C">
            <wp:simplePos x="0" y="0"/>
            <wp:positionH relativeFrom="column">
              <wp:posOffset>4265792</wp:posOffset>
            </wp:positionH>
            <wp:positionV relativeFrom="paragraph">
              <wp:posOffset>80121</wp:posOffset>
            </wp:positionV>
            <wp:extent cx="1955800" cy="59944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4"/>
                    <a:stretch>
                      <a:fillRect/>
                    </a:stretch>
                  </pic:blipFill>
                  <pic:spPr bwMode="auto">
                    <a:xfrm>
                      <a:off x="0" y="0"/>
                      <a:ext cx="1955800" cy="599440"/>
                    </a:xfrm>
                    <a:prstGeom prst="rect">
                      <a:avLst/>
                    </a:prstGeom>
                  </pic:spPr>
                </pic:pic>
              </a:graphicData>
            </a:graphic>
          </wp:anchor>
        </w:drawing>
      </w:r>
      <w:r>
        <w:rPr>
          <w:noProof/>
          <w:lang w:eastAsia="en-GB"/>
        </w:rPr>
        <w:drawing>
          <wp:anchor distT="0" distB="0" distL="0" distR="0" simplePos="0" relativeHeight="251661312" behindDoc="0" locked="0" layoutInCell="1" allowOverlap="1" wp14:anchorId="2748A0AB" wp14:editId="06F30AF6">
            <wp:simplePos x="0" y="0"/>
            <wp:positionH relativeFrom="column">
              <wp:posOffset>114300</wp:posOffset>
            </wp:positionH>
            <wp:positionV relativeFrom="paragraph">
              <wp:posOffset>83323</wp:posOffset>
            </wp:positionV>
            <wp:extent cx="1461135" cy="577215"/>
            <wp:effectExtent l="0" t="0" r="0" b="0"/>
            <wp:wrapSquare wrapText="largest"/>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15"/>
                    <a:stretch>
                      <a:fillRect/>
                    </a:stretch>
                  </pic:blipFill>
                  <pic:spPr bwMode="auto">
                    <a:xfrm>
                      <a:off x="0" y="0"/>
                      <a:ext cx="1461135" cy="577215"/>
                    </a:xfrm>
                    <a:prstGeom prst="rect">
                      <a:avLst/>
                    </a:prstGeom>
                  </pic:spPr>
                </pic:pic>
              </a:graphicData>
            </a:graphic>
          </wp:anchor>
        </w:drawing>
      </w:r>
    </w:p>
    <w:p w14:paraId="7F0089B2" w14:textId="77777777" w:rsidR="003A15E5" w:rsidRDefault="003A15E5" w:rsidP="00E56BF7">
      <w:pPr>
        <w:jc w:val="center"/>
      </w:pPr>
    </w:p>
    <w:p w14:paraId="08EA8DBA" w14:textId="77777777" w:rsidR="003A15E5" w:rsidRDefault="003A15E5" w:rsidP="00E56BF7">
      <w:pPr>
        <w:jc w:val="center"/>
      </w:pPr>
    </w:p>
    <w:p w14:paraId="3B2F2C5F" w14:textId="77777777" w:rsidR="003A15E5" w:rsidRDefault="003A15E5" w:rsidP="00E56BF7">
      <w:pPr>
        <w:jc w:val="center"/>
      </w:pPr>
    </w:p>
    <w:p w14:paraId="607C6826" w14:textId="2C7C64AE" w:rsidR="00E56BF7" w:rsidRDefault="00E56BF7" w:rsidP="00E56BF7">
      <w:pPr>
        <w:jc w:val="center"/>
      </w:pPr>
      <w:r>
        <w:t>Invitation to the ITU/WHO Focus Group Artificial Intelligence for Health (FG-AI4H) Workshop</w:t>
      </w:r>
    </w:p>
    <w:p w14:paraId="1FB4688D" w14:textId="77777777" w:rsidR="00E56BF7" w:rsidRDefault="00E56BF7" w:rsidP="00E56BF7">
      <w:pPr>
        <w:jc w:val="both"/>
      </w:pPr>
    </w:p>
    <w:p w14:paraId="671BAE87" w14:textId="77777777" w:rsidR="00E56BF7" w:rsidRDefault="00E56BF7" w:rsidP="00E56BF7">
      <w:pPr>
        <w:jc w:val="center"/>
        <w:rPr>
          <w:b/>
          <w:bCs/>
        </w:rPr>
      </w:pPr>
      <w:r>
        <w:rPr>
          <w:b/>
          <w:bCs/>
        </w:rPr>
        <w:t>Artificial Intelligence for Health</w:t>
      </w:r>
    </w:p>
    <w:p w14:paraId="2C0371EC" w14:textId="77777777" w:rsidR="00E56BF7" w:rsidRDefault="00E56BF7" w:rsidP="00E56BF7">
      <w:pPr>
        <w:jc w:val="center"/>
      </w:pPr>
      <w:r>
        <w:rPr>
          <w:b/>
          <w:bCs/>
        </w:rPr>
        <w:t>Standardized Assessment Framework</w:t>
      </w:r>
    </w:p>
    <w:p w14:paraId="1B362E66" w14:textId="77777777" w:rsidR="00E56BF7" w:rsidRDefault="00E56BF7" w:rsidP="00E56BF7">
      <w:pPr>
        <w:jc w:val="center"/>
      </w:pPr>
      <w:r>
        <w:t>Handling and Assessment Methods</w:t>
      </w:r>
    </w:p>
    <w:p w14:paraId="089EB35C" w14:textId="77777777" w:rsidR="00E56BF7" w:rsidRDefault="00E56BF7" w:rsidP="00E56BF7">
      <w:pPr>
        <w:jc w:val="center"/>
      </w:pPr>
    </w:p>
    <w:p w14:paraId="4B537BA8" w14:textId="77777777" w:rsidR="00E56BF7" w:rsidRDefault="00E56BF7" w:rsidP="00E56BF7">
      <w:pPr>
        <w:jc w:val="center"/>
      </w:pPr>
      <w:r>
        <w:t>January 8 – 9, 2020</w:t>
      </w:r>
    </w:p>
    <w:p w14:paraId="5CBBAE73" w14:textId="77777777" w:rsidR="00E56BF7" w:rsidRDefault="00E56BF7" w:rsidP="00E56BF7">
      <w:pPr>
        <w:jc w:val="center"/>
      </w:pPr>
    </w:p>
    <w:p w14:paraId="27206A7D" w14:textId="77777777" w:rsidR="00E56BF7" w:rsidRDefault="00E56BF7" w:rsidP="00E56BF7">
      <w:pPr>
        <w:jc w:val="center"/>
        <w:rPr>
          <w:i/>
          <w:iCs/>
        </w:rPr>
      </w:pPr>
      <w:r>
        <w:rPr>
          <w:i/>
          <w:iCs/>
        </w:rPr>
        <w:t>hosted by</w:t>
      </w:r>
    </w:p>
    <w:p w14:paraId="21A208CA" w14:textId="77777777" w:rsidR="00E56BF7" w:rsidRDefault="00E56BF7" w:rsidP="00E56BF7">
      <w:pPr>
        <w:jc w:val="center"/>
      </w:pPr>
      <w:r>
        <w:t>Fraunhofer Institute for Telecommunications</w:t>
      </w:r>
    </w:p>
    <w:p w14:paraId="6037FCE1" w14:textId="77777777" w:rsidR="00E56BF7" w:rsidRDefault="00E56BF7" w:rsidP="00E56BF7">
      <w:pPr>
        <w:jc w:val="center"/>
      </w:pPr>
      <w:proofErr w:type="spellStart"/>
      <w:r>
        <w:t>Einsteinufer</w:t>
      </w:r>
      <w:proofErr w:type="spellEnd"/>
      <w:r>
        <w:t xml:space="preserve"> 37</w:t>
      </w:r>
    </w:p>
    <w:p w14:paraId="5EED3939" w14:textId="77777777" w:rsidR="00E56BF7" w:rsidRDefault="00E56BF7" w:rsidP="00E56BF7">
      <w:pPr>
        <w:jc w:val="center"/>
      </w:pPr>
      <w:r>
        <w:t>10587 Berlin</w:t>
      </w:r>
    </w:p>
    <w:p w14:paraId="4DB938B7" w14:textId="77777777" w:rsidR="00E56BF7" w:rsidRDefault="00E56BF7" w:rsidP="00E56BF7">
      <w:pPr>
        <w:jc w:val="center"/>
      </w:pPr>
      <w:r>
        <w:t>GERMANY</w:t>
      </w:r>
    </w:p>
    <w:p w14:paraId="55C1ABBB" w14:textId="77777777" w:rsidR="00E56BF7" w:rsidRDefault="00E56BF7" w:rsidP="00E56BF7">
      <w:pPr>
        <w:jc w:val="center"/>
      </w:pPr>
      <w:r>
        <w:rPr>
          <w:sz w:val="28"/>
          <w:szCs w:val="28"/>
        </w:rPr>
        <w:t>------------------------------</w:t>
      </w:r>
    </w:p>
    <w:p w14:paraId="01E60A51" w14:textId="77777777" w:rsidR="00E56BF7" w:rsidRDefault="00E56BF7" w:rsidP="00E56BF7">
      <w:pPr>
        <w:pStyle w:val="Heading1"/>
        <w:numPr>
          <w:ilvl w:val="0"/>
          <w:numId w:val="22"/>
        </w:numPr>
        <w:spacing w:after="120"/>
      </w:pPr>
      <w:r>
        <w:t>Background on ITU/WHO FG-AI4H</w:t>
      </w:r>
    </w:p>
    <w:p w14:paraId="71266FAF" w14:textId="77777777" w:rsidR="00E56BF7" w:rsidRDefault="00E56BF7" w:rsidP="00E56BF7">
      <w:pPr>
        <w:numPr>
          <w:ilvl w:val="0"/>
          <w:numId w:val="22"/>
        </w:numPr>
        <w:spacing w:before="0"/>
        <w:jc w:val="both"/>
      </w:pPr>
      <w:r>
        <w:t>Health technologies require careful evaluation under consideration of both technical and health-related aspects, prior to wider usage. Several factors complicate this evaluation and, thus, the deployment of artificial intelligence (AI) solutions in the health context. Therefore, the International Telecommunication Union (ITU) and the World Health Organization (WHO) have initiated an international standard-seeking effort to address these challenges by creating a joint Focus Group on Artificial Intelligence for Health (FG-AI4H). The ITU and the WHO are two specialized agencies of the United Nations authorized for creating global standards in the fields of information technology and health, respectively. The mandate of the ITU/WHO focus group is to undertake crucial, exploratory steps towards evaluation standards that are applicable on a global scale. FG-AI4H has begun working towards establishing a rigorous evaluation process for AI4H solutions, under the supervision of ITU and WHO, with a global community of experts from health, machine learning, AI, both from academia and industry, and regulation.</w:t>
      </w:r>
    </w:p>
    <w:p w14:paraId="6A97777F" w14:textId="77777777" w:rsidR="00E56BF7" w:rsidRDefault="00E56BF7" w:rsidP="00E56BF7">
      <w:pPr>
        <w:numPr>
          <w:ilvl w:val="0"/>
          <w:numId w:val="22"/>
        </w:numPr>
        <w:spacing w:before="0"/>
      </w:pPr>
    </w:p>
    <w:p w14:paraId="4FD03BB2" w14:textId="77777777" w:rsidR="00E56BF7" w:rsidRDefault="00E56BF7" w:rsidP="00E56BF7">
      <w:pPr>
        <w:numPr>
          <w:ilvl w:val="0"/>
          <w:numId w:val="22"/>
        </w:numPr>
        <w:spacing w:before="0"/>
      </w:pPr>
      <w:r>
        <w:t xml:space="preserve">Detailed information on the work FG-AI4H is doing can be found on the </w:t>
      </w:r>
      <w:hyperlink r:id="rId16">
        <w:r>
          <w:rPr>
            <w:rStyle w:val="InternetLink"/>
          </w:rPr>
          <w:t>website</w:t>
        </w:r>
      </w:hyperlink>
      <w:r>
        <w:t xml:space="preserve">, a </w:t>
      </w:r>
      <w:hyperlink r:id="rId17">
        <w:r>
          <w:rPr>
            <w:rStyle w:val="InternetLink"/>
          </w:rPr>
          <w:t>commentary in The Lancet</w:t>
        </w:r>
      </w:hyperlink>
      <w:r>
        <w:t xml:space="preserve"> and the following</w:t>
      </w:r>
      <w:hyperlink r:id="rId18">
        <w:r>
          <w:rPr>
            <w:rStyle w:val="InternetLink"/>
          </w:rPr>
          <w:t xml:space="preserve"> white paper</w:t>
        </w:r>
      </w:hyperlink>
      <w:r>
        <w:t xml:space="preserve">. Furthermore, all documentation can be accessed via the </w:t>
      </w:r>
      <w:hyperlink r:id="rId19">
        <w:r>
          <w:rPr>
            <w:rStyle w:val="InternetLink"/>
          </w:rPr>
          <w:t>online collaboration system</w:t>
        </w:r>
      </w:hyperlink>
      <w:r>
        <w:t xml:space="preserve"> (a </w:t>
      </w:r>
      <w:hyperlink r:id="rId20">
        <w:r>
          <w:rPr>
            <w:rStyle w:val="InternetLink"/>
          </w:rPr>
          <w:t>free ITU account</w:t>
        </w:r>
      </w:hyperlink>
      <w:r>
        <w:t xml:space="preserve"> is needed; see </w:t>
      </w:r>
      <w:hyperlink r:id="rId21">
        <w:r>
          <w:rPr>
            <w:rStyle w:val="InternetLink"/>
          </w:rPr>
          <w:t>instructions for help</w:t>
        </w:r>
      </w:hyperlink>
      <w:r>
        <w:t>).</w:t>
      </w:r>
    </w:p>
    <w:p w14:paraId="028EFF79" w14:textId="77777777" w:rsidR="00E56BF7" w:rsidRDefault="00E56BF7" w:rsidP="00E56BF7">
      <w:pPr>
        <w:pStyle w:val="Heading1"/>
        <w:numPr>
          <w:ilvl w:val="0"/>
          <w:numId w:val="22"/>
        </w:numPr>
        <w:spacing w:after="120"/>
      </w:pPr>
      <w:r>
        <w:t>Purpose of the Workshop</w:t>
      </w:r>
    </w:p>
    <w:p w14:paraId="42EB7656" w14:textId="77777777" w:rsidR="00E56BF7" w:rsidRDefault="00E56BF7" w:rsidP="00E56BF7">
      <w:pPr>
        <w:jc w:val="both"/>
      </w:pPr>
      <w:r>
        <w:t>The mandate of the ITU/WHO FG-AI4H is to establish a standardized assessment framework for the evaluation of AI-based methods for health, diagnosis, triage or treatment decisions. The purpose of this workshop is to take the next technical steps in (a) setting up a sandbox for the assessment framework and (b) defining testing procedures for quality assessment of data sets and AI models. Furthermore, the workshop is an opportunity to learn more about FG-AI4H as well as the people and institutions that are involved in its day-to-day work.</w:t>
      </w:r>
    </w:p>
    <w:p w14:paraId="5E278F9E" w14:textId="77777777" w:rsidR="00E56BF7" w:rsidRDefault="00E56BF7" w:rsidP="00E56BF7">
      <w:pPr>
        <w:jc w:val="both"/>
      </w:pPr>
    </w:p>
    <w:p w14:paraId="2EBD9118" w14:textId="77777777" w:rsidR="00E56BF7" w:rsidRDefault="00E56BF7" w:rsidP="00E56BF7">
      <w:pPr>
        <w:jc w:val="both"/>
      </w:pPr>
      <w:r>
        <w:t>We are looking forward to your expertise and participation in moving FG-AI4H forward towards creating a standardized assessment framework.</w:t>
      </w:r>
    </w:p>
    <w:p w14:paraId="39740063" w14:textId="77777777" w:rsidR="00E56BF7" w:rsidRDefault="00E56BF7" w:rsidP="00E56BF7">
      <w:pPr>
        <w:pStyle w:val="Heading1"/>
        <w:numPr>
          <w:ilvl w:val="0"/>
          <w:numId w:val="22"/>
        </w:numPr>
        <w:spacing w:after="120"/>
      </w:pPr>
      <w:r>
        <w:t>Audience</w:t>
      </w:r>
    </w:p>
    <w:p w14:paraId="323FB86C" w14:textId="77777777" w:rsidR="00E56BF7" w:rsidRDefault="00E56BF7" w:rsidP="00E56BF7">
      <w:pPr>
        <w:jc w:val="both"/>
      </w:pPr>
      <w:r>
        <w:t xml:space="preserve">This workshop is targeted at professionals either specializing or working on the intersections of the health, ICTs and AI domains. This may include individuals from academia (postdocs, PhD students, professors) or industry (developers, consultants, doctors, healthcare workers, freelancers) alike. Please note this is a non-exhaustive list. In case you do not fit into these groups but have a strong interest to contribute, please do </w:t>
      </w:r>
      <w:hyperlink w:anchor="_Contact_and_Questions" w:history="1">
        <w:r w:rsidRPr="008E2C94">
          <w:rPr>
            <w:rStyle w:val="Hyperlink"/>
          </w:rPr>
          <w:t>reach out to us</w:t>
        </w:r>
      </w:hyperlink>
      <w:r>
        <w:t>. Participation and contribution are possible in different capacities.</w:t>
      </w:r>
    </w:p>
    <w:p w14:paraId="5192D4A2" w14:textId="77777777" w:rsidR="00E56BF7" w:rsidRDefault="00E56BF7" w:rsidP="00E56BF7">
      <w:pPr>
        <w:pStyle w:val="Heading1"/>
        <w:numPr>
          <w:ilvl w:val="0"/>
          <w:numId w:val="22"/>
        </w:numPr>
        <w:spacing w:after="120"/>
      </w:pPr>
      <w:r>
        <w:t>Your role in the Workshop</w:t>
      </w:r>
    </w:p>
    <w:p w14:paraId="08F43D0C" w14:textId="77777777" w:rsidR="00E56BF7" w:rsidRDefault="00E56BF7" w:rsidP="00E56BF7">
      <w:pPr>
        <w:jc w:val="both"/>
      </w:pPr>
      <w:r>
        <w:t>We require your input and expertise in a capacity of your choosing. This can, for example, be giving a presentation, joining of the activities during the discussion, drafting the documentation of the workshop meeting that feeds into the standardization document, participating in specification and implementation of testing algorithms and technical infrastructure. Furthermore, there are opportunities to become chair/co-chair of an FG-AI4H Working Group. Finally, if you think you may contribute something interesting that does not fit any of the categories outlined above do let us know. We are open for suggestions.</w:t>
      </w:r>
    </w:p>
    <w:p w14:paraId="1CD6A1F2" w14:textId="77777777" w:rsidR="00E56BF7" w:rsidRDefault="00E56BF7" w:rsidP="00E56BF7">
      <w:pPr>
        <w:pStyle w:val="Heading1"/>
        <w:numPr>
          <w:ilvl w:val="0"/>
          <w:numId w:val="22"/>
        </w:numPr>
        <w:spacing w:after="120"/>
      </w:pPr>
      <w:r>
        <w:t>Activities at the Workshop</w:t>
      </w:r>
    </w:p>
    <w:p w14:paraId="710F774F" w14:textId="77777777" w:rsidR="00E56BF7" w:rsidRDefault="00E56BF7" w:rsidP="00E56BF7">
      <w:pPr>
        <w:jc w:val="both"/>
      </w:pPr>
      <w:r>
        <w:t>Please note that some activities may not be completed during the workshop. Work on these activities continues in virtual meetings and successive physical meetings. This is the normal process for our Focus Group: most of the work is done through virtual meetings to be economical with emissions and time budgets. Physical meetings are organized regularly to facilitate interactions that are hard to replicate online as well as providing a point of entry for new members.</w:t>
      </w:r>
    </w:p>
    <w:p w14:paraId="79610CF4" w14:textId="77777777" w:rsidR="00E56BF7" w:rsidRDefault="00E56BF7" w:rsidP="00E56BF7">
      <w:pPr>
        <w:jc w:val="both"/>
      </w:pPr>
    </w:p>
    <w:p w14:paraId="1B3AE534" w14:textId="77777777" w:rsidR="00E56BF7" w:rsidRDefault="00E56BF7" w:rsidP="00E56BF7">
      <w:pPr>
        <w:jc w:val="both"/>
      </w:pPr>
      <w:r>
        <w:t>The following activities and topics will be dealt with at the upcoming workshop:</w:t>
      </w:r>
    </w:p>
    <w:p w14:paraId="3D77B968" w14:textId="77777777" w:rsidR="00E56BF7" w:rsidRDefault="00E56BF7" w:rsidP="00E56BF7">
      <w:pPr>
        <w:jc w:val="both"/>
      </w:pPr>
    </w:p>
    <w:p w14:paraId="3510A97E" w14:textId="77777777" w:rsidR="00E56BF7" w:rsidRDefault="00E56BF7" w:rsidP="00E56BF7">
      <w:pPr>
        <w:numPr>
          <w:ilvl w:val="0"/>
          <w:numId w:val="23"/>
        </w:numPr>
        <w:spacing w:before="0"/>
        <w:jc w:val="both"/>
      </w:pPr>
      <w:r>
        <w:t>Set up the sandbox for the assessment platform based on an existing software library</w:t>
      </w:r>
      <w:r>
        <w:br/>
      </w:r>
      <w:r>
        <w:rPr>
          <w:i/>
          <w:iCs/>
        </w:rPr>
        <w:t>Comment: This means we will start to set up the existing software for a benchmarking platform on a server</w:t>
      </w:r>
    </w:p>
    <w:p w14:paraId="5B431107" w14:textId="77777777" w:rsidR="00E56BF7" w:rsidRDefault="00E56BF7" w:rsidP="00E56BF7">
      <w:pPr>
        <w:ind w:left="720"/>
        <w:jc w:val="both"/>
        <w:rPr>
          <w:i/>
          <w:iCs/>
        </w:rPr>
      </w:pPr>
    </w:p>
    <w:p w14:paraId="36F1139C" w14:textId="77777777" w:rsidR="00E56BF7" w:rsidRDefault="00E56BF7" w:rsidP="00E56BF7">
      <w:pPr>
        <w:numPr>
          <w:ilvl w:val="0"/>
          <w:numId w:val="23"/>
        </w:numPr>
        <w:spacing w:before="0"/>
        <w:jc w:val="both"/>
      </w:pPr>
      <w:r>
        <w:t>Collect technical expertise and future requirements for the platform with respect to</w:t>
      </w:r>
    </w:p>
    <w:p w14:paraId="598A07E2" w14:textId="77777777" w:rsidR="00E56BF7" w:rsidRDefault="00E56BF7" w:rsidP="00E56BF7">
      <w:pPr>
        <w:numPr>
          <w:ilvl w:val="1"/>
          <w:numId w:val="23"/>
        </w:numPr>
        <w:spacing w:before="0"/>
        <w:jc w:val="both"/>
      </w:pPr>
      <w:r>
        <w:t>Data processing management</w:t>
      </w:r>
    </w:p>
    <w:p w14:paraId="1F5D5C7E" w14:textId="77777777" w:rsidR="00E56BF7" w:rsidRDefault="00E56BF7" w:rsidP="00E56BF7">
      <w:pPr>
        <w:numPr>
          <w:ilvl w:val="1"/>
          <w:numId w:val="23"/>
        </w:numPr>
        <w:spacing w:before="0"/>
        <w:jc w:val="both"/>
      </w:pPr>
      <w:r>
        <w:t>Encryption</w:t>
      </w:r>
    </w:p>
    <w:p w14:paraId="5BB21D1F" w14:textId="77777777" w:rsidR="00E56BF7" w:rsidRDefault="00E56BF7" w:rsidP="00E56BF7">
      <w:pPr>
        <w:numPr>
          <w:ilvl w:val="1"/>
          <w:numId w:val="23"/>
        </w:numPr>
        <w:spacing w:before="0"/>
        <w:jc w:val="both"/>
      </w:pPr>
      <w:r>
        <w:t>Data set splitting</w:t>
      </w:r>
    </w:p>
    <w:p w14:paraId="5B1415D0" w14:textId="77777777" w:rsidR="00E56BF7" w:rsidRDefault="00E56BF7" w:rsidP="00E56BF7">
      <w:pPr>
        <w:ind w:left="720"/>
        <w:jc w:val="both"/>
      </w:pPr>
    </w:p>
    <w:p w14:paraId="2C95A774" w14:textId="77777777" w:rsidR="00E56BF7" w:rsidRDefault="00E56BF7" w:rsidP="00E56BF7">
      <w:pPr>
        <w:numPr>
          <w:ilvl w:val="0"/>
          <w:numId w:val="23"/>
        </w:numPr>
        <w:spacing w:before="0"/>
        <w:jc w:val="both"/>
      </w:pPr>
      <w:r>
        <w:t>Collect technical expertise and requirements for methods and tests with respect to</w:t>
      </w:r>
    </w:p>
    <w:p w14:paraId="0445CD49" w14:textId="77777777" w:rsidR="00E56BF7" w:rsidRDefault="00E56BF7" w:rsidP="00E56BF7">
      <w:pPr>
        <w:numPr>
          <w:ilvl w:val="1"/>
          <w:numId w:val="23"/>
        </w:numPr>
        <w:spacing w:before="0"/>
        <w:jc w:val="both"/>
      </w:pPr>
      <w:r>
        <w:t>Assessment of test data quality, in particular</w:t>
      </w:r>
    </w:p>
    <w:p w14:paraId="04E10938" w14:textId="77777777" w:rsidR="00E56BF7" w:rsidRDefault="00E56BF7" w:rsidP="00E56BF7">
      <w:pPr>
        <w:numPr>
          <w:ilvl w:val="2"/>
          <w:numId w:val="23"/>
        </w:numPr>
        <w:spacing w:before="0"/>
        <w:jc w:val="both"/>
      </w:pPr>
      <w:r>
        <w:t>Completeness</w:t>
      </w:r>
    </w:p>
    <w:p w14:paraId="482B5673" w14:textId="77777777" w:rsidR="00E56BF7" w:rsidRDefault="00E56BF7" w:rsidP="00E56BF7">
      <w:pPr>
        <w:numPr>
          <w:ilvl w:val="2"/>
          <w:numId w:val="23"/>
        </w:numPr>
        <w:spacing w:before="0"/>
        <w:jc w:val="both"/>
      </w:pPr>
      <w:r>
        <w:t>Heterogeneity and varying quality grades of measurements</w:t>
      </w:r>
    </w:p>
    <w:p w14:paraId="41A060F4" w14:textId="77777777" w:rsidR="00E56BF7" w:rsidRDefault="00E56BF7" w:rsidP="00E56BF7">
      <w:pPr>
        <w:numPr>
          <w:ilvl w:val="2"/>
          <w:numId w:val="23"/>
        </w:numPr>
        <w:spacing w:before="0"/>
        <w:jc w:val="both"/>
      </w:pPr>
      <w:r>
        <w:t>Robustness as a property of data</w:t>
      </w:r>
    </w:p>
    <w:p w14:paraId="40B44F0D" w14:textId="77777777" w:rsidR="00E56BF7" w:rsidRDefault="00E56BF7" w:rsidP="00E56BF7">
      <w:pPr>
        <w:numPr>
          <w:ilvl w:val="2"/>
          <w:numId w:val="23"/>
        </w:numPr>
        <w:spacing w:before="0"/>
        <w:jc w:val="both"/>
      </w:pPr>
      <w:r>
        <w:t>Characteristics of data sets, summary statistics, “data sheets for data sets”</w:t>
      </w:r>
    </w:p>
    <w:p w14:paraId="60497A77" w14:textId="77777777" w:rsidR="00E56BF7" w:rsidRDefault="00E56BF7" w:rsidP="00E56BF7">
      <w:pPr>
        <w:numPr>
          <w:ilvl w:val="2"/>
          <w:numId w:val="23"/>
        </w:numPr>
        <w:spacing w:before="0"/>
        <w:jc w:val="both"/>
      </w:pPr>
      <w:r>
        <w:t>Bias</w:t>
      </w:r>
    </w:p>
    <w:p w14:paraId="7DEC11C6" w14:textId="77777777" w:rsidR="00E56BF7" w:rsidRDefault="00E56BF7" w:rsidP="00E56BF7">
      <w:pPr>
        <w:numPr>
          <w:ilvl w:val="2"/>
          <w:numId w:val="23"/>
        </w:numPr>
        <w:spacing w:before="0"/>
        <w:jc w:val="both"/>
      </w:pPr>
      <w:r>
        <w:t>Fairness</w:t>
      </w:r>
    </w:p>
    <w:p w14:paraId="6472E45F" w14:textId="77777777" w:rsidR="00E56BF7" w:rsidRDefault="00E56BF7" w:rsidP="00E56BF7">
      <w:pPr>
        <w:numPr>
          <w:ilvl w:val="2"/>
          <w:numId w:val="23"/>
        </w:numPr>
        <w:spacing w:before="0"/>
        <w:jc w:val="both"/>
      </w:pPr>
      <w:r>
        <w:t>Integrity</w:t>
      </w:r>
    </w:p>
    <w:p w14:paraId="26AFEBB4" w14:textId="77777777" w:rsidR="00E56BF7" w:rsidRDefault="00E56BF7" w:rsidP="00E56BF7">
      <w:pPr>
        <w:numPr>
          <w:ilvl w:val="2"/>
          <w:numId w:val="23"/>
        </w:numPr>
        <w:spacing w:before="0"/>
        <w:jc w:val="both"/>
      </w:pPr>
      <w:r>
        <w:t>Reproducibility of data collection procedure</w:t>
      </w:r>
    </w:p>
    <w:p w14:paraId="45F20E0A" w14:textId="77777777" w:rsidR="00E56BF7" w:rsidRDefault="00E56BF7" w:rsidP="00E56BF7">
      <w:pPr>
        <w:numPr>
          <w:ilvl w:val="1"/>
          <w:numId w:val="23"/>
        </w:numPr>
        <w:spacing w:before="0"/>
        <w:jc w:val="both"/>
      </w:pPr>
      <w:r>
        <w:lastRenderedPageBreak/>
        <w:t>Assessment of AI model quality, in particular safety and reliability dimensions such as</w:t>
      </w:r>
    </w:p>
    <w:p w14:paraId="72117191" w14:textId="77777777" w:rsidR="00E56BF7" w:rsidRDefault="00E56BF7" w:rsidP="00E56BF7">
      <w:pPr>
        <w:numPr>
          <w:ilvl w:val="2"/>
          <w:numId w:val="23"/>
        </w:numPr>
        <w:spacing w:before="0"/>
        <w:jc w:val="both"/>
      </w:pPr>
      <w:r>
        <w:t>Robustness</w:t>
      </w:r>
    </w:p>
    <w:p w14:paraId="223EC303" w14:textId="77777777" w:rsidR="00E56BF7" w:rsidRDefault="00E56BF7" w:rsidP="00E56BF7">
      <w:pPr>
        <w:numPr>
          <w:ilvl w:val="2"/>
          <w:numId w:val="23"/>
        </w:numPr>
        <w:spacing w:before="0"/>
        <w:jc w:val="both"/>
      </w:pPr>
      <w:r>
        <w:t>Generalizability</w:t>
      </w:r>
    </w:p>
    <w:p w14:paraId="5CCBFCF7" w14:textId="77777777" w:rsidR="00E56BF7" w:rsidRDefault="00E56BF7" w:rsidP="00E56BF7">
      <w:pPr>
        <w:numPr>
          <w:ilvl w:val="2"/>
          <w:numId w:val="23"/>
        </w:numPr>
        <w:spacing w:before="0"/>
        <w:jc w:val="both"/>
      </w:pPr>
      <w:r>
        <w:t>Uncertainty quantification</w:t>
      </w:r>
    </w:p>
    <w:p w14:paraId="18B47663" w14:textId="77777777" w:rsidR="00E56BF7" w:rsidRDefault="00E56BF7" w:rsidP="00E56BF7">
      <w:pPr>
        <w:numPr>
          <w:ilvl w:val="2"/>
          <w:numId w:val="23"/>
        </w:numPr>
        <w:spacing w:before="0"/>
        <w:jc w:val="both"/>
      </w:pPr>
      <w:r>
        <w:t>Explainability</w:t>
      </w:r>
    </w:p>
    <w:p w14:paraId="5E2E6198" w14:textId="77777777" w:rsidR="00E56BF7" w:rsidRDefault="00E56BF7" w:rsidP="00E56BF7">
      <w:pPr>
        <w:jc w:val="both"/>
      </w:pPr>
    </w:p>
    <w:p w14:paraId="3462F5D0" w14:textId="77777777" w:rsidR="00E56BF7" w:rsidRDefault="00E56BF7" w:rsidP="00E56BF7">
      <w:pPr>
        <w:jc w:val="both"/>
      </w:pPr>
      <w:r>
        <w:t xml:space="preserve">Please indicate in the </w:t>
      </w:r>
      <w:hyperlink r:id="rId22">
        <w:r>
          <w:rPr>
            <w:rStyle w:val="InternetLink"/>
          </w:rPr>
          <w:t>online form</w:t>
        </w:r>
      </w:hyperlink>
      <w:r>
        <w:t xml:space="preserve"> which activities you are most interested in and whether you would be able to give a short presentation on the aspects that, from your perspective, are important to consider with respect to the quality assessment of AI for health applications and data sets. </w:t>
      </w:r>
    </w:p>
    <w:p w14:paraId="537CEE20" w14:textId="77777777" w:rsidR="00E56BF7" w:rsidRDefault="00E56BF7" w:rsidP="00E56BF7">
      <w:pPr>
        <w:pStyle w:val="Heading1"/>
        <w:numPr>
          <w:ilvl w:val="0"/>
          <w:numId w:val="21"/>
        </w:numPr>
        <w:spacing w:after="120"/>
      </w:pPr>
      <w:r>
        <w:t>Structure of the Workshop</w:t>
      </w:r>
    </w:p>
    <w:p w14:paraId="7AC818FD" w14:textId="77777777" w:rsidR="00E56BF7" w:rsidRDefault="00E56BF7" w:rsidP="00E56BF7">
      <w:pPr>
        <w:jc w:val="both"/>
      </w:pPr>
      <w:r>
        <w:t>The preliminary structure of the workshop is detailed below. Possible changes are contingent on the final pool of participants as well as your suggestions. Four different phases are planned for dealing with the various activities. These phases help to make sure the workshop moves along in a constructive fashion. The different phases as well as the structure of the workshop are explained and visualized below.</w:t>
      </w:r>
    </w:p>
    <w:p w14:paraId="69739A2B" w14:textId="77777777" w:rsidR="00E56BF7" w:rsidRDefault="00E56BF7" w:rsidP="00E56BF7">
      <w:pPr>
        <w:jc w:val="both"/>
      </w:pPr>
    </w:p>
    <w:tbl>
      <w:tblPr>
        <w:tblW w:w="9801" w:type="dxa"/>
        <w:tblCellMar>
          <w:top w:w="55" w:type="dxa"/>
          <w:left w:w="55" w:type="dxa"/>
          <w:bottom w:w="55" w:type="dxa"/>
          <w:right w:w="55" w:type="dxa"/>
        </w:tblCellMar>
        <w:tblLook w:val="0000" w:firstRow="0" w:lastRow="0" w:firstColumn="0" w:lastColumn="0" w:noHBand="0" w:noVBand="0"/>
      </w:tblPr>
      <w:tblGrid>
        <w:gridCol w:w="985"/>
        <w:gridCol w:w="2346"/>
        <w:gridCol w:w="6470"/>
      </w:tblGrid>
      <w:tr w:rsidR="00E56BF7" w14:paraId="5BCC461A" w14:textId="77777777" w:rsidTr="00B962BC">
        <w:tc>
          <w:tcPr>
            <w:tcW w:w="9801" w:type="dxa"/>
            <w:gridSpan w:val="3"/>
            <w:shd w:val="clear" w:color="auto" w:fill="auto"/>
          </w:tcPr>
          <w:p w14:paraId="12EE51FE" w14:textId="77777777" w:rsidR="00E56BF7" w:rsidRDefault="00E56BF7" w:rsidP="00B962BC">
            <w:pPr>
              <w:pStyle w:val="TableContents"/>
              <w:jc w:val="center"/>
              <w:rPr>
                <w:b/>
                <w:bCs/>
                <w:lang w:val="en-GB"/>
              </w:rPr>
            </w:pPr>
            <w:r>
              <w:rPr>
                <w:b/>
                <w:bCs/>
                <w:lang w:val="en-GB"/>
              </w:rPr>
              <w:t>Phases</w:t>
            </w:r>
          </w:p>
        </w:tc>
      </w:tr>
      <w:tr w:rsidR="00E56BF7" w14:paraId="12B51F9D" w14:textId="77777777" w:rsidTr="00B962BC">
        <w:tc>
          <w:tcPr>
            <w:tcW w:w="985" w:type="dxa"/>
            <w:shd w:val="clear" w:color="auto" w:fill="auto"/>
          </w:tcPr>
          <w:p w14:paraId="46AA4290" w14:textId="77777777" w:rsidR="00E56BF7" w:rsidRDefault="00E56BF7" w:rsidP="00B962BC">
            <w:pPr>
              <w:pStyle w:val="TableContents"/>
              <w:shd w:val="clear" w:color="auto" w:fill="FFF685"/>
              <w:rPr>
                <w:lang w:val="en-GB"/>
              </w:rPr>
            </w:pPr>
          </w:p>
        </w:tc>
        <w:tc>
          <w:tcPr>
            <w:tcW w:w="2346" w:type="dxa"/>
            <w:shd w:val="clear" w:color="auto" w:fill="auto"/>
          </w:tcPr>
          <w:p w14:paraId="0CC87677" w14:textId="77777777" w:rsidR="00E56BF7" w:rsidRDefault="00E56BF7" w:rsidP="00B962BC">
            <w:pPr>
              <w:pStyle w:val="TableContents"/>
              <w:rPr>
                <w:lang w:val="en-GB"/>
              </w:rPr>
            </w:pPr>
            <w:r>
              <w:rPr>
                <w:lang w:val="en-GB"/>
              </w:rPr>
              <w:t>Implementation</w:t>
            </w:r>
          </w:p>
        </w:tc>
        <w:tc>
          <w:tcPr>
            <w:tcW w:w="6470" w:type="dxa"/>
            <w:vMerge w:val="restart"/>
            <w:shd w:val="clear" w:color="auto" w:fill="auto"/>
          </w:tcPr>
          <w:p w14:paraId="01757925" w14:textId="77777777" w:rsidR="00E56BF7" w:rsidRDefault="00E56BF7" w:rsidP="00B962BC">
            <w:pPr>
              <w:pStyle w:val="TableContents"/>
              <w:rPr>
                <w:i/>
                <w:iCs/>
                <w:lang w:val="en-GB"/>
              </w:rPr>
            </w:pPr>
            <w:r>
              <w:rPr>
                <w:i/>
                <w:iCs/>
                <w:lang w:val="en-GB"/>
              </w:rPr>
              <w:t>Working on the implementation of algorithms and technical infrastructure</w:t>
            </w:r>
          </w:p>
        </w:tc>
      </w:tr>
      <w:tr w:rsidR="00E56BF7" w14:paraId="63FA4FD6" w14:textId="77777777" w:rsidTr="00B962BC">
        <w:tc>
          <w:tcPr>
            <w:tcW w:w="985" w:type="dxa"/>
            <w:shd w:val="clear" w:color="auto" w:fill="auto"/>
          </w:tcPr>
          <w:p w14:paraId="498A9317" w14:textId="77777777" w:rsidR="00E56BF7" w:rsidRDefault="00E56BF7" w:rsidP="00B962BC">
            <w:pPr>
              <w:pStyle w:val="TableContents"/>
              <w:rPr>
                <w:lang w:val="en-GB"/>
              </w:rPr>
            </w:pPr>
          </w:p>
        </w:tc>
        <w:tc>
          <w:tcPr>
            <w:tcW w:w="2346" w:type="dxa"/>
            <w:shd w:val="clear" w:color="auto" w:fill="auto"/>
          </w:tcPr>
          <w:p w14:paraId="6439C284" w14:textId="77777777" w:rsidR="00E56BF7" w:rsidRDefault="00E56BF7" w:rsidP="00B962BC">
            <w:pPr>
              <w:pStyle w:val="TableContents"/>
              <w:rPr>
                <w:lang w:val="en-GB"/>
              </w:rPr>
            </w:pPr>
          </w:p>
        </w:tc>
        <w:tc>
          <w:tcPr>
            <w:tcW w:w="6470" w:type="dxa"/>
            <w:vMerge/>
            <w:shd w:val="clear" w:color="auto" w:fill="auto"/>
          </w:tcPr>
          <w:p w14:paraId="16E82C5B" w14:textId="77777777" w:rsidR="00E56BF7" w:rsidRDefault="00E56BF7" w:rsidP="00B962BC">
            <w:pPr>
              <w:pStyle w:val="TableContents"/>
              <w:rPr>
                <w:i/>
                <w:iCs/>
                <w:lang w:val="en-GB"/>
              </w:rPr>
            </w:pPr>
          </w:p>
        </w:tc>
      </w:tr>
      <w:tr w:rsidR="00E56BF7" w14:paraId="75E88642" w14:textId="77777777" w:rsidTr="00B962BC">
        <w:tc>
          <w:tcPr>
            <w:tcW w:w="985" w:type="dxa"/>
            <w:shd w:val="clear" w:color="auto" w:fill="auto"/>
          </w:tcPr>
          <w:p w14:paraId="14D5A81A" w14:textId="77777777" w:rsidR="00E56BF7" w:rsidRDefault="00E56BF7" w:rsidP="00B962BC">
            <w:pPr>
              <w:pStyle w:val="TableContents"/>
              <w:shd w:val="clear" w:color="auto" w:fill="F68E76"/>
              <w:rPr>
                <w:lang w:val="en-GB"/>
              </w:rPr>
            </w:pPr>
          </w:p>
        </w:tc>
        <w:tc>
          <w:tcPr>
            <w:tcW w:w="2346" w:type="dxa"/>
            <w:shd w:val="clear" w:color="auto" w:fill="auto"/>
          </w:tcPr>
          <w:p w14:paraId="639E9B60" w14:textId="77777777" w:rsidR="00E56BF7" w:rsidRDefault="00E56BF7" w:rsidP="00B962BC">
            <w:pPr>
              <w:pStyle w:val="TableContents"/>
              <w:rPr>
                <w:lang w:val="en-GB"/>
              </w:rPr>
            </w:pPr>
            <w:r>
              <w:rPr>
                <w:lang w:val="en-GB"/>
              </w:rPr>
              <w:t>Collect problem ideas</w:t>
            </w:r>
          </w:p>
        </w:tc>
        <w:tc>
          <w:tcPr>
            <w:tcW w:w="6470" w:type="dxa"/>
            <w:vMerge w:val="restart"/>
            <w:shd w:val="clear" w:color="auto" w:fill="auto"/>
          </w:tcPr>
          <w:p w14:paraId="56BB98FA" w14:textId="77777777" w:rsidR="00E56BF7" w:rsidRDefault="00E56BF7" w:rsidP="00B962BC">
            <w:pPr>
              <w:pStyle w:val="TableContents"/>
              <w:rPr>
                <w:i/>
                <w:iCs/>
                <w:lang w:val="en-GB"/>
              </w:rPr>
            </w:pPr>
            <w:r>
              <w:rPr>
                <w:i/>
                <w:iCs/>
                <w:lang w:val="en-GB"/>
              </w:rPr>
              <w:t>Collection of suggestions, questions and issues with respect to the topic that can be expressed in discussion panels and invited as well as impromptu presentations</w:t>
            </w:r>
          </w:p>
        </w:tc>
      </w:tr>
      <w:tr w:rsidR="00E56BF7" w14:paraId="3C3CA784" w14:textId="77777777" w:rsidTr="00B962BC">
        <w:tc>
          <w:tcPr>
            <w:tcW w:w="985" w:type="dxa"/>
            <w:shd w:val="clear" w:color="auto" w:fill="auto"/>
          </w:tcPr>
          <w:p w14:paraId="74739134" w14:textId="77777777" w:rsidR="00E56BF7" w:rsidRDefault="00E56BF7" w:rsidP="00B962BC">
            <w:pPr>
              <w:pStyle w:val="TableContents"/>
              <w:rPr>
                <w:lang w:val="en-GB"/>
              </w:rPr>
            </w:pPr>
          </w:p>
        </w:tc>
        <w:tc>
          <w:tcPr>
            <w:tcW w:w="2346" w:type="dxa"/>
            <w:shd w:val="clear" w:color="auto" w:fill="auto"/>
          </w:tcPr>
          <w:p w14:paraId="10966238" w14:textId="77777777" w:rsidR="00E56BF7" w:rsidRDefault="00E56BF7" w:rsidP="00B962BC">
            <w:pPr>
              <w:pStyle w:val="TableContents"/>
              <w:rPr>
                <w:lang w:val="en-GB"/>
              </w:rPr>
            </w:pPr>
          </w:p>
        </w:tc>
        <w:tc>
          <w:tcPr>
            <w:tcW w:w="6470" w:type="dxa"/>
            <w:vMerge/>
            <w:shd w:val="clear" w:color="auto" w:fill="auto"/>
          </w:tcPr>
          <w:p w14:paraId="7442A83A" w14:textId="77777777" w:rsidR="00E56BF7" w:rsidRDefault="00E56BF7" w:rsidP="00B962BC">
            <w:pPr>
              <w:pStyle w:val="TableContents"/>
              <w:rPr>
                <w:i/>
                <w:iCs/>
                <w:lang w:val="en-GB"/>
              </w:rPr>
            </w:pPr>
          </w:p>
        </w:tc>
      </w:tr>
      <w:tr w:rsidR="00E56BF7" w14:paraId="7BE9B89D" w14:textId="77777777" w:rsidTr="00B962BC">
        <w:tc>
          <w:tcPr>
            <w:tcW w:w="985" w:type="dxa"/>
            <w:shd w:val="clear" w:color="auto" w:fill="auto"/>
          </w:tcPr>
          <w:p w14:paraId="7DF342E6" w14:textId="77777777" w:rsidR="00E56BF7" w:rsidRDefault="00E56BF7" w:rsidP="00B962BC">
            <w:pPr>
              <w:pStyle w:val="TableContents"/>
              <w:shd w:val="clear" w:color="auto" w:fill="65C295"/>
              <w:rPr>
                <w:lang w:val="en-GB"/>
              </w:rPr>
            </w:pPr>
          </w:p>
        </w:tc>
        <w:tc>
          <w:tcPr>
            <w:tcW w:w="2346" w:type="dxa"/>
            <w:shd w:val="clear" w:color="auto" w:fill="auto"/>
          </w:tcPr>
          <w:p w14:paraId="785A6A7C" w14:textId="77777777" w:rsidR="00E56BF7" w:rsidRDefault="00E56BF7" w:rsidP="00B962BC">
            <w:pPr>
              <w:pStyle w:val="TableContents"/>
              <w:rPr>
                <w:lang w:val="en-GB"/>
              </w:rPr>
            </w:pPr>
            <w:r>
              <w:rPr>
                <w:lang w:val="en-GB"/>
              </w:rPr>
              <w:t>Collect solution ideas</w:t>
            </w:r>
          </w:p>
        </w:tc>
        <w:tc>
          <w:tcPr>
            <w:tcW w:w="6470" w:type="dxa"/>
            <w:vMerge w:val="restart"/>
            <w:shd w:val="clear" w:color="auto" w:fill="auto"/>
          </w:tcPr>
          <w:p w14:paraId="3FB41DD8" w14:textId="77777777" w:rsidR="00E56BF7" w:rsidRDefault="00E56BF7" w:rsidP="00B962BC">
            <w:pPr>
              <w:pStyle w:val="TableContents"/>
              <w:rPr>
                <w:i/>
                <w:iCs/>
                <w:lang w:val="en-GB"/>
              </w:rPr>
            </w:pPr>
            <w:r>
              <w:rPr>
                <w:i/>
                <w:iCs/>
                <w:lang w:val="en-GB"/>
              </w:rPr>
              <w:t>Collection of ideas for solutions in working groups on the problem ideas collected previously</w:t>
            </w:r>
          </w:p>
        </w:tc>
      </w:tr>
      <w:tr w:rsidR="00E56BF7" w14:paraId="6BFD262C" w14:textId="77777777" w:rsidTr="00B962BC">
        <w:tc>
          <w:tcPr>
            <w:tcW w:w="985" w:type="dxa"/>
            <w:shd w:val="clear" w:color="auto" w:fill="auto"/>
          </w:tcPr>
          <w:p w14:paraId="505C545F" w14:textId="77777777" w:rsidR="00E56BF7" w:rsidRDefault="00E56BF7" w:rsidP="00B962BC">
            <w:pPr>
              <w:pStyle w:val="TableContents"/>
              <w:rPr>
                <w:lang w:val="en-GB"/>
              </w:rPr>
            </w:pPr>
          </w:p>
        </w:tc>
        <w:tc>
          <w:tcPr>
            <w:tcW w:w="2346" w:type="dxa"/>
            <w:shd w:val="clear" w:color="auto" w:fill="auto"/>
          </w:tcPr>
          <w:p w14:paraId="011DABBD" w14:textId="77777777" w:rsidR="00E56BF7" w:rsidRDefault="00E56BF7" w:rsidP="00B962BC">
            <w:pPr>
              <w:pStyle w:val="TableContents"/>
              <w:rPr>
                <w:lang w:val="en-GB"/>
              </w:rPr>
            </w:pPr>
          </w:p>
        </w:tc>
        <w:tc>
          <w:tcPr>
            <w:tcW w:w="6470" w:type="dxa"/>
            <w:vMerge/>
            <w:shd w:val="clear" w:color="auto" w:fill="auto"/>
          </w:tcPr>
          <w:p w14:paraId="6A52225C" w14:textId="77777777" w:rsidR="00E56BF7" w:rsidRDefault="00E56BF7" w:rsidP="00B962BC">
            <w:pPr>
              <w:pStyle w:val="TableContents"/>
              <w:rPr>
                <w:i/>
                <w:iCs/>
                <w:lang w:val="en-GB"/>
              </w:rPr>
            </w:pPr>
          </w:p>
        </w:tc>
      </w:tr>
      <w:tr w:rsidR="00E56BF7" w14:paraId="2F92B7C9" w14:textId="77777777" w:rsidTr="00B962BC">
        <w:tc>
          <w:tcPr>
            <w:tcW w:w="985" w:type="dxa"/>
            <w:shd w:val="clear" w:color="auto" w:fill="auto"/>
          </w:tcPr>
          <w:p w14:paraId="69AE49DD" w14:textId="77777777" w:rsidR="00E56BF7" w:rsidRDefault="00E56BF7" w:rsidP="00B962BC">
            <w:pPr>
              <w:pStyle w:val="TableContents"/>
              <w:shd w:val="clear" w:color="auto" w:fill="59C5C7"/>
              <w:rPr>
                <w:lang w:val="en-GB"/>
              </w:rPr>
            </w:pPr>
          </w:p>
        </w:tc>
        <w:tc>
          <w:tcPr>
            <w:tcW w:w="2346" w:type="dxa"/>
            <w:shd w:val="clear" w:color="auto" w:fill="auto"/>
          </w:tcPr>
          <w:p w14:paraId="5E548211" w14:textId="77777777" w:rsidR="00E56BF7" w:rsidRDefault="00E56BF7" w:rsidP="00B962BC">
            <w:pPr>
              <w:pStyle w:val="TableContents"/>
              <w:rPr>
                <w:lang w:val="en-GB"/>
              </w:rPr>
            </w:pPr>
            <w:r>
              <w:rPr>
                <w:lang w:val="en-GB"/>
              </w:rPr>
              <w:t>Documentation</w:t>
            </w:r>
          </w:p>
        </w:tc>
        <w:tc>
          <w:tcPr>
            <w:tcW w:w="6470" w:type="dxa"/>
            <w:vMerge w:val="restart"/>
            <w:shd w:val="clear" w:color="auto" w:fill="auto"/>
          </w:tcPr>
          <w:p w14:paraId="6B0EBDC2" w14:textId="77777777" w:rsidR="00E56BF7" w:rsidRDefault="00E56BF7" w:rsidP="00B962BC">
            <w:pPr>
              <w:rPr>
                <w:i/>
                <w:iCs/>
              </w:rPr>
            </w:pPr>
            <w:r>
              <w:rPr>
                <w:i/>
                <w:iCs/>
              </w:rPr>
              <w:t>Documentation of technical progress as well as important suggestions, questions and issues raised during the workshop for subsequent preparation into an output document by the workshop participants.</w:t>
            </w:r>
          </w:p>
        </w:tc>
      </w:tr>
      <w:tr w:rsidR="00E56BF7" w14:paraId="48031AC4" w14:textId="77777777" w:rsidTr="00B962BC">
        <w:tc>
          <w:tcPr>
            <w:tcW w:w="985" w:type="dxa"/>
            <w:shd w:val="clear" w:color="auto" w:fill="auto"/>
          </w:tcPr>
          <w:p w14:paraId="2AA15AAF" w14:textId="77777777" w:rsidR="00E56BF7" w:rsidRDefault="00E56BF7" w:rsidP="00B962BC">
            <w:pPr>
              <w:pStyle w:val="TableContents"/>
              <w:rPr>
                <w:lang w:val="en-GB"/>
              </w:rPr>
            </w:pPr>
          </w:p>
        </w:tc>
        <w:tc>
          <w:tcPr>
            <w:tcW w:w="2346" w:type="dxa"/>
            <w:shd w:val="clear" w:color="auto" w:fill="auto"/>
          </w:tcPr>
          <w:p w14:paraId="0B20BC0D" w14:textId="77777777" w:rsidR="00E56BF7" w:rsidRDefault="00E56BF7" w:rsidP="00B962BC">
            <w:pPr>
              <w:pStyle w:val="TableContents"/>
              <w:rPr>
                <w:lang w:val="en-GB"/>
              </w:rPr>
            </w:pPr>
          </w:p>
        </w:tc>
        <w:tc>
          <w:tcPr>
            <w:tcW w:w="6470" w:type="dxa"/>
            <w:vMerge/>
            <w:shd w:val="clear" w:color="auto" w:fill="auto"/>
          </w:tcPr>
          <w:p w14:paraId="01DAF559" w14:textId="77777777" w:rsidR="00E56BF7" w:rsidRDefault="00E56BF7" w:rsidP="00B962BC">
            <w:pPr>
              <w:rPr>
                <w:i/>
                <w:iCs/>
              </w:rPr>
            </w:pPr>
          </w:p>
        </w:tc>
      </w:tr>
    </w:tbl>
    <w:p w14:paraId="3A26BD54" w14:textId="77777777" w:rsidR="00E56BF7" w:rsidRDefault="00E56BF7" w:rsidP="00E56BF7">
      <w:pPr>
        <w:jc w:val="center"/>
      </w:pPr>
    </w:p>
    <w:tbl>
      <w:tblPr>
        <w:tblW w:w="4766" w:type="dxa"/>
        <w:jc w:val="center"/>
        <w:tblBorders>
          <w:top w:val="single" w:sz="2" w:space="0" w:color="000000"/>
          <w:left w:val="single" w:sz="2" w:space="0" w:color="000000"/>
          <w:bottom w:val="single" w:sz="2" w:space="0" w:color="000000"/>
          <w:insideH w:val="single" w:sz="2" w:space="0" w:color="000000"/>
        </w:tblBorders>
        <w:tblCellMar>
          <w:top w:w="55" w:type="dxa"/>
          <w:left w:w="49" w:type="dxa"/>
          <w:bottom w:w="55" w:type="dxa"/>
          <w:right w:w="55" w:type="dxa"/>
        </w:tblCellMar>
        <w:tblLook w:val="0000" w:firstRow="0" w:lastRow="0" w:firstColumn="0" w:lastColumn="0" w:noHBand="0" w:noVBand="0"/>
      </w:tblPr>
      <w:tblGrid>
        <w:gridCol w:w="795"/>
        <w:gridCol w:w="794"/>
        <w:gridCol w:w="794"/>
        <w:gridCol w:w="795"/>
        <w:gridCol w:w="794"/>
        <w:gridCol w:w="794"/>
      </w:tblGrid>
      <w:tr w:rsidR="00E56BF7" w14:paraId="5D68D409" w14:textId="77777777" w:rsidTr="00B962BC">
        <w:trPr>
          <w:jc w:val="center"/>
        </w:trPr>
        <w:tc>
          <w:tcPr>
            <w:tcW w:w="1588" w:type="dxa"/>
            <w:gridSpan w:val="2"/>
            <w:tcBorders>
              <w:top w:val="nil"/>
              <w:left w:val="nil"/>
              <w:bottom w:val="single" w:sz="2" w:space="0" w:color="000000"/>
            </w:tcBorders>
            <w:shd w:val="clear" w:color="auto" w:fill="auto"/>
          </w:tcPr>
          <w:p w14:paraId="7B3A0E1D" w14:textId="77777777" w:rsidR="00E56BF7" w:rsidRDefault="00E56BF7" w:rsidP="00B962BC">
            <w:pPr>
              <w:pStyle w:val="TableContents"/>
              <w:rPr>
                <w:lang w:val="en-GB"/>
              </w:rPr>
            </w:pPr>
          </w:p>
        </w:tc>
        <w:tc>
          <w:tcPr>
            <w:tcW w:w="1589" w:type="dxa"/>
            <w:gridSpan w:val="2"/>
            <w:tcBorders>
              <w:top w:val="single" w:sz="2" w:space="0" w:color="000000"/>
              <w:left w:val="single" w:sz="2" w:space="0" w:color="000000"/>
              <w:bottom w:val="single" w:sz="2" w:space="0" w:color="000000"/>
            </w:tcBorders>
            <w:shd w:val="clear" w:color="auto" w:fill="auto"/>
          </w:tcPr>
          <w:p w14:paraId="7D3C5D20" w14:textId="77777777" w:rsidR="00E56BF7" w:rsidRDefault="00E56BF7" w:rsidP="00B962BC">
            <w:pPr>
              <w:pStyle w:val="TableContents"/>
              <w:jc w:val="center"/>
              <w:rPr>
                <w:b/>
                <w:bCs/>
                <w:lang w:val="en-GB"/>
              </w:rPr>
            </w:pPr>
            <w:r>
              <w:rPr>
                <w:b/>
                <w:bCs/>
                <w:lang w:val="en-GB"/>
              </w:rPr>
              <w:t>Day 1</w:t>
            </w:r>
          </w:p>
        </w:tc>
        <w:tc>
          <w:tcPr>
            <w:tcW w:w="1588" w:type="dxa"/>
            <w:gridSpan w:val="2"/>
            <w:tcBorders>
              <w:top w:val="single" w:sz="2" w:space="0" w:color="000000"/>
              <w:left w:val="single" w:sz="2" w:space="0" w:color="000000"/>
              <w:bottom w:val="single" w:sz="2" w:space="0" w:color="000000"/>
              <w:right w:val="single" w:sz="2" w:space="0" w:color="000000"/>
            </w:tcBorders>
            <w:shd w:val="clear" w:color="auto" w:fill="auto"/>
          </w:tcPr>
          <w:p w14:paraId="0FCD98BA" w14:textId="77777777" w:rsidR="00E56BF7" w:rsidRDefault="00E56BF7" w:rsidP="00B962BC">
            <w:pPr>
              <w:pStyle w:val="TableContents"/>
              <w:jc w:val="center"/>
              <w:rPr>
                <w:b/>
                <w:bCs/>
                <w:lang w:val="en-GB"/>
              </w:rPr>
            </w:pPr>
            <w:r>
              <w:rPr>
                <w:b/>
                <w:bCs/>
                <w:lang w:val="en-GB"/>
              </w:rPr>
              <w:t>Day 2</w:t>
            </w:r>
          </w:p>
        </w:tc>
      </w:tr>
      <w:tr w:rsidR="00E56BF7" w14:paraId="69D1020D" w14:textId="77777777" w:rsidTr="00B962BC">
        <w:trPr>
          <w:jc w:val="center"/>
        </w:trPr>
        <w:tc>
          <w:tcPr>
            <w:tcW w:w="794" w:type="dxa"/>
            <w:vMerge w:val="restart"/>
            <w:tcBorders>
              <w:top w:val="single" w:sz="2" w:space="0" w:color="000000"/>
              <w:left w:val="single" w:sz="2" w:space="0" w:color="000000"/>
              <w:bottom w:val="single" w:sz="2" w:space="0" w:color="000000"/>
            </w:tcBorders>
            <w:shd w:val="clear" w:color="auto" w:fill="auto"/>
            <w:textDirection w:val="btLr"/>
            <w:vAlign w:val="center"/>
          </w:tcPr>
          <w:p w14:paraId="199B4D84" w14:textId="77777777" w:rsidR="00E56BF7" w:rsidRDefault="00E56BF7" w:rsidP="00B962BC">
            <w:pPr>
              <w:pStyle w:val="TableContents"/>
              <w:ind w:left="113" w:right="113"/>
              <w:jc w:val="center"/>
              <w:rPr>
                <w:b/>
                <w:bCs/>
                <w:lang w:val="en-GB"/>
              </w:rPr>
            </w:pPr>
            <w:r>
              <w:rPr>
                <w:b/>
                <w:bCs/>
                <w:lang w:val="en-GB"/>
              </w:rPr>
              <w:t>Activities</w:t>
            </w:r>
          </w:p>
        </w:tc>
        <w:tc>
          <w:tcPr>
            <w:tcW w:w="794" w:type="dxa"/>
            <w:tcBorders>
              <w:top w:val="single" w:sz="2" w:space="0" w:color="000000"/>
              <w:left w:val="single" w:sz="2" w:space="0" w:color="000000"/>
              <w:bottom w:val="single" w:sz="2" w:space="0" w:color="000000"/>
            </w:tcBorders>
            <w:shd w:val="clear" w:color="auto" w:fill="auto"/>
          </w:tcPr>
          <w:p w14:paraId="75F9782C" w14:textId="77777777" w:rsidR="00E56BF7" w:rsidRPr="008E2C94" w:rsidRDefault="00E56BF7" w:rsidP="00B962BC">
            <w:pPr>
              <w:pStyle w:val="TableContents"/>
              <w:rPr>
                <w:sz w:val="22"/>
                <w:szCs w:val="22"/>
                <w:lang w:val="en-GB"/>
              </w:rPr>
            </w:pPr>
            <w:r w:rsidRPr="008E2C94">
              <w:rPr>
                <w:sz w:val="22"/>
                <w:szCs w:val="22"/>
                <w:lang w:val="en-GB"/>
              </w:rPr>
              <w:t>1</w:t>
            </w:r>
          </w:p>
        </w:tc>
        <w:tc>
          <w:tcPr>
            <w:tcW w:w="794" w:type="dxa"/>
            <w:tcBorders>
              <w:top w:val="single" w:sz="4" w:space="0" w:color="000000"/>
              <w:left w:val="single" w:sz="4" w:space="0" w:color="000000"/>
              <w:bottom w:val="single" w:sz="4" w:space="0" w:color="000000"/>
            </w:tcBorders>
            <w:shd w:val="clear" w:color="auto" w:fill="FFF685"/>
          </w:tcPr>
          <w:p w14:paraId="7E842B2A" w14:textId="77777777" w:rsidR="00E56BF7" w:rsidRPr="008E2C94" w:rsidRDefault="00E56BF7" w:rsidP="00B962BC">
            <w:pPr>
              <w:pStyle w:val="TableContents"/>
              <w:shd w:val="clear" w:color="auto" w:fill="FFF685"/>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2F78DBC7" w14:textId="77777777" w:rsidR="00E56BF7" w:rsidRPr="008E2C94" w:rsidRDefault="00E56BF7" w:rsidP="00B962BC">
            <w:pPr>
              <w:pStyle w:val="TableContents"/>
              <w:shd w:val="clear" w:color="auto" w:fill="59C5C7"/>
              <w:rPr>
                <w:sz w:val="22"/>
                <w:szCs w:val="22"/>
                <w:lang w:val="en-GB"/>
              </w:rPr>
            </w:pPr>
          </w:p>
        </w:tc>
        <w:tc>
          <w:tcPr>
            <w:tcW w:w="794" w:type="dxa"/>
            <w:tcBorders>
              <w:top w:val="single" w:sz="4" w:space="0" w:color="000000"/>
              <w:left w:val="single" w:sz="4" w:space="0" w:color="000000"/>
              <w:bottom w:val="single" w:sz="4" w:space="0" w:color="000000"/>
            </w:tcBorders>
            <w:shd w:val="clear" w:color="auto" w:fill="FFF685"/>
          </w:tcPr>
          <w:p w14:paraId="4A941BF6" w14:textId="77777777" w:rsidR="00E56BF7" w:rsidRPr="008E2C94" w:rsidRDefault="00E56BF7" w:rsidP="00B962BC">
            <w:pPr>
              <w:pStyle w:val="TableContents"/>
              <w:shd w:val="clear" w:color="auto" w:fill="FFF685"/>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2F018ED3" w14:textId="77777777" w:rsidR="00E56BF7" w:rsidRPr="008E2C94" w:rsidRDefault="00E56BF7" w:rsidP="00B962BC">
            <w:pPr>
              <w:pStyle w:val="TableContents"/>
              <w:shd w:val="clear" w:color="auto" w:fill="59C5C7"/>
              <w:rPr>
                <w:sz w:val="22"/>
                <w:szCs w:val="22"/>
                <w:lang w:val="en-GB"/>
              </w:rPr>
            </w:pPr>
          </w:p>
        </w:tc>
      </w:tr>
      <w:tr w:rsidR="00E56BF7" w14:paraId="3AAB8866"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12489EEB"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070549F5" w14:textId="77777777" w:rsidR="00E56BF7" w:rsidRPr="008E2C94" w:rsidRDefault="00E56BF7" w:rsidP="00B962BC">
            <w:pPr>
              <w:pStyle w:val="TableContents"/>
              <w:rPr>
                <w:sz w:val="22"/>
                <w:szCs w:val="22"/>
                <w:lang w:val="en-GB"/>
              </w:rPr>
            </w:pPr>
            <w:r w:rsidRPr="008E2C94">
              <w:rPr>
                <w:sz w:val="22"/>
                <w:szCs w:val="22"/>
                <w:lang w:val="en-GB"/>
              </w:rPr>
              <w:t>2.a</w:t>
            </w:r>
          </w:p>
        </w:tc>
        <w:tc>
          <w:tcPr>
            <w:tcW w:w="794" w:type="dxa"/>
            <w:tcBorders>
              <w:top w:val="single" w:sz="4" w:space="0" w:color="000000"/>
              <w:left w:val="single" w:sz="4" w:space="0" w:color="000000"/>
              <w:bottom w:val="single" w:sz="4" w:space="0" w:color="000000"/>
            </w:tcBorders>
            <w:shd w:val="clear" w:color="auto" w:fill="F68E76"/>
          </w:tcPr>
          <w:p w14:paraId="70F2F266"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334A2E50"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3FDF8542"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7D0818C7" w14:textId="77777777" w:rsidR="00E56BF7" w:rsidRPr="008E2C94" w:rsidRDefault="00E56BF7" w:rsidP="00B962BC">
            <w:pPr>
              <w:pStyle w:val="TableContents"/>
              <w:rPr>
                <w:sz w:val="22"/>
                <w:szCs w:val="22"/>
                <w:lang w:val="en-GB"/>
              </w:rPr>
            </w:pPr>
          </w:p>
        </w:tc>
      </w:tr>
      <w:tr w:rsidR="00E56BF7" w14:paraId="759D9121"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619C7F81"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4BD45885" w14:textId="77777777" w:rsidR="00E56BF7" w:rsidRPr="008E2C94" w:rsidRDefault="00E56BF7" w:rsidP="00B962BC">
            <w:pPr>
              <w:pStyle w:val="TableContents"/>
              <w:rPr>
                <w:sz w:val="22"/>
                <w:szCs w:val="22"/>
                <w:lang w:val="en-GB"/>
              </w:rPr>
            </w:pPr>
            <w:r w:rsidRPr="008E2C94">
              <w:rPr>
                <w:sz w:val="22"/>
                <w:szCs w:val="22"/>
                <w:lang w:val="en-GB"/>
              </w:rPr>
              <w:t>2.b</w:t>
            </w:r>
          </w:p>
        </w:tc>
        <w:tc>
          <w:tcPr>
            <w:tcW w:w="794" w:type="dxa"/>
            <w:tcBorders>
              <w:top w:val="single" w:sz="4" w:space="0" w:color="000000"/>
              <w:left w:val="single" w:sz="4" w:space="0" w:color="000000"/>
              <w:bottom w:val="single" w:sz="4" w:space="0" w:color="000000"/>
            </w:tcBorders>
            <w:shd w:val="clear" w:color="auto" w:fill="F68E76"/>
          </w:tcPr>
          <w:p w14:paraId="2C54CC4C"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4C2E3B40"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24A3F692"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4136FD3B" w14:textId="77777777" w:rsidR="00E56BF7" w:rsidRPr="008E2C94" w:rsidRDefault="00E56BF7" w:rsidP="00B962BC">
            <w:pPr>
              <w:pStyle w:val="TableContents"/>
              <w:rPr>
                <w:sz w:val="22"/>
                <w:szCs w:val="22"/>
                <w:lang w:val="en-GB"/>
              </w:rPr>
            </w:pPr>
          </w:p>
        </w:tc>
      </w:tr>
      <w:tr w:rsidR="00E56BF7" w14:paraId="3C99A6EF"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38D590E1"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7423E52C" w14:textId="77777777" w:rsidR="00E56BF7" w:rsidRPr="008E2C94" w:rsidRDefault="00E56BF7" w:rsidP="00B962BC">
            <w:pPr>
              <w:pStyle w:val="TableContents"/>
              <w:rPr>
                <w:sz w:val="22"/>
                <w:szCs w:val="22"/>
                <w:lang w:val="en-GB"/>
              </w:rPr>
            </w:pPr>
            <w:r w:rsidRPr="008E2C94">
              <w:rPr>
                <w:sz w:val="22"/>
                <w:szCs w:val="22"/>
                <w:lang w:val="en-GB"/>
              </w:rPr>
              <w:t>2.c</w:t>
            </w:r>
          </w:p>
        </w:tc>
        <w:tc>
          <w:tcPr>
            <w:tcW w:w="794" w:type="dxa"/>
            <w:tcBorders>
              <w:top w:val="single" w:sz="4" w:space="0" w:color="000000"/>
              <w:left w:val="single" w:sz="4" w:space="0" w:color="000000"/>
              <w:bottom w:val="single" w:sz="4" w:space="0" w:color="000000"/>
            </w:tcBorders>
            <w:shd w:val="clear" w:color="auto" w:fill="F68E76"/>
          </w:tcPr>
          <w:p w14:paraId="201BB63B"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622AC8FA"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1E6D0CF8"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58973A05" w14:textId="77777777" w:rsidR="00E56BF7" w:rsidRPr="008E2C94" w:rsidRDefault="00E56BF7" w:rsidP="00B962BC">
            <w:pPr>
              <w:pStyle w:val="TableContents"/>
              <w:rPr>
                <w:sz w:val="22"/>
                <w:szCs w:val="22"/>
                <w:lang w:val="en-GB"/>
              </w:rPr>
            </w:pPr>
          </w:p>
        </w:tc>
      </w:tr>
      <w:tr w:rsidR="00E56BF7" w14:paraId="0EEA3AC6"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6DA605D9"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153B4CAC" w14:textId="77777777" w:rsidR="00E56BF7" w:rsidRPr="008E2C94" w:rsidRDefault="00E56BF7" w:rsidP="00B962BC">
            <w:pPr>
              <w:pStyle w:val="TableContents"/>
              <w:rPr>
                <w:sz w:val="22"/>
                <w:szCs w:val="22"/>
                <w:lang w:val="en-GB"/>
              </w:rPr>
            </w:pPr>
            <w:r w:rsidRPr="008E2C94">
              <w:rPr>
                <w:sz w:val="22"/>
                <w:szCs w:val="22"/>
                <w:lang w:val="en-GB"/>
              </w:rPr>
              <w:t>3.a.i</w:t>
            </w:r>
          </w:p>
        </w:tc>
        <w:tc>
          <w:tcPr>
            <w:tcW w:w="794" w:type="dxa"/>
            <w:tcBorders>
              <w:top w:val="single" w:sz="4" w:space="0" w:color="000000"/>
              <w:left w:val="single" w:sz="4" w:space="0" w:color="000000"/>
              <w:bottom w:val="single" w:sz="4" w:space="0" w:color="000000"/>
            </w:tcBorders>
            <w:shd w:val="clear" w:color="auto" w:fill="F68E76"/>
          </w:tcPr>
          <w:p w14:paraId="1EF91942"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554ACA59"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31419C36"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3D12A254" w14:textId="77777777" w:rsidR="00E56BF7" w:rsidRPr="008E2C94" w:rsidRDefault="00E56BF7" w:rsidP="00B962BC">
            <w:pPr>
              <w:pStyle w:val="TableContents"/>
              <w:rPr>
                <w:sz w:val="22"/>
                <w:szCs w:val="22"/>
                <w:lang w:val="en-GB"/>
              </w:rPr>
            </w:pPr>
          </w:p>
        </w:tc>
      </w:tr>
      <w:tr w:rsidR="00E56BF7" w14:paraId="23DDDBDE"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4ADD71A1"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2C5D1411" w14:textId="77777777" w:rsidR="00E56BF7" w:rsidRPr="008E2C94" w:rsidRDefault="00E56BF7" w:rsidP="00B962BC">
            <w:pPr>
              <w:pStyle w:val="TableContents"/>
              <w:rPr>
                <w:sz w:val="22"/>
                <w:szCs w:val="22"/>
                <w:lang w:val="en-GB"/>
              </w:rPr>
            </w:pPr>
            <w:r w:rsidRPr="008E2C94">
              <w:rPr>
                <w:sz w:val="22"/>
                <w:szCs w:val="22"/>
                <w:lang w:val="en-GB"/>
              </w:rPr>
              <w:t>3.a.ii</w:t>
            </w:r>
          </w:p>
        </w:tc>
        <w:tc>
          <w:tcPr>
            <w:tcW w:w="794" w:type="dxa"/>
            <w:tcBorders>
              <w:top w:val="single" w:sz="4" w:space="0" w:color="000000"/>
              <w:left w:val="single" w:sz="4" w:space="0" w:color="000000"/>
              <w:bottom w:val="single" w:sz="4" w:space="0" w:color="000000"/>
            </w:tcBorders>
            <w:shd w:val="clear" w:color="auto" w:fill="F68E76"/>
          </w:tcPr>
          <w:p w14:paraId="09D79D35"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2FB6A33E"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0CA142B7"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21891B02" w14:textId="77777777" w:rsidR="00E56BF7" w:rsidRPr="008E2C94" w:rsidRDefault="00E56BF7" w:rsidP="00B962BC">
            <w:pPr>
              <w:pStyle w:val="TableContents"/>
              <w:rPr>
                <w:sz w:val="22"/>
                <w:szCs w:val="22"/>
                <w:lang w:val="en-GB"/>
              </w:rPr>
            </w:pPr>
          </w:p>
        </w:tc>
      </w:tr>
      <w:tr w:rsidR="00E56BF7" w14:paraId="396C60AD"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114899B6"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293D883A" w14:textId="77777777" w:rsidR="00E56BF7" w:rsidRPr="008E2C94" w:rsidRDefault="00E56BF7" w:rsidP="00B962BC">
            <w:pPr>
              <w:pStyle w:val="TableContents"/>
              <w:rPr>
                <w:sz w:val="22"/>
                <w:szCs w:val="22"/>
                <w:lang w:val="en-GB"/>
              </w:rPr>
            </w:pPr>
            <w:bookmarkStart w:id="11" w:name="__DdeLink__279_3071898657"/>
            <w:r w:rsidRPr="008E2C94">
              <w:rPr>
                <w:sz w:val="22"/>
                <w:szCs w:val="22"/>
                <w:lang w:val="en-GB"/>
              </w:rPr>
              <w:t>3.a.iii</w:t>
            </w:r>
            <w:bookmarkEnd w:id="11"/>
          </w:p>
        </w:tc>
        <w:tc>
          <w:tcPr>
            <w:tcW w:w="794" w:type="dxa"/>
            <w:tcBorders>
              <w:top w:val="single" w:sz="4" w:space="0" w:color="000000"/>
              <w:left w:val="single" w:sz="4" w:space="0" w:color="000000"/>
              <w:bottom w:val="single" w:sz="4" w:space="0" w:color="000000"/>
            </w:tcBorders>
            <w:shd w:val="clear" w:color="auto" w:fill="F68E76"/>
          </w:tcPr>
          <w:p w14:paraId="389FD9E2"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67769182"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4AB92355"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3B8D5E6D" w14:textId="77777777" w:rsidR="00E56BF7" w:rsidRPr="008E2C94" w:rsidRDefault="00E56BF7" w:rsidP="00B962BC">
            <w:pPr>
              <w:pStyle w:val="TableContents"/>
              <w:rPr>
                <w:sz w:val="22"/>
                <w:szCs w:val="22"/>
                <w:lang w:val="en-GB"/>
              </w:rPr>
            </w:pPr>
          </w:p>
        </w:tc>
      </w:tr>
      <w:tr w:rsidR="00E56BF7" w14:paraId="27F8B277"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0DC5A7F7"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72C95D68" w14:textId="77777777" w:rsidR="00E56BF7" w:rsidRPr="008E2C94" w:rsidRDefault="00E56BF7" w:rsidP="00B962BC">
            <w:pPr>
              <w:pStyle w:val="TableContents"/>
              <w:rPr>
                <w:sz w:val="22"/>
                <w:szCs w:val="22"/>
                <w:lang w:val="en-GB"/>
              </w:rPr>
            </w:pPr>
            <w:r w:rsidRPr="008E2C94">
              <w:rPr>
                <w:sz w:val="22"/>
                <w:szCs w:val="22"/>
                <w:lang w:val="en-GB"/>
              </w:rPr>
              <w:t>3.a.iv</w:t>
            </w:r>
          </w:p>
        </w:tc>
        <w:tc>
          <w:tcPr>
            <w:tcW w:w="794" w:type="dxa"/>
            <w:tcBorders>
              <w:top w:val="single" w:sz="4" w:space="0" w:color="000000"/>
              <w:left w:val="single" w:sz="4" w:space="0" w:color="000000"/>
              <w:bottom w:val="single" w:sz="4" w:space="0" w:color="000000"/>
            </w:tcBorders>
            <w:shd w:val="clear" w:color="auto" w:fill="F68E76"/>
          </w:tcPr>
          <w:p w14:paraId="32116534"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606450A2"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03764167"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6AB7CB21" w14:textId="77777777" w:rsidR="00E56BF7" w:rsidRPr="008E2C94" w:rsidRDefault="00E56BF7" w:rsidP="00B962BC">
            <w:pPr>
              <w:pStyle w:val="TableContents"/>
              <w:rPr>
                <w:sz w:val="22"/>
                <w:szCs w:val="22"/>
                <w:lang w:val="en-GB"/>
              </w:rPr>
            </w:pPr>
          </w:p>
        </w:tc>
      </w:tr>
      <w:tr w:rsidR="00E56BF7" w14:paraId="4D8F511E"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0AE35447"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4E24E17D" w14:textId="77777777" w:rsidR="00E56BF7" w:rsidRPr="008E2C94" w:rsidRDefault="00E56BF7" w:rsidP="00B962BC">
            <w:pPr>
              <w:pStyle w:val="TableContents"/>
              <w:rPr>
                <w:sz w:val="22"/>
                <w:szCs w:val="22"/>
                <w:lang w:val="en-GB"/>
              </w:rPr>
            </w:pPr>
            <w:r w:rsidRPr="008E2C94">
              <w:rPr>
                <w:sz w:val="22"/>
                <w:szCs w:val="22"/>
                <w:lang w:val="en-GB"/>
              </w:rPr>
              <w:t>3.a.v</w:t>
            </w:r>
          </w:p>
        </w:tc>
        <w:tc>
          <w:tcPr>
            <w:tcW w:w="794" w:type="dxa"/>
            <w:tcBorders>
              <w:top w:val="single" w:sz="4" w:space="0" w:color="000000"/>
              <w:left w:val="single" w:sz="4" w:space="0" w:color="000000"/>
              <w:bottom w:val="single" w:sz="4" w:space="0" w:color="000000"/>
            </w:tcBorders>
            <w:shd w:val="clear" w:color="auto" w:fill="F68E76"/>
          </w:tcPr>
          <w:p w14:paraId="77EB4D00"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18F5FBFA"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2FD06CC7"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69E9E8A7" w14:textId="77777777" w:rsidR="00E56BF7" w:rsidRPr="008E2C94" w:rsidRDefault="00E56BF7" w:rsidP="00B962BC">
            <w:pPr>
              <w:pStyle w:val="TableContents"/>
              <w:rPr>
                <w:sz w:val="22"/>
                <w:szCs w:val="22"/>
                <w:lang w:val="en-GB"/>
              </w:rPr>
            </w:pPr>
          </w:p>
        </w:tc>
      </w:tr>
      <w:tr w:rsidR="00E56BF7" w14:paraId="625EBA64"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0E27CECF"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283585AF" w14:textId="77777777" w:rsidR="00E56BF7" w:rsidRPr="008E2C94" w:rsidRDefault="00E56BF7" w:rsidP="00B962BC">
            <w:pPr>
              <w:pStyle w:val="TableContents"/>
              <w:rPr>
                <w:sz w:val="22"/>
                <w:szCs w:val="22"/>
                <w:lang w:val="en-GB"/>
              </w:rPr>
            </w:pPr>
            <w:r w:rsidRPr="008E2C94">
              <w:rPr>
                <w:sz w:val="22"/>
                <w:szCs w:val="22"/>
                <w:lang w:val="en-GB"/>
              </w:rPr>
              <w:t>3.a.vi</w:t>
            </w:r>
          </w:p>
        </w:tc>
        <w:tc>
          <w:tcPr>
            <w:tcW w:w="794" w:type="dxa"/>
            <w:tcBorders>
              <w:top w:val="single" w:sz="4" w:space="0" w:color="000000"/>
              <w:left w:val="single" w:sz="4" w:space="0" w:color="000000"/>
              <w:bottom w:val="single" w:sz="4" w:space="0" w:color="000000"/>
            </w:tcBorders>
            <w:shd w:val="clear" w:color="auto" w:fill="F68E76"/>
          </w:tcPr>
          <w:p w14:paraId="2856640A"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1548A8D4"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1F8194A6"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493070A8" w14:textId="77777777" w:rsidR="00E56BF7" w:rsidRPr="008E2C94" w:rsidRDefault="00E56BF7" w:rsidP="00B962BC">
            <w:pPr>
              <w:pStyle w:val="TableContents"/>
              <w:rPr>
                <w:sz w:val="22"/>
                <w:szCs w:val="22"/>
                <w:lang w:val="en-GB"/>
              </w:rPr>
            </w:pPr>
          </w:p>
        </w:tc>
      </w:tr>
      <w:tr w:rsidR="00E56BF7" w14:paraId="14879DF5"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6721749A"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098335D4" w14:textId="77777777" w:rsidR="00E56BF7" w:rsidRPr="008E2C94" w:rsidRDefault="00E56BF7" w:rsidP="00B962BC">
            <w:pPr>
              <w:pStyle w:val="TableContents"/>
              <w:rPr>
                <w:sz w:val="22"/>
                <w:szCs w:val="22"/>
                <w:lang w:val="en-GB"/>
              </w:rPr>
            </w:pPr>
            <w:r w:rsidRPr="008E2C94">
              <w:rPr>
                <w:sz w:val="22"/>
                <w:szCs w:val="22"/>
                <w:lang w:val="en-GB"/>
              </w:rPr>
              <w:t>3.a.vii</w:t>
            </w:r>
          </w:p>
        </w:tc>
        <w:tc>
          <w:tcPr>
            <w:tcW w:w="794" w:type="dxa"/>
            <w:tcBorders>
              <w:top w:val="single" w:sz="4" w:space="0" w:color="000000"/>
              <w:left w:val="single" w:sz="4" w:space="0" w:color="000000"/>
              <w:bottom w:val="single" w:sz="4" w:space="0" w:color="000000"/>
            </w:tcBorders>
            <w:shd w:val="clear" w:color="auto" w:fill="F68E76"/>
          </w:tcPr>
          <w:p w14:paraId="09B4BF7D"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7622DE19"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32AF4E0F"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0A525B5C" w14:textId="77777777" w:rsidR="00E56BF7" w:rsidRPr="008E2C94" w:rsidRDefault="00E56BF7" w:rsidP="00B962BC">
            <w:pPr>
              <w:pStyle w:val="TableContents"/>
              <w:rPr>
                <w:sz w:val="22"/>
                <w:szCs w:val="22"/>
                <w:lang w:val="en-GB"/>
              </w:rPr>
            </w:pPr>
          </w:p>
        </w:tc>
      </w:tr>
      <w:tr w:rsidR="00E56BF7" w14:paraId="4FFC6BBE"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31C3890F"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356DE21C" w14:textId="77777777" w:rsidR="00E56BF7" w:rsidRPr="008E2C94" w:rsidRDefault="00E56BF7" w:rsidP="00B962BC">
            <w:pPr>
              <w:pStyle w:val="TableContents"/>
              <w:rPr>
                <w:sz w:val="22"/>
                <w:szCs w:val="22"/>
                <w:lang w:val="en-GB"/>
              </w:rPr>
            </w:pPr>
            <w:r w:rsidRPr="008E2C94">
              <w:rPr>
                <w:sz w:val="22"/>
                <w:szCs w:val="22"/>
                <w:lang w:val="en-GB"/>
              </w:rPr>
              <w:t>3.a.viii</w:t>
            </w:r>
          </w:p>
        </w:tc>
        <w:tc>
          <w:tcPr>
            <w:tcW w:w="794" w:type="dxa"/>
            <w:tcBorders>
              <w:top w:val="single" w:sz="4" w:space="0" w:color="000000"/>
              <w:left w:val="single" w:sz="4" w:space="0" w:color="000000"/>
              <w:bottom w:val="single" w:sz="4" w:space="0" w:color="000000"/>
            </w:tcBorders>
            <w:shd w:val="clear" w:color="auto" w:fill="F68E76"/>
          </w:tcPr>
          <w:p w14:paraId="538827F5" w14:textId="77777777" w:rsidR="00E56BF7" w:rsidRPr="008E2C94" w:rsidRDefault="00E56BF7" w:rsidP="00B962BC">
            <w:pPr>
              <w:pStyle w:val="TableContents"/>
              <w:rPr>
                <w:sz w:val="22"/>
                <w:szCs w:val="22"/>
                <w:lang w:val="en-GB"/>
              </w:rPr>
            </w:pPr>
          </w:p>
        </w:tc>
        <w:tc>
          <w:tcPr>
            <w:tcW w:w="795" w:type="dxa"/>
            <w:tcBorders>
              <w:top w:val="single" w:sz="4" w:space="0" w:color="000000"/>
              <w:left w:val="single" w:sz="4" w:space="0" w:color="000000"/>
              <w:bottom w:val="single" w:sz="4" w:space="0" w:color="000000"/>
              <w:right w:val="single" w:sz="4" w:space="0" w:color="000000"/>
            </w:tcBorders>
            <w:shd w:val="clear" w:color="auto" w:fill="59C5C7"/>
          </w:tcPr>
          <w:p w14:paraId="2971CF67"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tcBorders>
            <w:shd w:val="clear" w:color="auto" w:fill="65C295"/>
          </w:tcPr>
          <w:p w14:paraId="0E2E5D64" w14:textId="77777777" w:rsidR="00E56BF7" w:rsidRPr="008E2C94" w:rsidRDefault="00E56BF7" w:rsidP="00B962BC">
            <w:pPr>
              <w:pStyle w:val="TableContents"/>
              <w:rPr>
                <w:sz w:val="22"/>
                <w:szCs w:val="22"/>
                <w:lang w:val="en-GB"/>
              </w:rPr>
            </w:pPr>
          </w:p>
        </w:tc>
        <w:tc>
          <w:tcPr>
            <w:tcW w:w="794" w:type="dxa"/>
            <w:tcBorders>
              <w:top w:val="single" w:sz="4" w:space="0" w:color="000000"/>
              <w:left w:val="single" w:sz="4" w:space="0" w:color="000000"/>
              <w:bottom w:val="single" w:sz="4" w:space="0" w:color="000000"/>
              <w:right w:val="single" w:sz="4" w:space="0" w:color="000000"/>
            </w:tcBorders>
            <w:shd w:val="clear" w:color="auto" w:fill="59C5C7"/>
          </w:tcPr>
          <w:p w14:paraId="23C176EF" w14:textId="77777777" w:rsidR="00E56BF7" w:rsidRPr="008E2C94" w:rsidRDefault="00E56BF7" w:rsidP="00B962BC">
            <w:pPr>
              <w:pStyle w:val="TableContents"/>
              <w:rPr>
                <w:sz w:val="22"/>
                <w:szCs w:val="22"/>
                <w:lang w:val="en-GB"/>
              </w:rPr>
            </w:pPr>
          </w:p>
        </w:tc>
      </w:tr>
      <w:tr w:rsidR="00E56BF7" w14:paraId="39311D09"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21BE255A"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16ABB28F" w14:textId="77777777" w:rsidR="00E56BF7" w:rsidRPr="008E2C94" w:rsidRDefault="00E56BF7" w:rsidP="00B962BC">
            <w:pPr>
              <w:pStyle w:val="TableContents"/>
              <w:rPr>
                <w:sz w:val="22"/>
                <w:szCs w:val="22"/>
                <w:lang w:val="en-GB"/>
              </w:rPr>
            </w:pPr>
            <w:r w:rsidRPr="008E2C94">
              <w:rPr>
                <w:sz w:val="22"/>
                <w:szCs w:val="22"/>
                <w:lang w:val="en-GB"/>
              </w:rPr>
              <w:t>3.b.i</w:t>
            </w:r>
          </w:p>
        </w:tc>
        <w:tc>
          <w:tcPr>
            <w:tcW w:w="794" w:type="dxa"/>
            <w:tcBorders>
              <w:top w:val="single" w:sz="2" w:space="0" w:color="000000"/>
              <w:left w:val="single" w:sz="4" w:space="0" w:color="000000"/>
              <w:bottom w:val="single" w:sz="2" w:space="0" w:color="000000"/>
            </w:tcBorders>
            <w:shd w:val="clear" w:color="auto" w:fill="F68E76"/>
          </w:tcPr>
          <w:p w14:paraId="53EDC8A7" w14:textId="77777777" w:rsidR="00E56BF7" w:rsidRPr="008E2C94" w:rsidRDefault="00E56BF7" w:rsidP="00B962BC">
            <w:pPr>
              <w:pStyle w:val="TableContents"/>
              <w:rPr>
                <w:sz w:val="22"/>
                <w:szCs w:val="22"/>
                <w:lang w:val="en-GB"/>
              </w:rPr>
            </w:pPr>
          </w:p>
        </w:tc>
        <w:tc>
          <w:tcPr>
            <w:tcW w:w="795" w:type="dxa"/>
            <w:tcBorders>
              <w:top w:val="single" w:sz="2" w:space="0" w:color="000000"/>
              <w:left w:val="single" w:sz="4" w:space="0" w:color="000000"/>
              <w:bottom w:val="single" w:sz="2" w:space="0" w:color="000000"/>
              <w:right w:val="single" w:sz="4" w:space="0" w:color="000000"/>
            </w:tcBorders>
            <w:shd w:val="clear" w:color="auto" w:fill="59C5C7"/>
          </w:tcPr>
          <w:p w14:paraId="64378B0D"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tcBorders>
            <w:shd w:val="clear" w:color="auto" w:fill="65C295"/>
          </w:tcPr>
          <w:p w14:paraId="41DE7080"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right w:val="single" w:sz="4" w:space="0" w:color="000000"/>
            </w:tcBorders>
            <w:shd w:val="clear" w:color="auto" w:fill="59C5C7"/>
          </w:tcPr>
          <w:p w14:paraId="0D8EC53B" w14:textId="77777777" w:rsidR="00E56BF7" w:rsidRPr="008E2C94" w:rsidRDefault="00E56BF7" w:rsidP="00B962BC">
            <w:pPr>
              <w:pStyle w:val="TableContents"/>
              <w:rPr>
                <w:sz w:val="22"/>
                <w:szCs w:val="22"/>
                <w:lang w:val="en-GB"/>
              </w:rPr>
            </w:pPr>
          </w:p>
        </w:tc>
      </w:tr>
      <w:tr w:rsidR="00E56BF7" w14:paraId="3A8C5426"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2C33A961"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54F5B02D" w14:textId="77777777" w:rsidR="00E56BF7" w:rsidRPr="008E2C94" w:rsidRDefault="00E56BF7" w:rsidP="00B962BC">
            <w:pPr>
              <w:pStyle w:val="TableContents"/>
              <w:rPr>
                <w:sz w:val="22"/>
                <w:szCs w:val="22"/>
                <w:lang w:val="en-GB"/>
              </w:rPr>
            </w:pPr>
            <w:r w:rsidRPr="008E2C94">
              <w:rPr>
                <w:sz w:val="22"/>
                <w:szCs w:val="22"/>
                <w:lang w:val="en-GB"/>
              </w:rPr>
              <w:t>3.b.ii</w:t>
            </w:r>
          </w:p>
        </w:tc>
        <w:tc>
          <w:tcPr>
            <w:tcW w:w="794" w:type="dxa"/>
            <w:tcBorders>
              <w:top w:val="single" w:sz="2" w:space="0" w:color="000000"/>
              <w:left w:val="single" w:sz="4" w:space="0" w:color="000000"/>
              <w:bottom w:val="single" w:sz="2" w:space="0" w:color="000000"/>
            </w:tcBorders>
            <w:shd w:val="clear" w:color="auto" w:fill="F68E76"/>
          </w:tcPr>
          <w:p w14:paraId="70748231" w14:textId="77777777" w:rsidR="00E56BF7" w:rsidRPr="008E2C94" w:rsidRDefault="00E56BF7" w:rsidP="00B962BC">
            <w:pPr>
              <w:pStyle w:val="TableContents"/>
              <w:rPr>
                <w:sz w:val="22"/>
                <w:szCs w:val="22"/>
                <w:lang w:val="en-GB"/>
              </w:rPr>
            </w:pPr>
          </w:p>
        </w:tc>
        <w:tc>
          <w:tcPr>
            <w:tcW w:w="795" w:type="dxa"/>
            <w:tcBorders>
              <w:top w:val="single" w:sz="2" w:space="0" w:color="000000"/>
              <w:left w:val="single" w:sz="4" w:space="0" w:color="000000"/>
              <w:bottom w:val="single" w:sz="2" w:space="0" w:color="000000"/>
              <w:right w:val="single" w:sz="4" w:space="0" w:color="000000"/>
            </w:tcBorders>
            <w:shd w:val="clear" w:color="auto" w:fill="59C5C7"/>
          </w:tcPr>
          <w:p w14:paraId="40B37575"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tcBorders>
            <w:shd w:val="clear" w:color="auto" w:fill="65C295"/>
          </w:tcPr>
          <w:p w14:paraId="3FADD375"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right w:val="single" w:sz="4" w:space="0" w:color="000000"/>
            </w:tcBorders>
            <w:shd w:val="clear" w:color="auto" w:fill="59C5C7"/>
          </w:tcPr>
          <w:p w14:paraId="0A961410" w14:textId="77777777" w:rsidR="00E56BF7" w:rsidRPr="008E2C94" w:rsidRDefault="00E56BF7" w:rsidP="00B962BC">
            <w:pPr>
              <w:pStyle w:val="TableContents"/>
              <w:rPr>
                <w:sz w:val="22"/>
                <w:szCs w:val="22"/>
                <w:lang w:val="en-GB"/>
              </w:rPr>
            </w:pPr>
          </w:p>
        </w:tc>
      </w:tr>
      <w:tr w:rsidR="00E56BF7" w14:paraId="26A72C07"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34850155"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6D90F750" w14:textId="77777777" w:rsidR="00E56BF7" w:rsidRPr="008E2C94" w:rsidRDefault="00E56BF7" w:rsidP="00B962BC">
            <w:pPr>
              <w:pStyle w:val="TableContents"/>
              <w:rPr>
                <w:sz w:val="22"/>
                <w:szCs w:val="22"/>
                <w:lang w:val="en-GB"/>
              </w:rPr>
            </w:pPr>
            <w:r w:rsidRPr="008E2C94">
              <w:rPr>
                <w:sz w:val="22"/>
                <w:szCs w:val="22"/>
                <w:lang w:val="en-GB"/>
              </w:rPr>
              <w:t>3.b.iii</w:t>
            </w:r>
          </w:p>
        </w:tc>
        <w:tc>
          <w:tcPr>
            <w:tcW w:w="794" w:type="dxa"/>
            <w:tcBorders>
              <w:top w:val="single" w:sz="2" w:space="0" w:color="000000"/>
              <w:left w:val="single" w:sz="4" w:space="0" w:color="000000"/>
              <w:bottom w:val="single" w:sz="2" w:space="0" w:color="000000"/>
            </w:tcBorders>
            <w:shd w:val="clear" w:color="auto" w:fill="F68E76"/>
          </w:tcPr>
          <w:p w14:paraId="6D6CA54E" w14:textId="77777777" w:rsidR="00E56BF7" w:rsidRPr="008E2C94" w:rsidRDefault="00E56BF7" w:rsidP="00B962BC">
            <w:pPr>
              <w:pStyle w:val="TableContents"/>
              <w:rPr>
                <w:sz w:val="22"/>
                <w:szCs w:val="22"/>
                <w:lang w:val="en-GB"/>
              </w:rPr>
            </w:pPr>
          </w:p>
        </w:tc>
        <w:tc>
          <w:tcPr>
            <w:tcW w:w="795" w:type="dxa"/>
            <w:tcBorders>
              <w:top w:val="single" w:sz="2" w:space="0" w:color="000000"/>
              <w:left w:val="single" w:sz="4" w:space="0" w:color="000000"/>
              <w:bottom w:val="single" w:sz="2" w:space="0" w:color="000000"/>
              <w:right w:val="single" w:sz="4" w:space="0" w:color="000000"/>
            </w:tcBorders>
            <w:shd w:val="clear" w:color="auto" w:fill="59C5C7"/>
          </w:tcPr>
          <w:p w14:paraId="7C0E9B3E"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tcBorders>
            <w:shd w:val="clear" w:color="auto" w:fill="65C295"/>
          </w:tcPr>
          <w:p w14:paraId="576687BE"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right w:val="single" w:sz="4" w:space="0" w:color="000000"/>
            </w:tcBorders>
            <w:shd w:val="clear" w:color="auto" w:fill="59C5C7"/>
          </w:tcPr>
          <w:p w14:paraId="1372655C" w14:textId="77777777" w:rsidR="00E56BF7" w:rsidRPr="008E2C94" w:rsidRDefault="00E56BF7" w:rsidP="00B962BC">
            <w:pPr>
              <w:pStyle w:val="TableContents"/>
              <w:rPr>
                <w:sz w:val="22"/>
                <w:szCs w:val="22"/>
                <w:lang w:val="en-GB"/>
              </w:rPr>
            </w:pPr>
          </w:p>
        </w:tc>
      </w:tr>
      <w:tr w:rsidR="00E56BF7" w14:paraId="6DD5DC20" w14:textId="77777777" w:rsidTr="00B962BC">
        <w:trPr>
          <w:jc w:val="center"/>
        </w:trPr>
        <w:tc>
          <w:tcPr>
            <w:tcW w:w="794" w:type="dxa"/>
            <w:vMerge/>
            <w:tcBorders>
              <w:top w:val="single" w:sz="2" w:space="0" w:color="000000"/>
              <w:left w:val="single" w:sz="2" w:space="0" w:color="000000"/>
              <w:bottom w:val="single" w:sz="2" w:space="0" w:color="000000"/>
            </w:tcBorders>
            <w:shd w:val="clear" w:color="auto" w:fill="auto"/>
            <w:textDirection w:val="tbRl"/>
            <w:vAlign w:val="center"/>
          </w:tcPr>
          <w:p w14:paraId="7650C575" w14:textId="77777777" w:rsidR="00E56BF7" w:rsidRDefault="00E56BF7" w:rsidP="00B962BC">
            <w:pPr>
              <w:pStyle w:val="TableContents"/>
              <w:rPr>
                <w:lang w:val="en-GB"/>
              </w:rPr>
            </w:pPr>
          </w:p>
        </w:tc>
        <w:tc>
          <w:tcPr>
            <w:tcW w:w="794" w:type="dxa"/>
            <w:tcBorders>
              <w:top w:val="single" w:sz="2" w:space="0" w:color="000000"/>
              <w:left w:val="single" w:sz="2" w:space="0" w:color="000000"/>
              <w:bottom w:val="single" w:sz="2" w:space="0" w:color="000000"/>
            </w:tcBorders>
            <w:shd w:val="clear" w:color="auto" w:fill="auto"/>
          </w:tcPr>
          <w:p w14:paraId="13B40D32" w14:textId="77777777" w:rsidR="00E56BF7" w:rsidRPr="008E2C94" w:rsidRDefault="00E56BF7" w:rsidP="00B962BC">
            <w:pPr>
              <w:pStyle w:val="TableContents"/>
              <w:rPr>
                <w:sz w:val="22"/>
                <w:szCs w:val="22"/>
                <w:lang w:val="en-GB"/>
              </w:rPr>
            </w:pPr>
            <w:r w:rsidRPr="008E2C94">
              <w:rPr>
                <w:sz w:val="22"/>
                <w:szCs w:val="22"/>
                <w:lang w:val="en-GB"/>
              </w:rPr>
              <w:t>3.b.iv</w:t>
            </w:r>
          </w:p>
        </w:tc>
        <w:tc>
          <w:tcPr>
            <w:tcW w:w="794" w:type="dxa"/>
            <w:tcBorders>
              <w:top w:val="single" w:sz="2" w:space="0" w:color="000000"/>
              <w:left w:val="single" w:sz="4" w:space="0" w:color="000000"/>
              <w:bottom w:val="single" w:sz="2" w:space="0" w:color="000000"/>
            </w:tcBorders>
            <w:shd w:val="clear" w:color="auto" w:fill="F68E76"/>
          </w:tcPr>
          <w:p w14:paraId="7D6AFC05" w14:textId="77777777" w:rsidR="00E56BF7" w:rsidRPr="008E2C94" w:rsidRDefault="00E56BF7" w:rsidP="00B962BC">
            <w:pPr>
              <w:pStyle w:val="TableContents"/>
              <w:rPr>
                <w:sz w:val="22"/>
                <w:szCs w:val="22"/>
                <w:lang w:val="en-GB"/>
              </w:rPr>
            </w:pPr>
          </w:p>
        </w:tc>
        <w:tc>
          <w:tcPr>
            <w:tcW w:w="795" w:type="dxa"/>
            <w:tcBorders>
              <w:top w:val="single" w:sz="2" w:space="0" w:color="000000"/>
              <w:left w:val="single" w:sz="4" w:space="0" w:color="000000"/>
              <w:bottom w:val="single" w:sz="2" w:space="0" w:color="000000"/>
              <w:right w:val="single" w:sz="4" w:space="0" w:color="000000"/>
            </w:tcBorders>
            <w:shd w:val="clear" w:color="auto" w:fill="59C5C7"/>
          </w:tcPr>
          <w:p w14:paraId="0C534940"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tcBorders>
            <w:shd w:val="clear" w:color="auto" w:fill="65C295"/>
          </w:tcPr>
          <w:p w14:paraId="722DD26C" w14:textId="77777777" w:rsidR="00E56BF7" w:rsidRPr="008E2C94" w:rsidRDefault="00E56BF7" w:rsidP="00B962BC">
            <w:pPr>
              <w:pStyle w:val="TableContents"/>
              <w:rPr>
                <w:sz w:val="22"/>
                <w:szCs w:val="22"/>
                <w:lang w:val="en-GB"/>
              </w:rPr>
            </w:pPr>
          </w:p>
        </w:tc>
        <w:tc>
          <w:tcPr>
            <w:tcW w:w="794" w:type="dxa"/>
            <w:tcBorders>
              <w:top w:val="single" w:sz="2" w:space="0" w:color="000000"/>
              <w:left w:val="single" w:sz="4" w:space="0" w:color="000000"/>
              <w:bottom w:val="single" w:sz="2" w:space="0" w:color="000000"/>
              <w:right w:val="single" w:sz="4" w:space="0" w:color="000000"/>
            </w:tcBorders>
            <w:shd w:val="clear" w:color="auto" w:fill="59C5C7"/>
          </w:tcPr>
          <w:p w14:paraId="62EE5F96" w14:textId="77777777" w:rsidR="00E56BF7" w:rsidRPr="008E2C94" w:rsidRDefault="00E56BF7" w:rsidP="00B962BC">
            <w:pPr>
              <w:pStyle w:val="TableContents"/>
              <w:rPr>
                <w:sz w:val="22"/>
                <w:szCs w:val="22"/>
                <w:lang w:val="en-GB"/>
              </w:rPr>
            </w:pPr>
          </w:p>
        </w:tc>
      </w:tr>
    </w:tbl>
    <w:p w14:paraId="406AA146" w14:textId="77777777" w:rsidR="00E56BF7" w:rsidRDefault="00E56BF7" w:rsidP="00E56BF7">
      <w:pPr>
        <w:jc w:val="center"/>
      </w:pPr>
    </w:p>
    <w:p w14:paraId="55B9D8C3" w14:textId="77777777" w:rsidR="00E56BF7" w:rsidRDefault="00E56BF7" w:rsidP="00E56BF7">
      <w:pPr>
        <w:jc w:val="both"/>
      </w:pPr>
      <w:r>
        <w:t xml:space="preserve">Please note that some sessions to work on the different activities may take place in parallel. The final plan will be made available in the week prior to the workshop. </w:t>
      </w:r>
    </w:p>
    <w:p w14:paraId="55BDA4FA" w14:textId="77777777" w:rsidR="00E56BF7" w:rsidRDefault="00E56BF7" w:rsidP="00B54530">
      <w:pPr>
        <w:pStyle w:val="Heading1"/>
        <w:numPr>
          <w:ilvl w:val="0"/>
          <w:numId w:val="0"/>
        </w:numPr>
        <w:spacing w:after="120"/>
      </w:pPr>
      <w:bookmarkStart w:id="12" w:name="_Contact_and_Questions"/>
      <w:bookmarkEnd w:id="12"/>
      <w:r>
        <w:t>Contact and Questions</w:t>
      </w:r>
      <w:bookmarkStart w:id="13" w:name="_GoBack"/>
      <w:bookmarkEnd w:id="13"/>
    </w:p>
    <w:p w14:paraId="676EF97D" w14:textId="77777777" w:rsidR="00E56BF7" w:rsidRDefault="00E56BF7" w:rsidP="00E56BF7">
      <w:pPr>
        <w:pStyle w:val="BodyText"/>
      </w:pPr>
      <w:r>
        <w:t>For contact and questions do not hesitate to reach out to the workshop organizers</w:t>
      </w:r>
    </w:p>
    <w:p w14:paraId="2766151E" w14:textId="77777777" w:rsidR="00E56BF7" w:rsidRDefault="00E56BF7" w:rsidP="00E56BF7">
      <w:pPr>
        <w:pStyle w:val="BodyText"/>
        <w:jc w:val="center"/>
      </w:pPr>
      <w:r>
        <w:t xml:space="preserve">Luis Oala </w:t>
      </w:r>
      <w:r>
        <w:br/>
        <w:t>(Quality assessment topics, i.e. Activity 3.)</w:t>
      </w:r>
      <w:r>
        <w:br/>
      </w:r>
      <w:hyperlink r:id="rId23">
        <w:r>
          <w:rPr>
            <w:rStyle w:val="InternetLink"/>
          </w:rPr>
          <w:t>luis.oala@hhi.fraunhofer.de</w:t>
        </w:r>
      </w:hyperlink>
    </w:p>
    <w:p w14:paraId="1244D82C" w14:textId="77777777" w:rsidR="00E56BF7" w:rsidRDefault="00E56BF7" w:rsidP="00E56BF7">
      <w:pPr>
        <w:pStyle w:val="BodyText"/>
        <w:jc w:val="center"/>
      </w:pPr>
      <w:r>
        <w:t xml:space="preserve">Marc Lecoultre </w:t>
      </w:r>
      <w:r>
        <w:br/>
        <w:t>(Technical infrastructure topics, i.e. Activities 1. and 2.)</w:t>
      </w:r>
      <w:r>
        <w:br/>
      </w:r>
      <w:hyperlink r:id="rId24">
        <w:r>
          <w:rPr>
            <w:rStyle w:val="InternetLink"/>
          </w:rPr>
          <w:t>ml@mllab.ai</w:t>
        </w:r>
      </w:hyperlink>
    </w:p>
    <w:p w14:paraId="7DBDBF2C"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25"/>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95D6D" w14:textId="77777777" w:rsidR="00F4151D" w:rsidRDefault="00F4151D" w:rsidP="007B7733">
      <w:pPr>
        <w:spacing w:before="0"/>
      </w:pPr>
      <w:r>
        <w:separator/>
      </w:r>
    </w:p>
  </w:endnote>
  <w:endnote w:type="continuationSeparator" w:id="0">
    <w:p w14:paraId="31AE763E" w14:textId="77777777" w:rsidR="00F4151D" w:rsidRDefault="00F4151D"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D2CAE" w14:textId="77777777" w:rsidR="00F4151D" w:rsidRDefault="00F4151D" w:rsidP="007B7733">
      <w:pPr>
        <w:spacing w:before="0"/>
      </w:pPr>
      <w:r>
        <w:separator/>
      </w:r>
    </w:p>
  </w:footnote>
  <w:footnote w:type="continuationSeparator" w:id="0">
    <w:p w14:paraId="0876A161" w14:textId="77777777" w:rsidR="00F4151D" w:rsidRDefault="00F4151D"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3C7A0BE5" w:rsidR="007B7733" w:rsidRDefault="007B7733" w:rsidP="005E2231">
    <w:pPr>
      <w:pStyle w:val="Header"/>
      <w:rPr>
        <w:lang w:val="pt-BR"/>
      </w:rPr>
    </w:pPr>
    <w:r>
      <w:t xml:space="preserve">- </w:t>
    </w:r>
    <w:r>
      <w:fldChar w:fldCharType="begin"/>
    </w:r>
    <w:r>
      <w:instrText xml:space="preserve"> PAGE  \* MERGEFORMAT </w:instrText>
    </w:r>
    <w:r>
      <w:fldChar w:fldCharType="separate"/>
    </w:r>
    <w:r w:rsidR="0041002E">
      <w:rPr>
        <w:noProof/>
      </w:rPr>
      <w:t>5</w:t>
    </w:r>
    <w:r>
      <w:rPr>
        <w:noProof/>
      </w:rPr>
      <w:fldChar w:fldCharType="end"/>
    </w:r>
    <w:r>
      <w:rPr>
        <w:lang w:val="pt-BR"/>
      </w:rPr>
      <w:t xml:space="preserve"> -</w:t>
    </w:r>
  </w:p>
  <w:p w14:paraId="07A7B8FD" w14:textId="7EA8682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B54530">
      <w:rPr>
        <w:noProof/>
      </w:rPr>
      <w:t>FG-AI4H-G-025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552E9A"/>
    <w:multiLevelType w:val="multilevel"/>
    <w:tmpl w:val="FC76FE7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7F51162"/>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EDC6FB1"/>
    <w:multiLevelType w:val="multilevel"/>
    <w:tmpl w:val="4036D2E6"/>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36E3B25"/>
    <w:multiLevelType w:val="multilevel"/>
    <w:tmpl w:val="5B286A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1"/>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15E5"/>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02E"/>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3EF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2DD9"/>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4772"/>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7BC6"/>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530"/>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5748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18AC"/>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56BF7"/>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09E0"/>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51D"/>
    <w:rsid w:val="00F41AE8"/>
    <w:rsid w:val="00F4765B"/>
    <w:rsid w:val="00F57B8B"/>
    <w:rsid w:val="00F60788"/>
    <w:rsid w:val="00F627E9"/>
    <w:rsid w:val="00F65790"/>
    <w:rsid w:val="00F67057"/>
    <w:rsid w:val="00F72643"/>
    <w:rsid w:val="00F7302F"/>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InternetLink">
    <w:name w:val="Internet Link"/>
    <w:rsid w:val="00E56BF7"/>
    <w:rPr>
      <w:color w:val="000080"/>
      <w:u w:val="single"/>
    </w:rPr>
  </w:style>
  <w:style w:type="paragraph" w:customStyle="1" w:styleId="TableContents">
    <w:name w:val="Table Contents"/>
    <w:basedOn w:val="Normal"/>
    <w:qFormat/>
    <w:rsid w:val="00E56BF7"/>
    <w:pPr>
      <w:suppressLineNumbers/>
      <w:spacing w:before="0"/>
    </w:pPr>
    <w:rPr>
      <w:rFonts w:ascii="Liberation Serif" w:eastAsia="AR PL SungtiL GB" w:hAnsi="Liberation Serif" w:cs="Lohit Devanagari"/>
      <w:kern w:val="2"/>
      <w:lang w:val="en-US" w:eastAsia="zh-CN" w:bidi="hi-IN"/>
    </w:rPr>
  </w:style>
  <w:style w:type="character" w:styleId="UnresolvedMention">
    <w:name w:val="Unresolved Mention"/>
    <w:basedOn w:val="DefaultParagraphFont"/>
    <w:uiPriority w:val="99"/>
    <w:semiHidden/>
    <w:unhideWhenUsed/>
    <w:rsid w:val="00763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gle/FVn7KBwHy1bvHCV96" TargetMode="External"/><Relationship Id="rId18" Type="http://schemas.openxmlformats.org/officeDocument/2006/relationships/hyperlink" Target="https://www.itu.int/en/ITU-T/focusgroups/ai4h/Documents/FG-AI4H_Whitepape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ITU-T/focusgroups/ai4h/Documents/registrationsteps.pdf" TargetMode="External"/><Relationship Id="rId7" Type="http://schemas.openxmlformats.org/officeDocument/2006/relationships/webSettings" Target="webSettings.xml"/><Relationship Id="rId12" Type="http://schemas.openxmlformats.org/officeDocument/2006/relationships/hyperlink" Target="mailto:ml@mllab.ai" TargetMode="External"/><Relationship Id="rId17" Type="http://schemas.openxmlformats.org/officeDocument/2006/relationships/hyperlink" Target="https://linkinghub.elsevier.com/retrieve/pii/S0140673619307627"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focusgroups/ai4h/Pages/default.aspx" TargetMode="External"/><Relationship Id="rId20" Type="http://schemas.openxmlformats.org/officeDocument/2006/relationships/hyperlink" Target="https://www.itu.int/en/ties-services/Pages/login.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is.oala@hhi.fraunhofer.de" TargetMode="External"/><Relationship Id="rId24" Type="http://schemas.openxmlformats.org/officeDocument/2006/relationships/hyperlink" Target="mailto:ml@mllab.ai"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mailto:luis.oala@hhi.fraunhofer.de" TargetMode="External"/><Relationship Id="rId10" Type="http://schemas.openxmlformats.org/officeDocument/2006/relationships/image" Target="media/image1.gif"/><Relationship Id="rId19" Type="http://schemas.openxmlformats.org/officeDocument/2006/relationships/hyperlink" Target="https://extranet.itu.int/CookieAuth.dll?GetLogon?curl=Z2FsitesZ2Fitu-tZ2FfocusgroupsZ2Fai4hZ2FSitePagesZ2FHome.aspx&amp;reason=0&amp;formdir=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forms.gle/cHGhcQkoUhgPBtnE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A15957-13AD-4F75-B343-8422E86C738D}"/>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49</TotalTime>
  <Pages>5</Pages>
  <Words>1353</Words>
  <Characters>7865</Characters>
  <Application>Microsoft Office Word</Application>
  <DocSecurity>0</DocSecurity>
  <Lines>341</Lines>
  <Paragraphs>137</Paragraphs>
  <ScaleCrop>false</ScaleCrop>
  <HeadingPairs>
    <vt:vector size="2" baseType="variant">
      <vt:variant>
        <vt:lpstr>Title</vt:lpstr>
      </vt:variant>
      <vt:variant>
        <vt:i4>1</vt:i4>
      </vt:variant>
    </vt:vector>
  </HeadingPairs>
  <TitlesOfParts>
    <vt:vector size="1" baseType="lpstr">
      <vt:lpstr>Invitation to Workshop on AI4H standardized assessment framework &amp; handling and assessment methods from 8-9 Jan 2020 in Berlin, Germany</vt:lpstr>
    </vt:vector>
  </TitlesOfParts>
  <Manager>ITU-T</Manager>
  <Company>International Telecommunication Union (ITU)</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Workshop on AI4H standardized assessment framework &amp; handling and assessment methods from 8 to 9 Jan 2020 in Berlin, Germany</dc:title>
  <dc:subject/>
  <dc:creator>WG-DASH Chair; WG-DAISAM Vice Chair</dc:creator>
  <cp:keywords/>
  <dc:description>FG-AI4H-G-025  For: New Delhi, 13-15 November 2019_x000d_Document date: ITU-T Focus Group on AI for Health_x000d_Saved by ITU51013388 at 11:19:56 on 05/11/2019</dc:description>
  <cp:lastModifiedBy>SG16</cp:lastModifiedBy>
  <cp:revision>25</cp:revision>
  <cp:lastPrinted>2011-04-05T14:28:00Z</cp:lastPrinted>
  <dcterms:created xsi:type="dcterms:W3CDTF">2019-04-09T13:22:00Z</dcterms:created>
  <dcterms:modified xsi:type="dcterms:W3CDTF">2019-11-05T10:20:00Z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FG-AI4H-G-025</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DASH; DAISAM</vt:lpwstr>
  </property>
  <property fmtid="{D5CDD505-2E9C-101B-9397-08002B2CF9AE}" pid="7" name="Docdest">
    <vt:lpwstr>New Delhi, 13-15 November 2019</vt:lpwstr>
  </property>
  <property fmtid="{D5CDD505-2E9C-101B-9397-08002B2CF9AE}" pid="8" name="Docauthor">
    <vt:lpwstr>WG-DASH Chair; WG-DAISAM Vice Chair</vt:lpwstr>
  </property>
</Properties>
</file>