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D693B8D" w:rsidR="00E03557" w:rsidRPr="00852AAD" w:rsidRDefault="00BC1D31" w:rsidP="002E6647">
            <w:pPr>
              <w:pStyle w:val="Docnumber"/>
            </w:pPr>
            <w:r>
              <w:t>FG-AI4H</w:t>
            </w:r>
            <w:r w:rsidR="00E03557">
              <w:t>-</w:t>
            </w:r>
            <w:r w:rsidR="00B00A54">
              <w:t>F</w:t>
            </w:r>
            <w:r>
              <w:t>-</w:t>
            </w:r>
            <w:r w:rsidR="00CE2231" w:rsidRPr="00CE2231">
              <w:t>005-A07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77C1A4A4" w:rsidR="00BC1D31" w:rsidRPr="00123B21" w:rsidRDefault="00CE2231" w:rsidP="002E6647">
            <w:r>
              <w:t>N/A</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968BE3D" w:rsidR="00BC1D31" w:rsidRPr="00123B21" w:rsidRDefault="00CE2231" w:rsidP="002E6647">
            <w:r>
              <w:t>TG-Ophtalmo Driver</w:t>
            </w:r>
          </w:p>
        </w:tc>
      </w:tr>
      <w:tr w:rsidR="00CE2231" w:rsidRPr="00E03557" w14:paraId="3E75D40B" w14:textId="77777777" w:rsidTr="00842915">
        <w:trPr>
          <w:cantSplit/>
          <w:jc w:val="center"/>
        </w:trPr>
        <w:tc>
          <w:tcPr>
            <w:tcW w:w="1700" w:type="dxa"/>
            <w:gridSpan w:val="2"/>
          </w:tcPr>
          <w:p w14:paraId="63174513" w14:textId="77777777" w:rsidR="00CE2231" w:rsidRPr="00E03557" w:rsidRDefault="00CE2231" w:rsidP="00CE2231">
            <w:bookmarkStart w:id="9" w:name="dtitle1" w:colFirst="1" w:colLast="1"/>
            <w:bookmarkEnd w:id="8"/>
            <w:r w:rsidRPr="00E03557">
              <w:rPr>
                <w:b/>
                <w:bCs/>
              </w:rPr>
              <w:t>Title:</w:t>
            </w:r>
          </w:p>
        </w:tc>
        <w:tc>
          <w:tcPr>
            <w:tcW w:w="7940" w:type="dxa"/>
            <w:gridSpan w:val="3"/>
            <w:vAlign w:val="center"/>
          </w:tcPr>
          <w:p w14:paraId="0EC1DE32" w14:textId="66B6295E" w:rsidR="00CE2231" w:rsidRPr="00123B21" w:rsidRDefault="0017488A" w:rsidP="00CE2231">
            <w:r>
              <w:t xml:space="preserve">Updated </w:t>
            </w:r>
            <w:r w:rsidR="00CE2231">
              <w:t>Call for Topic Group Participation: Standardized benchmarking of AI for O</w:t>
            </w:r>
            <w:r w:rsidR="00CE2231" w:rsidRPr="007C6407">
              <w:t>phthalmology (</w:t>
            </w:r>
            <w:r w:rsidR="00CE2231">
              <w:t>R</w:t>
            </w:r>
            <w:r w:rsidR="00CE2231" w:rsidRPr="007C6407">
              <w:t xml:space="preserve">etinal </w:t>
            </w:r>
            <w:r w:rsidR="00CE2231">
              <w:t>I</w:t>
            </w:r>
            <w:r w:rsidR="00CE2231" w:rsidRPr="007C6407">
              <w:t xml:space="preserve">maging </w:t>
            </w:r>
            <w:r w:rsidR="00CE2231">
              <w:t>D</w:t>
            </w:r>
            <w:r w:rsidR="00CE2231" w:rsidRPr="007C6407">
              <w:t>iagnostics)</w:t>
            </w:r>
          </w:p>
        </w:tc>
      </w:tr>
      <w:tr w:rsidR="00CE2231" w:rsidRPr="00E03557" w14:paraId="6CCF8811" w14:textId="77777777" w:rsidTr="002E6647">
        <w:trPr>
          <w:cantSplit/>
          <w:jc w:val="center"/>
        </w:trPr>
        <w:tc>
          <w:tcPr>
            <w:tcW w:w="1700" w:type="dxa"/>
            <w:gridSpan w:val="2"/>
            <w:tcBorders>
              <w:bottom w:val="single" w:sz="6" w:space="0" w:color="auto"/>
            </w:tcBorders>
          </w:tcPr>
          <w:p w14:paraId="49548675" w14:textId="77777777" w:rsidR="00CE2231" w:rsidRPr="00E03557" w:rsidRDefault="00CE2231" w:rsidP="00CE223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B9525B2" w:rsidR="00CE2231" w:rsidRPr="00BC1D31" w:rsidRDefault="00CE2231" w:rsidP="00CE2231">
            <w:pPr>
              <w:rPr>
                <w:highlight w:val="yellow"/>
              </w:rPr>
            </w:pPr>
            <w:r>
              <w:t>Engagement</w:t>
            </w:r>
          </w:p>
        </w:tc>
      </w:tr>
      <w:bookmarkEnd w:id="0"/>
      <w:bookmarkEnd w:id="10"/>
      <w:tr w:rsidR="00CE2231" w:rsidRPr="00E03557" w14:paraId="487F5750" w14:textId="77777777" w:rsidTr="00C37EC0">
        <w:trPr>
          <w:cantSplit/>
          <w:jc w:val="center"/>
        </w:trPr>
        <w:tc>
          <w:tcPr>
            <w:tcW w:w="1700" w:type="dxa"/>
            <w:gridSpan w:val="2"/>
            <w:tcBorders>
              <w:top w:val="single" w:sz="6" w:space="0" w:color="auto"/>
              <w:bottom w:val="single" w:sz="6" w:space="0" w:color="auto"/>
            </w:tcBorders>
          </w:tcPr>
          <w:p w14:paraId="70A3F5E0" w14:textId="77777777" w:rsidR="00CE2231" w:rsidRPr="00E03557" w:rsidRDefault="00CE2231" w:rsidP="00CE22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5EA29846" w:rsidR="00CE2231" w:rsidRPr="00BC1D31" w:rsidRDefault="00CE2231" w:rsidP="00CE2231">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2993B948" w:rsidR="00CE2231" w:rsidRPr="00BC1D31" w:rsidRDefault="00CE2231" w:rsidP="00CE2231">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0278EDE" w:rsidR="00E03557" w:rsidRPr="00BC1D31" w:rsidRDefault="00CE2231" w:rsidP="002E6647">
            <w:pPr>
              <w:rPr>
                <w:highlight w:val="yellow"/>
              </w:rPr>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tc>
      </w:tr>
    </w:tbl>
    <w:p w14:paraId="2AEBBEA2" w14:textId="77777777" w:rsidR="00E03557" w:rsidRDefault="00E03557" w:rsidP="00E03557"/>
    <w:p w14:paraId="07C8B918" w14:textId="77777777" w:rsidR="00CE2231" w:rsidRDefault="00CE2231" w:rsidP="00CE2231">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w:t>
      </w:r>
      <w:r w:rsidRPr="00912591">
        <w:t xml:space="preserve"> </w:t>
      </w:r>
      <w:r w:rsidRPr="00912591">
        <w:rPr>
          <w:rFonts w:ascii="Times New Roman" w:eastAsia="Times New Roman" w:hAnsi="Times New Roman" w:cs="Times New Roman"/>
          <w:b/>
          <w:sz w:val="26"/>
          <w:szCs w:val="26"/>
        </w:rPr>
        <w:t>Ophthalmology (retinal imaging diagnostics)</w:t>
      </w:r>
    </w:p>
    <w:p w14:paraId="3A717954" w14:textId="77777777" w:rsidR="00CE2231" w:rsidRDefault="00CE2231" w:rsidP="00CE2231">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2E485A6B" w14:textId="77777777" w:rsidR="00CE2231" w:rsidRDefault="00CE2231" w:rsidP="00CE2231">
      <w:pPr>
        <w:pStyle w:val="Heading1"/>
      </w:pPr>
      <w:bookmarkStart w:id="11" w:name="_z704iagnrhv2" w:colFirst="0" w:colLast="0"/>
      <w:bookmarkEnd w:id="11"/>
      <w:r>
        <w:t>About FG-AI4H</w:t>
      </w:r>
    </w:p>
    <w:p w14:paraId="28C1789D" w14:textId="77777777" w:rsidR="00CE2231" w:rsidRDefault="00CE2231" w:rsidP="00CE223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13CEC4A" w14:textId="77777777" w:rsidR="00CE2231" w:rsidRDefault="00CE2231" w:rsidP="00CE2231">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394190C6" w14:textId="77777777" w:rsidR="00CE2231" w:rsidRDefault="00CE2231" w:rsidP="00CE2231">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235BD71F" w14:textId="77777777" w:rsidR="00CE2231" w:rsidRDefault="00CE2231" w:rsidP="00CE2231">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55875EA" w14:textId="77777777" w:rsidR="00CE2231" w:rsidRDefault="00CE2231" w:rsidP="00CE2231">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DB04794" w14:textId="77777777" w:rsidR="00CE2231" w:rsidRDefault="00CE2231" w:rsidP="00CE2231">
      <w:pPr>
        <w:pStyle w:val="Heading1"/>
      </w:pPr>
      <w:bookmarkStart w:id="12" w:name="_m6ozjgtnoc3" w:colFirst="0" w:colLast="0"/>
      <w:bookmarkEnd w:id="12"/>
      <w:r>
        <w:t xml:space="preserve">Topic group: AI for </w:t>
      </w:r>
      <w:r w:rsidRPr="007C6407">
        <w:t>Ophthalmology (retinal imaging diagnostics)</w:t>
      </w:r>
    </w:p>
    <w:p w14:paraId="6EB6F418" w14:textId="77777777" w:rsidR="00CE2231" w:rsidRDefault="00CE2231" w:rsidP="00CE2231">
      <w:r>
        <w:t xml:space="preserve">A topic group is a community of stakeholders from the medical and AI communities with a shared interest in a topic. The objectives of the topic groups are manifold: </w:t>
      </w:r>
    </w:p>
    <w:p w14:paraId="7BBF3C51" w14:textId="77777777" w:rsidR="00CE2231" w:rsidRDefault="00CE2231" w:rsidP="00CE2231">
      <w:pPr>
        <w:numPr>
          <w:ilvl w:val="0"/>
          <w:numId w:val="21"/>
        </w:numPr>
      </w:pPr>
      <w:r>
        <w:t>to provide a forum for open communication among various stakeholders,</w:t>
      </w:r>
    </w:p>
    <w:p w14:paraId="7279FC83" w14:textId="77777777" w:rsidR="00CE2231" w:rsidRDefault="00CE2231" w:rsidP="00CE2231">
      <w:pPr>
        <w:numPr>
          <w:ilvl w:val="0"/>
          <w:numId w:val="21"/>
        </w:numPr>
        <w:spacing w:before="0"/>
      </w:pPr>
      <w:r>
        <w:t>to agree upon the benchmarking tasks of this topic and scoring metrics,</w:t>
      </w:r>
    </w:p>
    <w:p w14:paraId="4CD92EFE" w14:textId="77777777" w:rsidR="00CE2231" w:rsidRDefault="00CE2231" w:rsidP="00CE2231">
      <w:pPr>
        <w:numPr>
          <w:ilvl w:val="0"/>
          <w:numId w:val="21"/>
        </w:numPr>
        <w:spacing w:before="0"/>
      </w:pPr>
      <w:r>
        <w:t>to facilitate the collection of high quality labeled test data from different sources,</w:t>
      </w:r>
    </w:p>
    <w:p w14:paraId="42EC946C" w14:textId="77777777" w:rsidR="00CE2231" w:rsidRDefault="00CE2231" w:rsidP="00CE2231">
      <w:pPr>
        <w:numPr>
          <w:ilvl w:val="0"/>
          <w:numId w:val="21"/>
        </w:numPr>
        <w:spacing w:before="0"/>
      </w:pPr>
      <w:r>
        <w:t xml:space="preserve">to clarify the input and output format of the test data, </w:t>
      </w:r>
    </w:p>
    <w:p w14:paraId="0906DE63" w14:textId="77777777" w:rsidR="00CE2231" w:rsidRDefault="00CE2231" w:rsidP="00CE2231">
      <w:pPr>
        <w:numPr>
          <w:ilvl w:val="0"/>
          <w:numId w:val="21"/>
        </w:numPr>
        <w:spacing w:before="0"/>
      </w:pPr>
      <w:r>
        <w:t>to define and set-up the technical benchmarking infrastructure, and</w:t>
      </w:r>
    </w:p>
    <w:p w14:paraId="678E25B3" w14:textId="77777777" w:rsidR="00CE2231" w:rsidRDefault="00CE2231" w:rsidP="00CE2231">
      <w:pPr>
        <w:numPr>
          <w:ilvl w:val="0"/>
          <w:numId w:val="21"/>
        </w:numPr>
        <w:spacing w:before="0"/>
      </w:pPr>
      <w:r>
        <w:t>to coordinate the benchmarking process in collaboration with the Focus Group management and working groups.</w:t>
      </w:r>
    </w:p>
    <w:p w14:paraId="53492489" w14:textId="77777777" w:rsidR="00CE2231" w:rsidRDefault="00CE2231" w:rsidP="00CE223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80B73D0" w14:textId="6F84A7E8" w:rsidR="00CE2231" w:rsidRPr="004E20DF" w:rsidRDefault="00CE2231" w:rsidP="00CE2231">
      <w:r>
        <w:t xml:space="preserve">This topic group is devoted to using artificial intelligence </w:t>
      </w:r>
      <w:r w:rsidRPr="00C0642F">
        <w:t>for</w:t>
      </w:r>
      <w:r>
        <w:t xml:space="preserve"> the </w:t>
      </w:r>
      <w:r w:rsidRPr="00C0642F">
        <w:t xml:space="preserve">detection and </w:t>
      </w:r>
      <w:r>
        <w:t>diagnostics of ophthalmological diseases and conditions</w:t>
      </w:r>
      <w:r w:rsidR="00B83ECD">
        <w:t xml:space="preserve">, </w:t>
      </w:r>
      <w:r w:rsidR="00B83ECD" w:rsidRPr="002D3A70">
        <w:t>including</w:t>
      </w:r>
      <w:r>
        <w:t xml:space="preserve"> Diabetic Retinopathy (DR), </w:t>
      </w:r>
      <w:r w:rsidRPr="004E20DF">
        <w:t>Age-related Macular Degeneration (AMD)</w:t>
      </w:r>
      <w:r>
        <w:t xml:space="preserve">, </w:t>
      </w:r>
      <w:r w:rsidRPr="004E20DF">
        <w:t>Glaucoma (GC)</w:t>
      </w:r>
      <w:r>
        <w:t xml:space="preserve"> and Pathological Myopia (PM)</w:t>
      </w:r>
      <w:r w:rsidRPr="004E20DF">
        <w:t>.</w:t>
      </w:r>
      <w:r>
        <w:t xml:space="preserve"> Additional diseases and conditions related to ophthalmology that are relevant to this Topic Group may be added in the future. </w:t>
      </w:r>
    </w:p>
    <w:p w14:paraId="2A66B673" w14:textId="77777777" w:rsidR="00CE2231" w:rsidRPr="00CA1004" w:rsidRDefault="00CE2231" w:rsidP="00CE2231">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417222FC" w14:textId="77777777" w:rsidR="00CE2231" w:rsidRPr="00C73D56" w:rsidRDefault="00CE2231" w:rsidP="00CE2231">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52B4E2C8" w14:textId="77777777" w:rsidR="00CE2231" w:rsidRDefault="00564E34" w:rsidP="00CE2231">
      <w:hyperlink r:id="rId13" w:history="1">
        <w:r w:rsidR="00CE2231">
          <w:t>GC</w:t>
        </w:r>
      </w:hyperlink>
      <w:r w:rsidR="00CE2231">
        <w:t xml:space="preserve"> </w:t>
      </w:r>
      <w:r w:rsidR="00CE2231" w:rsidRPr="00CA1004">
        <w:t>is a group of diseases that damage the eye’s optic nerve—the bundle of nerve fibers that connects the eye to the brain</w:t>
      </w:r>
      <w:r w:rsidR="00CE2231">
        <w:t xml:space="preserve"> and leads to vision loss and blindness</w:t>
      </w:r>
      <w:r w:rsidR="00CE2231" w:rsidRPr="00CA1004">
        <w:t>. In adults, diabetes nearly doubles the risk of glaucoma.</w:t>
      </w:r>
      <w:r w:rsidR="00CE2231">
        <w:t xml:space="preserve">  </w:t>
      </w:r>
      <w:r w:rsidR="00CE2231" w:rsidRPr="00FC54FB">
        <w:t xml:space="preserve">Globally, 8% of all blindness is attributable to glaucoma, making it </w:t>
      </w:r>
      <w:r w:rsidR="00CE2231">
        <w:t xml:space="preserve">a </w:t>
      </w:r>
      <w:r w:rsidR="00CE2231"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006CE635" w14:textId="77777777" w:rsidR="00CE2231" w:rsidRDefault="00CE2231" w:rsidP="00CE2231">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6CC820AB" w14:textId="77777777" w:rsidR="00CE2231" w:rsidRDefault="00CE2231" w:rsidP="00CE2231">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is are not enough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these conditions a global healthcare challenge that needs urgent resolution. </w:t>
      </w:r>
    </w:p>
    <w:p w14:paraId="549A40C6" w14:textId="77777777" w:rsidR="00CE2231" w:rsidRDefault="00CE2231" w:rsidP="00CE2231">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14:paraId="3CB3CCAA" w14:textId="77777777" w:rsidR="00CE2231" w:rsidRDefault="00CE2231" w:rsidP="00CE2231">
      <w:pPr>
        <w:rPr>
          <w:b/>
        </w:rPr>
      </w:pPr>
    </w:p>
    <w:p w14:paraId="58BF5C57" w14:textId="77777777" w:rsidR="00CE2231" w:rsidRPr="00427248" w:rsidRDefault="00CE2231" w:rsidP="00CE2231">
      <w:pPr>
        <w:rPr>
          <w:b/>
        </w:rPr>
      </w:pPr>
      <w:r w:rsidRPr="00427248">
        <w:rPr>
          <w:b/>
        </w:rPr>
        <w:t>Benchmarking</w:t>
      </w:r>
      <w:r>
        <w:rPr>
          <w:b/>
        </w:rPr>
        <w:t>:</w:t>
      </w:r>
    </w:p>
    <w:p w14:paraId="4046537E" w14:textId="77777777" w:rsidR="00CE2231" w:rsidRDefault="00CE2231" w:rsidP="00CE2231">
      <w:r>
        <w:t xml:space="preserve">The benchmarking of the algorithms for detecting these conditions would need to be done on a sufficiently large, and  undisclosed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64FDD31A" w14:textId="77777777" w:rsidR="00CE2231" w:rsidRDefault="00CE2231" w:rsidP="00CE2231">
      <w:r>
        <w:t xml:space="preserve">The following  are the classifications currently being considered for each condition: </w:t>
      </w:r>
    </w:p>
    <w:p w14:paraId="78986D79" w14:textId="77777777" w:rsidR="00CE2231" w:rsidRDefault="00CE2231" w:rsidP="00CE2231">
      <w:pPr>
        <w:pStyle w:val="ListParagraph"/>
        <w:numPr>
          <w:ilvl w:val="0"/>
          <w:numId w:val="26"/>
        </w:numPr>
        <w:ind w:left="927"/>
        <w:rPr>
          <w:rFonts w:eastAsia="Batang"/>
          <w:b/>
          <w:bCs/>
          <w:szCs w:val="20"/>
          <w:lang w:eastAsia="en-US"/>
        </w:rPr>
      </w:pPr>
      <w:r w:rsidRPr="00CC56AB">
        <w:rPr>
          <w:rFonts w:eastAsia="Batang"/>
          <w:b/>
          <w:bCs/>
          <w:szCs w:val="20"/>
          <w:lang w:eastAsia="en-US"/>
        </w:rPr>
        <w:t>DR:</w:t>
      </w:r>
    </w:p>
    <w:p w14:paraId="0AACC3C8" w14:textId="77777777" w:rsidR="00CE2231" w:rsidRPr="00CC56AB" w:rsidRDefault="00CE2231" w:rsidP="00CE2231">
      <w:pPr>
        <w:pStyle w:val="ListParagraph"/>
        <w:ind w:left="774"/>
        <w:rPr>
          <w:rFonts w:eastAsia="Batang"/>
          <w:b/>
          <w:bCs/>
          <w:szCs w:val="20"/>
          <w:lang w:eastAsia="en-US"/>
        </w:rPr>
      </w:pPr>
    </w:p>
    <w:p w14:paraId="20DF76D9" w14:textId="77777777" w:rsidR="00CE2231" w:rsidRDefault="00CE2231" w:rsidP="00CE2231">
      <w:pPr>
        <w:pStyle w:val="ListParagraph"/>
        <w:numPr>
          <w:ilvl w:val="0"/>
          <w:numId w:val="27"/>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7DF163C" w14:textId="77777777" w:rsidR="00CE2231" w:rsidRPr="00CC56AB" w:rsidRDefault="00CE2231" w:rsidP="00CE2231">
      <w:pPr>
        <w:pStyle w:val="ListParagraph"/>
        <w:ind w:left="1809"/>
        <w:rPr>
          <w:rFonts w:eastAsia="Batang"/>
          <w:szCs w:val="20"/>
          <w:lang w:eastAsia="en-US"/>
        </w:rPr>
      </w:pPr>
    </w:p>
    <w:p w14:paraId="0464C681"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291FFA03"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4AC712F1"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522E76D3"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5B915D3C"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 xml:space="preserve">non-proliferative  </w:t>
      </w:r>
      <w:r w:rsidRPr="008D4D1C">
        <w:rPr>
          <w:rFonts w:eastAsia="Batang"/>
          <w:szCs w:val="20"/>
          <w:lang w:eastAsia="en-US"/>
        </w:rPr>
        <w:t>DR)</w:t>
      </w:r>
    </w:p>
    <w:p w14:paraId="72B2A5CE" w14:textId="77777777" w:rsidR="00CE2231"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r>
        <w:rPr>
          <w:rFonts w:eastAsia="Batang"/>
          <w:szCs w:val="20"/>
          <w:lang w:eastAsia="en-US"/>
        </w:rPr>
        <w:t xml:space="preserve">proliferative  </w:t>
      </w:r>
      <w:r w:rsidRPr="008D4D1C">
        <w:rPr>
          <w:rFonts w:eastAsia="Batang"/>
          <w:szCs w:val="20"/>
          <w:lang w:eastAsia="en-US"/>
        </w:rPr>
        <w:t>DR</w:t>
      </w:r>
      <w:r>
        <w:rPr>
          <w:rFonts w:eastAsia="Batang"/>
          <w:szCs w:val="20"/>
          <w:lang w:eastAsia="en-US"/>
        </w:rPr>
        <w:t xml:space="preserve"> or PDR)</w:t>
      </w:r>
    </w:p>
    <w:p w14:paraId="4A8FB5F6" w14:textId="77777777" w:rsidR="00CE2231" w:rsidRDefault="00CE2231" w:rsidP="00CE2231">
      <w:pPr>
        <w:pStyle w:val="ListParagraph"/>
        <w:ind w:left="567" w:firstLine="288"/>
        <w:rPr>
          <w:rFonts w:eastAsia="Batang"/>
          <w:b/>
          <w:bCs/>
          <w:szCs w:val="20"/>
          <w:lang w:eastAsia="en-US"/>
        </w:rPr>
      </w:pPr>
    </w:p>
    <w:p w14:paraId="06448E64" w14:textId="77777777" w:rsidR="00CE2231" w:rsidRDefault="00CE2231" w:rsidP="00CE2231">
      <w:pPr>
        <w:pStyle w:val="ListParagraph"/>
        <w:numPr>
          <w:ilvl w:val="0"/>
          <w:numId w:val="27"/>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0F1734A6" w14:textId="77777777" w:rsidR="00CE2231" w:rsidRPr="00CC56AB" w:rsidRDefault="00CE2231" w:rsidP="00CE2231">
      <w:pPr>
        <w:pStyle w:val="ListParagraph"/>
        <w:ind w:left="1809"/>
        <w:rPr>
          <w:rFonts w:eastAsia="Batang"/>
          <w:szCs w:val="20"/>
          <w:lang w:eastAsia="en-US"/>
        </w:rPr>
      </w:pPr>
    </w:p>
    <w:p w14:paraId="084B7F21"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5358B8A7"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1 (Non-referable Retinopathy – No DR or mild DR)</w:t>
      </w:r>
    </w:p>
    <w:p w14:paraId="0DB0CA32" w14:textId="77777777" w:rsidR="00CE2231"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2 (Referable Retinopathy – Moderate NPDR, Severe NPDR, PDR)</w:t>
      </w:r>
    </w:p>
    <w:p w14:paraId="52498660" w14:textId="77777777" w:rsidR="00CE2231" w:rsidRDefault="00CE2231" w:rsidP="00CE2231">
      <w:pPr>
        <w:pStyle w:val="ListParagraph"/>
        <w:ind w:left="2169"/>
        <w:rPr>
          <w:rFonts w:eastAsia="Batang"/>
          <w:szCs w:val="20"/>
          <w:lang w:eastAsia="en-US"/>
        </w:rPr>
      </w:pPr>
    </w:p>
    <w:p w14:paraId="69B50323" w14:textId="77777777" w:rsidR="00CE2231" w:rsidRDefault="00CE2231" w:rsidP="00CE2231">
      <w:pPr>
        <w:pStyle w:val="ListParagraph"/>
        <w:numPr>
          <w:ilvl w:val="0"/>
          <w:numId w:val="26"/>
        </w:numPr>
        <w:ind w:left="927"/>
        <w:rPr>
          <w:rFonts w:eastAsia="Batang"/>
          <w:b/>
          <w:bCs/>
          <w:szCs w:val="20"/>
          <w:lang w:eastAsia="en-US"/>
        </w:rPr>
      </w:pPr>
      <w:bookmarkStart w:id="13" w:name="_Hlk18075581"/>
      <w:r>
        <w:rPr>
          <w:rFonts w:eastAsia="Batang"/>
          <w:b/>
          <w:bCs/>
          <w:szCs w:val="20"/>
          <w:lang w:eastAsia="en-US"/>
        </w:rPr>
        <w:t xml:space="preserve">AMD: </w:t>
      </w:r>
    </w:p>
    <w:p w14:paraId="604655FE"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055DC9EB"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 xml:space="preserve">1 (No/early stage AMD </w:t>
      </w:r>
      <w:r>
        <w:rPr>
          <w:rFonts w:eastAsia="Batang"/>
          <w:szCs w:val="20"/>
          <w:lang w:eastAsia="en-US"/>
        </w:rPr>
        <w:t>)</w:t>
      </w:r>
    </w:p>
    <w:p w14:paraId="7A17EB46"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2 (Intermediate/advanced stage AMD)</w:t>
      </w:r>
    </w:p>
    <w:p w14:paraId="02A9D166" w14:textId="77777777" w:rsidR="00CE2231" w:rsidRPr="00BF6FD1" w:rsidRDefault="00CE2231" w:rsidP="00CE2231">
      <w:pPr>
        <w:pStyle w:val="ListParagraph"/>
        <w:numPr>
          <w:ilvl w:val="0"/>
          <w:numId w:val="25"/>
        </w:numPr>
        <w:ind w:left="1719" w:hanging="432"/>
        <w:rPr>
          <w:rFonts w:eastAsia="Batang"/>
          <w:szCs w:val="20"/>
          <w:lang w:eastAsia="en-US"/>
        </w:rPr>
      </w:pPr>
    </w:p>
    <w:p w14:paraId="47D2D7FF" w14:textId="77777777" w:rsidR="00CE2231" w:rsidRDefault="00CE2231" w:rsidP="00CE2231">
      <w:pPr>
        <w:pStyle w:val="ListParagraph"/>
        <w:numPr>
          <w:ilvl w:val="0"/>
          <w:numId w:val="26"/>
        </w:numPr>
        <w:ind w:left="927"/>
        <w:rPr>
          <w:rFonts w:eastAsia="Batang"/>
          <w:b/>
          <w:bCs/>
          <w:szCs w:val="20"/>
          <w:lang w:eastAsia="en-US"/>
        </w:rPr>
      </w:pPr>
      <w:r>
        <w:rPr>
          <w:rFonts w:eastAsia="Batang"/>
          <w:b/>
          <w:bCs/>
          <w:szCs w:val="20"/>
          <w:lang w:eastAsia="en-US"/>
        </w:rPr>
        <w:t xml:space="preserve">GC: </w:t>
      </w:r>
    </w:p>
    <w:p w14:paraId="7EB53657"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08F29D3F"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1 (No GC)</w:t>
      </w:r>
    </w:p>
    <w:p w14:paraId="5E873441"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2 (GC)</w:t>
      </w:r>
    </w:p>
    <w:p w14:paraId="03EC8E90" w14:textId="77777777" w:rsidR="00CE2231" w:rsidRPr="003B0DE0" w:rsidRDefault="00CE2231" w:rsidP="00CE2231">
      <w:pPr>
        <w:pStyle w:val="ListParagraph"/>
        <w:numPr>
          <w:ilvl w:val="0"/>
          <w:numId w:val="26"/>
        </w:numPr>
        <w:ind w:left="927"/>
        <w:rPr>
          <w:rFonts w:eastAsia="Batang"/>
          <w:b/>
          <w:bCs/>
          <w:szCs w:val="20"/>
          <w:lang w:eastAsia="en-US"/>
        </w:rPr>
      </w:pPr>
      <w:r w:rsidRPr="003B0DE0">
        <w:rPr>
          <w:rFonts w:eastAsia="Batang"/>
          <w:b/>
          <w:bCs/>
          <w:szCs w:val="20"/>
          <w:lang w:eastAsia="en-US"/>
        </w:rPr>
        <w:t xml:space="preserve">PM: </w:t>
      </w:r>
    </w:p>
    <w:p w14:paraId="2525E1D6"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39559912" w14:textId="77777777" w:rsidR="00CE2231" w:rsidRPr="00374525" w:rsidRDefault="00CE2231" w:rsidP="00CE2231">
      <w:pPr>
        <w:pStyle w:val="ListParagraph"/>
        <w:numPr>
          <w:ilvl w:val="0"/>
          <w:numId w:val="25"/>
        </w:numPr>
        <w:ind w:left="1719" w:hanging="432"/>
        <w:rPr>
          <w:rFonts w:eastAsia="Batang"/>
          <w:szCs w:val="20"/>
          <w:lang w:eastAsia="en-US"/>
        </w:rPr>
      </w:pPr>
      <w:r w:rsidRPr="000A7D12">
        <w:rPr>
          <w:rFonts w:eastAsia="Batang"/>
          <w:szCs w:val="20"/>
          <w:lang w:eastAsia="en-US"/>
        </w:rPr>
        <w:t>1 (No PM/HM)</w:t>
      </w:r>
    </w:p>
    <w:p w14:paraId="23DE2893" w14:textId="77777777" w:rsidR="00CE2231" w:rsidRPr="00374525" w:rsidRDefault="00CE2231" w:rsidP="00CE2231">
      <w:pPr>
        <w:pStyle w:val="ListParagraph"/>
        <w:numPr>
          <w:ilvl w:val="0"/>
          <w:numId w:val="25"/>
        </w:numPr>
        <w:ind w:left="1719" w:hanging="432"/>
        <w:rPr>
          <w:rFonts w:eastAsia="Batang"/>
          <w:szCs w:val="20"/>
          <w:lang w:eastAsia="en-US"/>
        </w:rPr>
      </w:pPr>
      <w:r w:rsidRPr="000A7D12">
        <w:rPr>
          <w:rFonts w:eastAsia="Batang"/>
          <w:szCs w:val="20"/>
          <w:lang w:eastAsia="en-US"/>
        </w:rPr>
        <w:t>2 (HM: high myopia)</w:t>
      </w:r>
    </w:p>
    <w:p w14:paraId="1CC74B7F" w14:textId="77777777" w:rsidR="00CE2231" w:rsidRPr="000A7D12" w:rsidRDefault="00CE2231" w:rsidP="00CE2231">
      <w:pPr>
        <w:pStyle w:val="ListParagraph"/>
        <w:numPr>
          <w:ilvl w:val="0"/>
          <w:numId w:val="25"/>
        </w:numPr>
        <w:ind w:left="1719" w:hanging="432"/>
        <w:rPr>
          <w:rFonts w:eastAsia="Batang"/>
          <w:szCs w:val="20"/>
          <w:lang w:eastAsia="en-US"/>
        </w:rPr>
      </w:pPr>
      <w:r w:rsidRPr="000A7D12">
        <w:rPr>
          <w:rFonts w:eastAsia="Batang"/>
          <w:szCs w:val="20"/>
          <w:lang w:eastAsia="en-US"/>
        </w:rPr>
        <w:t>3 (PM)</w:t>
      </w:r>
    </w:p>
    <w:bookmarkEnd w:id="13"/>
    <w:p w14:paraId="24A8148A" w14:textId="77777777" w:rsidR="00CE2231" w:rsidRDefault="00CE2231" w:rsidP="00CE2231"/>
    <w:p w14:paraId="5F28BDF5" w14:textId="77777777" w:rsidR="00CE2231" w:rsidRDefault="00CE2231" w:rsidP="00CE2231">
      <w:r>
        <w:t xml:space="preserve">In all cases, the following are some of the metrics that will be used for benchmarking on an undisclosed test dataset to evaluate the AI algorithms: </w:t>
      </w:r>
    </w:p>
    <w:p w14:paraId="390C5950" w14:textId="77777777" w:rsidR="00CE2231" w:rsidRDefault="00CE2231" w:rsidP="00CE2231">
      <w:pPr>
        <w:pStyle w:val="ListParagraph"/>
        <w:numPr>
          <w:ilvl w:val="0"/>
          <w:numId w:val="23"/>
        </w:numPr>
        <w:overflowPunct w:val="0"/>
        <w:autoSpaceDE w:val="0"/>
        <w:autoSpaceDN w:val="0"/>
        <w:adjustRightInd w:val="0"/>
        <w:textAlignment w:val="baseline"/>
      </w:pPr>
      <w:r w:rsidRPr="00DC37A7">
        <w:t xml:space="preserve">Accuracy </w:t>
      </w:r>
    </w:p>
    <w:p w14:paraId="29CB2ED3" w14:textId="77777777" w:rsidR="00CE2231" w:rsidRDefault="00CE2231" w:rsidP="00CE2231">
      <w:pPr>
        <w:pStyle w:val="ListParagraph"/>
        <w:numPr>
          <w:ilvl w:val="0"/>
          <w:numId w:val="23"/>
        </w:numPr>
        <w:overflowPunct w:val="0"/>
        <w:autoSpaceDE w:val="0"/>
        <w:autoSpaceDN w:val="0"/>
        <w:adjustRightInd w:val="0"/>
        <w:textAlignment w:val="baseline"/>
      </w:pPr>
      <w:r w:rsidRPr="00DC37A7">
        <w:t>Sensitivity</w:t>
      </w:r>
      <w:r>
        <w:t xml:space="preserve">, </w:t>
      </w:r>
      <w:r w:rsidRPr="00DC37A7">
        <w:t>Specificity</w:t>
      </w:r>
      <w:r>
        <w:t>, Precision, F-Score</w:t>
      </w:r>
    </w:p>
    <w:p w14:paraId="72D0298B" w14:textId="77777777" w:rsidR="00CE2231" w:rsidRPr="00F91B0D" w:rsidRDefault="00CE2231" w:rsidP="00CE2231">
      <w:pPr>
        <w:pStyle w:val="ListParagraph"/>
        <w:numPr>
          <w:ilvl w:val="0"/>
          <w:numId w:val="23"/>
        </w:numPr>
        <w:overflowPunct w:val="0"/>
        <w:autoSpaceDE w:val="0"/>
        <w:autoSpaceDN w:val="0"/>
        <w:adjustRightInd w:val="0"/>
        <w:textAlignment w:val="baseline"/>
      </w:pPr>
      <w:r w:rsidRPr="003C118E">
        <w:rPr>
          <w:color w:val="000000"/>
        </w:rPr>
        <w:t>Area under the Receiver Operating Characteristics (ROC) curve or AUC,</w:t>
      </w:r>
    </w:p>
    <w:p w14:paraId="36D6B1FB" w14:textId="77777777" w:rsidR="00CE2231" w:rsidRDefault="00CE2231" w:rsidP="00CE2231">
      <w:pPr>
        <w:pStyle w:val="ListParagraph"/>
        <w:overflowPunct w:val="0"/>
        <w:autoSpaceDE w:val="0"/>
        <w:autoSpaceDN w:val="0"/>
        <w:adjustRightInd w:val="0"/>
        <w:textAlignment w:val="baseline"/>
      </w:pPr>
    </w:p>
    <w:p w14:paraId="6576C705" w14:textId="77777777" w:rsidR="00CE2231" w:rsidRDefault="00CE2231" w:rsidP="00CE2231">
      <w:pPr>
        <w:rPr>
          <w:b/>
          <w:bCs/>
        </w:rPr>
      </w:pPr>
      <w:r>
        <w:rPr>
          <w:b/>
          <w:bCs/>
        </w:rPr>
        <w:t xml:space="preserve">Available Datasets: </w:t>
      </w:r>
    </w:p>
    <w:p w14:paraId="18BDE6AE" w14:textId="77777777" w:rsidR="00CE2231" w:rsidRDefault="00CE2231" w:rsidP="00CE2231">
      <w:pPr>
        <w:rPr>
          <w:b/>
          <w:bCs/>
        </w:rPr>
      </w:pPr>
      <w:r>
        <w:rPr>
          <w:rFonts w:eastAsiaTheme="minorEastAsia"/>
        </w:rPr>
        <w:t>There are several p</w:t>
      </w:r>
      <w:r w:rsidRPr="00E2323C">
        <w:rPr>
          <w:rFonts w:eastAsiaTheme="minorEastAsia"/>
        </w:rPr>
        <w:t>ublicly available datasets includ</w:t>
      </w:r>
      <w:r>
        <w:rPr>
          <w:rFonts w:eastAsiaTheme="minorEastAsia"/>
        </w:rPr>
        <w:t xml:space="preserve">ing: </w:t>
      </w:r>
      <w:r w:rsidRPr="00E2323C">
        <w:rPr>
          <w:rFonts w:eastAsiaTheme="minorEastAsia"/>
        </w:rPr>
        <w:t>the EyePACS dataset (around 90,000 fundus images, 5 levels of severity), MESSIDOR dataset (1,200 images, 4 levels of severity), the DIARETDB dataset (around 200 images marked with lesions)</w:t>
      </w:r>
      <w:r>
        <w:rPr>
          <w:rFonts w:eastAsiaTheme="minorEastAsia"/>
        </w:rPr>
        <w:t xml:space="preserve">.  Currently, there are no known private datasets for testing.  One of the goals of the focus group is to facilitate the procurement of such undisclosed datasets for benchmarking. </w:t>
      </w:r>
    </w:p>
    <w:p w14:paraId="48476F36" w14:textId="77777777" w:rsidR="00CE2231" w:rsidRDefault="00CE2231" w:rsidP="00CE2231">
      <w:pPr>
        <w:rPr>
          <w:b/>
          <w:bCs/>
        </w:rPr>
      </w:pPr>
    </w:p>
    <w:p w14:paraId="778247D3" w14:textId="77777777" w:rsidR="00CE2231" w:rsidRPr="006A340E" w:rsidRDefault="00CE2231" w:rsidP="00CE2231">
      <w:pPr>
        <w:rPr>
          <w:b/>
          <w:bCs/>
        </w:rPr>
      </w:pPr>
      <w:r>
        <w:rPr>
          <w:b/>
          <w:bCs/>
        </w:rPr>
        <w:t>Topic Group Activity:</w:t>
      </w:r>
    </w:p>
    <w:p w14:paraId="5C0A685B" w14:textId="77777777" w:rsidR="00CE2231" w:rsidRDefault="00CE2231" w:rsidP="00CE2231">
      <w:r>
        <w:t xml:space="preserve">More details about the activities of the topic group can be found in the current Topic Group Description document at: </w:t>
      </w:r>
    </w:p>
    <w:p w14:paraId="16524AE5" w14:textId="77777777" w:rsidR="00CE2231" w:rsidRDefault="00564E34" w:rsidP="00CE2231">
      <w:hyperlink r:id="rId14" w:history="1">
        <w:r w:rsidR="00CE2231" w:rsidRPr="00493BBB">
          <w:rPr>
            <w:rStyle w:val="Hyperlink"/>
          </w:rPr>
          <w:t>https://www.itu.int/en/ITU-T/focusgroups/ai4h/Documents/tg/Stat-TG-Ophtalmo.pdf</w:t>
        </w:r>
      </w:hyperlink>
    </w:p>
    <w:p w14:paraId="6E0FF2E1" w14:textId="77777777" w:rsidR="00CE2231" w:rsidRDefault="00CE2231" w:rsidP="00CE2231"/>
    <w:p w14:paraId="74E58AB6" w14:textId="77777777" w:rsidR="00CE2231" w:rsidRPr="006A340E" w:rsidRDefault="00CE2231" w:rsidP="00CE2231">
      <w:pPr>
        <w:rPr>
          <w:b/>
          <w:bCs/>
        </w:rPr>
      </w:pPr>
      <w:r>
        <w:rPr>
          <w:b/>
          <w:bCs/>
        </w:rPr>
        <w:t xml:space="preserve">Topic Group </w:t>
      </w:r>
      <w:r w:rsidRPr="006A340E">
        <w:rPr>
          <w:b/>
          <w:bCs/>
        </w:rPr>
        <w:t xml:space="preserve">Members: </w:t>
      </w:r>
    </w:p>
    <w:p w14:paraId="25075464" w14:textId="77777777" w:rsidR="00CE2231" w:rsidRDefault="00CE2231" w:rsidP="00CE2231">
      <w:bookmarkStart w:id="14" w:name="_Hlk18081188"/>
      <w:r>
        <w:t xml:space="preserve">Current members of the topic group on </w:t>
      </w:r>
      <w:r w:rsidRPr="002B53B6">
        <w:t>Ophthalmology (retinal imaging diagnostics)</w:t>
      </w:r>
      <w:r>
        <w:t xml:space="preserve"> include </w:t>
      </w:r>
    </w:p>
    <w:p w14:paraId="253D45F0" w14:textId="77777777" w:rsidR="00CE2231" w:rsidRDefault="00CE2231" w:rsidP="00CE2231">
      <w:pPr>
        <w:pStyle w:val="ListParagraph"/>
        <w:numPr>
          <w:ilvl w:val="0"/>
          <w:numId w:val="24"/>
        </w:numPr>
      </w:pPr>
      <w:r>
        <w:t xml:space="preserve">Arun Shroff, Xtend.AI and Medindia.net (USA, India),   </w:t>
      </w:r>
    </w:p>
    <w:p w14:paraId="3AB0D836" w14:textId="77777777" w:rsidR="00CE2231" w:rsidRDefault="00CE2231" w:rsidP="00CE2231">
      <w:pPr>
        <w:pStyle w:val="ListParagraph"/>
      </w:pPr>
      <w:r>
        <w:t>Founder of Xtend.ai and Topic Lead for Ophthalmology (retinal imaging diagnostics)</w:t>
      </w:r>
    </w:p>
    <w:p w14:paraId="2D636928" w14:textId="77777777" w:rsidR="00CE2231" w:rsidRDefault="00CE2231" w:rsidP="00CE2231">
      <w:pPr>
        <w:pStyle w:val="ListParagraph"/>
        <w:numPr>
          <w:ilvl w:val="0"/>
          <w:numId w:val="24"/>
        </w:numPr>
      </w:pPr>
      <w:r>
        <w:t>Yanwu XU, Artificial Intelligence Innovation Business, Chief Scientist, Baidu, China</w:t>
      </w:r>
    </w:p>
    <w:p w14:paraId="59C5FFB1" w14:textId="77777777" w:rsidR="00CE2231" w:rsidRDefault="00CE2231" w:rsidP="00CE2231">
      <w:pPr>
        <w:pStyle w:val="ListParagraph"/>
        <w:numPr>
          <w:ilvl w:val="0"/>
          <w:numId w:val="24"/>
        </w:numPr>
      </w:pPr>
      <w:r>
        <w:t xml:space="preserve">Jingyu WANG, Artificial Intelligence Group, Baidu, China </w:t>
      </w:r>
    </w:p>
    <w:p w14:paraId="1BEF132D" w14:textId="77777777" w:rsidR="00CE2231" w:rsidRDefault="00CE2231" w:rsidP="00CE2231">
      <w:pPr>
        <w:pStyle w:val="ListParagraph"/>
        <w:numPr>
          <w:ilvl w:val="0"/>
          <w:numId w:val="24"/>
        </w:numPr>
      </w:pPr>
      <w:r>
        <w:t xml:space="preserve">Shan Xu, CAICT, China </w:t>
      </w:r>
    </w:p>
    <w:p w14:paraId="3DBF7213" w14:textId="77777777" w:rsidR="00CE2231" w:rsidRDefault="00CE2231" w:rsidP="00CE2231">
      <w:pPr>
        <w:pStyle w:val="ListParagraph"/>
        <w:numPr>
          <w:ilvl w:val="0"/>
          <w:numId w:val="24"/>
        </w:numPr>
      </w:pPr>
      <w:r>
        <w:t>Ashley Kras, M.D. M. S., Ophthalmologist &amp; Bioinformatician (Harvard Medical School)</w:t>
      </w:r>
    </w:p>
    <w:p w14:paraId="74881CBD" w14:textId="77777777" w:rsidR="00CE2231" w:rsidRPr="009D47E3" w:rsidRDefault="00CE2231" w:rsidP="00CE2231">
      <w:pPr>
        <w:pStyle w:val="ListParagraph"/>
        <w:numPr>
          <w:ilvl w:val="0"/>
          <w:numId w:val="24"/>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24C376B3" w14:textId="77777777" w:rsidR="00CE2231" w:rsidRPr="000A7D12" w:rsidRDefault="00CE2231" w:rsidP="00CE2231">
      <w:pPr>
        <w:pStyle w:val="ListParagraph"/>
        <w:numPr>
          <w:ilvl w:val="0"/>
          <w:numId w:val="24"/>
        </w:numPr>
      </w:pPr>
      <w:r w:rsidRPr="009D47E3">
        <w:t xml:space="preserve">Inês Sousa, Head of Intelligent Systems, </w:t>
      </w:r>
      <w:r w:rsidRPr="000511F9">
        <w:t>Fraunhofer Portugal AICOS</w:t>
      </w:r>
    </w:p>
    <w:p w14:paraId="79AD6433" w14:textId="77777777" w:rsidR="00CE2231" w:rsidRDefault="00CE2231" w:rsidP="00CE2231">
      <w:pPr>
        <w:ind w:left="360"/>
      </w:pPr>
    </w:p>
    <w:bookmarkEnd w:id="14"/>
    <w:p w14:paraId="0BE9FB0E" w14:textId="77777777" w:rsidR="00CE2231" w:rsidRDefault="00CE2231" w:rsidP="00CE2231">
      <w:r>
        <w:t xml:space="preserve">The topic group would benefit from further expertise of the medical and AI communities and from additional data. </w:t>
      </w:r>
    </w:p>
    <w:p w14:paraId="2A510BBF" w14:textId="77777777" w:rsidR="00CE2231" w:rsidRDefault="00CE2231" w:rsidP="00CE2231">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023C790E" w14:textId="77777777" w:rsidR="00CE2231" w:rsidRDefault="00CE2231" w:rsidP="00CE2231">
      <w:pPr>
        <w:pStyle w:val="Heading1"/>
      </w:pPr>
      <w:bookmarkStart w:id="15" w:name="_e6ujau1z0gxx" w:colFirst="0" w:colLast="0"/>
      <w:bookmarkEnd w:id="15"/>
      <w:r>
        <w:t>Get involved</w:t>
      </w:r>
    </w:p>
    <w:p w14:paraId="64FCB951" w14:textId="77777777" w:rsidR="00CE2231" w:rsidRDefault="00CE2231" w:rsidP="00CE2231">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4E5E5136" w14:textId="77777777" w:rsidR="00CE2231" w:rsidRDefault="00CE2231" w:rsidP="00CE2231">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16" w:name="_GoBack"/>
      <w:bookmarkEnd w:id="16"/>
    </w:p>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4DD0" w14:textId="77777777" w:rsidR="002644BF" w:rsidRDefault="002644BF" w:rsidP="007B7733">
      <w:pPr>
        <w:spacing w:before="0"/>
      </w:pPr>
      <w:r>
        <w:separator/>
      </w:r>
    </w:p>
  </w:endnote>
  <w:endnote w:type="continuationSeparator" w:id="0">
    <w:p w14:paraId="2C0E310D" w14:textId="77777777" w:rsidR="002644BF" w:rsidRDefault="002644B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86D2" w14:textId="77777777" w:rsidR="002644BF" w:rsidRDefault="002644BF" w:rsidP="007B7733">
      <w:pPr>
        <w:spacing w:before="0"/>
      </w:pPr>
      <w:r>
        <w:separator/>
      </w:r>
    </w:p>
  </w:footnote>
  <w:footnote w:type="continuationSeparator" w:id="0">
    <w:p w14:paraId="0017F968" w14:textId="77777777" w:rsidR="002644BF" w:rsidRDefault="002644B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2E56E99C"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C7B5B">
      <w:rPr>
        <w:noProof/>
      </w:rPr>
      <w:t>5</w:t>
    </w:r>
    <w:r>
      <w:rPr>
        <w:noProof/>
      </w:rPr>
      <w:fldChar w:fldCharType="end"/>
    </w:r>
    <w:r>
      <w:rPr>
        <w:lang w:val="pt-BR"/>
      </w:rPr>
      <w:t xml:space="preserve"> -</w:t>
    </w:r>
  </w:p>
  <w:p w14:paraId="07A7B8FD" w14:textId="2566611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64E34">
      <w:rPr>
        <w:noProof/>
      </w:rPr>
      <w:t>FG-AI4H-F-005-A07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C9B7EA2"/>
    <w:multiLevelType w:val="hybridMultilevel"/>
    <w:tmpl w:val="58F4F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5490EB5"/>
    <w:multiLevelType w:val="hybridMultilevel"/>
    <w:tmpl w:val="C71C0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14"/>
  </w:num>
  <w:num w:numId="24">
    <w:abstractNumId w:val="16"/>
  </w:num>
  <w:num w:numId="25">
    <w:abstractNumId w:val="11"/>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2AD8"/>
    <w:rsid w:val="00146FED"/>
    <w:rsid w:val="00147EE6"/>
    <w:rsid w:val="001528E6"/>
    <w:rsid w:val="00155DD6"/>
    <w:rsid w:val="00157413"/>
    <w:rsid w:val="001605F4"/>
    <w:rsid w:val="00161BAB"/>
    <w:rsid w:val="0016529A"/>
    <w:rsid w:val="001664ED"/>
    <w:rsid w:val="00166E75"/>
    <w:rsid w:val="00167647"/>
    <w:rsid w:val="00172670"/>
    <w:rsid w:val="0017488A"/>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C7B5B"/>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2097"/>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234E"/>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4E3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C74FB"/>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045"/>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1592"/>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3ECD"/>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231"/>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E20"/>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ParagraphAfterHeadingLevel1">
    <w:name w:val="Paragraph After Heading Level 1"/>
    <w:basedOn w:val="Normal"/>
    <w:rsid w:val="00CE2231"/>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Stat-TG-Ophtal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0203E-0132-4971-AFAC-53669A46AAB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9</TotalTime>
  <Pages>2</Pages>
  <Words>1922</Words>
  <Characters>11043</Characters>
  <Application>Microsoft Office Word</Application>
  <DocSecurity>0</DocSecurity>
  <Lines>215</Lines>
  <Paragraphs>99</Paragraphs>
  <ScaleCrop>false</ScaleCrop>
  <HeadingPairs>
    <vt:vector size="2" baseType="variant">
      <vt:variant>
        <vt:lpstr>Title</vt:lpstr>
      </vt:variant>
      <vt:variant>
        <vt:i4>1</vt:i4>
      </vt:variant>
    </vt:vector>
  </HeadingPairs>
  <TitlesOfParts>
    <vt:vector size="1" baseType="lpstr">
      <vt:lpstr>Updated Call for Topic Group Participation: Standardized benchmarking of AI for Ophthalmology (Retinal Imaging Diagnostics)</vt:lpstr>
    </vt:vector>
  </TitlesOfParts>
  <Manager>ITU-T</Manager>
  <Company>International Telecommunication Union (ITU)</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Standardized benchmarking of AI for Ophthalmology (Retinal Imaging Diagnostics)</dc:title>
  <dc:subject/>
  <dc:creator>TG-Ophtalmo Driver</dc:creator>
  <cp:keywords/>
  <dc:description>FG-AI4H-F-005-A07  For: Zanzibar, 3-5 September 2019_x000d_Document date: ITU-T Focus Group on AI for Health_x000d_Saved by ITU51013388 at 06:32:17 on 01/09/2019</dc:description>
  <cp:lastModifiedBy>Simão Campos-Neto</cp:lastModifiedBy>
  <cp:revision>20</cp:revision>
  <cp:lastPrinted>2011-04-05T14:28:00Z</cp:lastPrinted>
  <dcterms:created xsi:type="dcterms:W3CDTF">2019-04-09T13:22:00Z</dcterms:created>
  <dcterms:modified xsi:type="dcterms:W3CDTF">2019-09-01T04:32:00Z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FG-AI4H-F-005-A07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Zanzibar, 3-5 September 2019</vt:lpwstr>
  </property>
  <property fmtid="{D5CDD505-2E9C-101B-9397-08002B2CF9AE}" pid="8" name="Docauthor">
    <vt:lpwstr>TG-Ophtalmo Driver</vt:lpwstr>
  </property>
</Properties>
</file>