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E03557" w:rsidRPr="00E03557" w14:paraId="38759C0B" w14:textId="77777777" w:rsidTr="00590D62">
        <w:trPr>
          <w:cantSplit/>
          <w:jc w:val="center"/>
        </w:trPr>
        <w:tc>
          <w:tcPr>
            <w:tcW w:w="1133" w:type="dxa"/>
            <w:vMerge w:val="restart"/>
            <w:vAlign w:val="center"/>
          </w:tcPr>
          <w:p w14:paraId="62945F20"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579F3E37" wp14:editId="1322AF5B">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71124861" w14:textId="77777777" w:rsidR="00E03557" w:rsidRPr="00E03557" w:rsidRDefault="00E03557" w:rsidP="00E03557">
            <w:pPr>
              <w:rPr>
                <w:sz w:val="16"/>
                <w:szCs w:val="16"/>
              </w:rPr>
            </w:pPr>
            <w:r w:rsidRPr="00E03557">
              <w:rPr>
                <w:sz w:val="16"/>
                <w:szCs w:val="16"/>
              </w:rPr>
              <w:t>INTERNATIONAL TELECOMMUNICATION UNION</w:t>
            </w:r>
          </w:p>
          <w:p w14:paraId="656FB7CF"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09EB62BC" w14:textId="77777777"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14:paraId="2637744E" w14:textId="1C6DD45F" w:rsidR="00E03557" w:rsidRPr="00852AAD" w:rsidRDefault="00BC1D31" w:rsidP="00401AE5">
            <w:pPr>
              <w:pStyle w:val="Docnumber"/>
            </w:pPr>
            <w:r>
              <w:t>FG-AI4H</w:t>
            </w:r>
            <w:r w:rsidR="00E03557">
              <w:t>-</w:t>
            </w:r>
            <w:r w:rsidR="00115910">
              <w:t>E</w:t>
            </w:r>
            <w:r w:rsidR="00C84DB0">
              <w:t>-021</w:t>
            </w:r>
          </w:p>
        </w:tc>
      </w:tr>
      <w:bookmarkEnd w:id="2"/>
      <w:tr w:rsidR="00E03557" w:rsidRPr="00E03557" w14:paraId="61900523" w14:textId="77777777" w:rsidTr="00590D62">
        <w:trPr>
          <w:cantSplit/>
          <w:jc w:val="center"/>
        </w:trPr>
        <w:tc>
          <w:tcPr>
            <w:tcW w:w="1133" w:type="dxa"/>
            <w:vMerge/>
          </w:tcPr>
          <w:p w14:paraId="12F02552" w14:textId="77777777" w:rsidR="00E03557" w:rsidRPr="00E03557" w:rsidRDefault="00E03557" w:rsidP="00E03557">
            <w:pPr>
              <w:rPr>
                <w:smallCaps/>
                <w:sz w:val="20"/>
              </w:rPr>
            </w:pPr>
          </w:p>
        </w:tc>
        <w:tc>
          <w:tcPr>
            <w:tcW w:w="3829" w:type="dxa"/>
            <w:gridSpan w:val="2"/>
            <w:vMerge/>
          </w:tcPr>
          <w:p w14:paraId="21D46DAB" w14:textId="77777777" w:rsidR="00E03557" w:rsidRPr="00E03557" w:rsidRDefault="00E03557" w:rsidP="00E03557">
            <w:pPr>
              <w:rPr>
                <w:smallCaps/>
                <w:sz w:val="20"/>
              </w:rPr>
            </w:pPr>
            <w:bookmarkStart w:id="3" w:name="ddate" w:colFirst="2" w:colLast="2"/>
          </w:p>
        </w:tc>
        <w:tc>
          <w:tcPr>
            <w:tcW w:w="4678" w:type="dxa"/>
            <w:gridSpan w:val="2"/>
          </w:tcPr>
          <w:p w14:paraId="6D7FF968" w14:textId="77777777"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37235BDB" w14:textId="77777777" w:rsidTr="00590D62">
        <w:trPr>
          <w:cantSplit/>
          <w:jc w:val="center"/>
        </w:trPr>
        <w:tc>
          <w:tcPr>
            <w:tcW w:w="1133" w:type="dxa"/>
            <w:vMerge/>
            <w:tcBorders>
              <w:bottom w:val="single" w:sz="12" w:space="0" w:color="auto"/>
            </w:tcBorders>
          </w:tcPr>
          <w:p w14:paraId="6D220161" w14:textId="77777777" w:rsidR="00E03557" w:rsidRPr="00E03557" w:rsidRDefault="00E03557" w:rsidP="00E03557">
            <w:pPr>
              <w:rPr>
                <w:b/>
                <w:bCs/>
                <w:sz w:val="26"/>
              </w:rPr>
            </w:pPr>
          </w:p>
        </w:tc>
        <w:tc>
          <w:tcPr>
            <w:tcW w:w="3829" w:type="dxa"/>
            <w:gridSpan w:val="2"/>
            <w:vMerge/>
            <w:tcBorders>
              <w:bottom w:val="single" w:sz="12" w:space="0" w:color="auto"/>
            </w:tcBorders>
          </w:tcPr>
          <w:p w14:paraId="4C9BD522"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14:paraId="114C4C9A" w14:textId="77777777" w:rsidR="00E03557" w:rsidRPr="00E03557" w:rsidRDefault="00E03557" w:rsidP="00E03557">
            <w:pPr>
              <w:jc w:val="right"/>
              <w:rPr>
                <w:b/>
                <w:bCs/>
                <w:sz w:val="28"/>
                <w:szCs w:val="28"/>
              </w:rPr>
            </w:pPr>
            <w:r w:rsidRPr="00E03557">
              <w:rPr>
                <w:b/>
                <w:bCs/>
                <w:sz w:val="28"/>
                <w:szCs w:val="28"/>
              </w:rPr>
              <w:t>Original: English</w:t>
            </w:r>
          </w:p>
        </w:tc>
      </w:tr>
      <w:tr w:rsidR="00BC1D31" w:rsidRPr="00E03557" w14:paraId="0743F59B" w14:textId="77777777" w:rsidTr="00590D62">
        <w:trPr>
          <w:cantSplit/>
          <w:jc w:val="center"/>
        </w:trPr>
        <w:tc>
          <w:tcPr>
            <w:tcW w:w="1700" w:type="dxa"/>
            <w:gridSpan w:val="2"/>
          </w:tcPr>
          <w:p w14:paraId="6287A4F7" w14:textId="77777777" w:rsidR="00BC1D31" w:rsidRPr="00E03557" w:rsidRDefault="00BC1D31" w:rsidP="00BC1D31">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vAlign w:val="center"/>
          </w:tcPr>
          <w:p w14:paraId="08D091B8" w14:textId="12B17B8A" w:rsidR="00BC1D31" w:rsidRPr="00123B21" w:rsidRDefault="001E401B" w:rsidP="00404076">
            <w:r>
              <w:t>WG-RC</w:t>
            </w:r>
          </w:p>
        </w:tc>
        <w:tc>
          <w:tcPr>
            <w:tcW w:w="4678" w:type="dxa"/>
            <w:gridSpan w:val="2"/>
            <w:vAlign w:val="center"/>
          </w:tcPr>
          <w:p w14:paraId="4472E83B" w14:textId="1BEC8993" w:rsidR="00BC1D31" w:rsidRPr="00123B21" w:rsidRDefault="00115910" w:rsidP="00401AE5">
            <w:pPr>
              <w:jc w:val="right"/>
            </w:pPr>
            <w:r>
              <w:t>Geneva</w:t>
            </w:r>
            <w:r w:rsidR="00BC1D31">
              <w:t xml:space="preserve">, </w:t>
            </w:r>
            <w:r w:rsidR="00EA7C59">
              <w:t>30</w:t>
            </w:r>
            <w:r>
              <w:t xml:space="preserve"> May – 1 June</w:t>
            </w:r>
            <w:r w:rsidR="00BC1D31" w:rsidRPr="00401AE5">
              <w:t xml:space="preserve"> </w:t>
            </w:r>
            <w:r w:rsidR="00401AE5" w:rsidRPr="00401AE5">
              <w:t>2019</w:t>
            </w:r>
          </w:p>
        </w:tc>
      </w:tr>
      <w:tr w:rsidR="00E03557" w:rsidRPr="00E03557" w14:paraId="30567008" w14:textId="77777777" w:rsidTr="00E03557">
        <w:trPr>
          <w:cantSplit/>
          <w:jc w:val="center"/>
        </w:trPr>
        <w:tc>
          <w:tcPr>
            <w:tcW w:w="9640" w:type="dxa"/>
            <w:gridSpan w:val="5"/>
          </w:tcPr>
          <w:p w14:paraId="76FBAE30"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44AAE28E" w14:textId="77777777" w:rsidTr="00590D62">
        <w:trPr>
          <w:cantSplit/>
          <w:jc w:val="center"/>
        </w:trPr>
        <w:tc>
          <w:tcPr>
            <w:tcW w:w="1700" w:type="dxa"/>
            <w:gridSpan w:val="2"/>
          </w:tcPr>
          <w:p w14:paraId="7F14C1D6" w14:textId="77777777" w:rsidR="00BC1D31" w:rsidRPr="00E03557" w:rsidRDefault="00BC1D31" w:rsidP="00BC1D31">
            <w:pPr>
              <w:rPr>
                <w:b/>
                <w:bCs/>
              </w:rPr>
            </w:pPr>
            <w:bookmarkStart w:id="8" w:name="dsource" w:colFirst="1" w:colLast="1"/>
            <w:bookmarkEnd w:id="7"/>
            <w:r w:rsidRPr="00E03557">
              <w:rPr>
                <w:b/>
                <w:bCs/>
              </w:rPr>
              <w:t>Source:</w:t>
            </w:r>
          </w:p>
        </w:tc>
        <w:tc>
          <w:tcPr>
            <w:tcW w:w="7940" w:type="dxa"/>
            <w:gridSpan w:val="3"/>
            <w:vAlign w:val="center"/>
          </w:tcPr>
          <w:p w14:paraId="5A5D3443" w14:textId="06A3DD10" w:rsidR="00BC1D31" w:rsidRPr="00123B21" w:rsidRDefault="00987D36" w:rsidP="001E401B">
            <w:r>
              <w:t xml:space="preserve">National Institute of Communication Finance (NICF), </w:t>
            </w:r>
            <w:r w:rsidR="00564B96">
              <w:t>D</w:t>
            </w:r>
            <w:r w:rsidR="00170374">
              <w:t>epartment of Telecommunications</w:t>
            </w:r>
            <w:r>
              <w:t xml:space="preserve">, Indian Council of Medical Research (ICMR), </w:t>
            </w:r>
            <w:r w:rsidR="00564B96">
              <w:t>India</w:t>
            </w:r>
          </w:p>
        </w:tc>
      </w:tr>
      <w:tr w:rsidR="00BC1D31" w:rsidRPr="00E03557" w14:paraId="48BF5BDF" w14:textId="77777777" w:rsidTr="00590D62">
        <w:trPr>
          <w:cantSplit/>
          <w:jc w:val="center"/>
        </w:trPr>
        <w:tc>
          <w:tcPr>
            <w:tcW w:w="1700" w:type="dxa"/>
            <w:gridSpan w:val="2"/>
          </w:tcPr>
          <w:p w14:paraId="6AC230DC" w14:textId="77777777" w:rsidR="00BC1D31" w:rsidRPr="00E03557" w:rsidRDefault="00BC1D31" w:rsidP="00BC1D31">
            <w:bookmarkStart w:id="9" w:name="dtitle1" w:colFirst="1" w:colLast="1"/>
            <w:bookmarkEnd w:id="8"/>
            <w:r w:rsidRPr="00E03557">
              <w:rPr>
                <w:b/>
                <w:bCs/>
              </w:rPr>
              <w:t>Title:</w:t>
            </w:r>
          </w:p>
        </w:tc>
        <w:tc>
          <w:tcPr>
            <w:tcW w:w="7940" w:type="dxa"/>
            <w:gridSpan w:val="3"/>
            <w:vAlign w:val="center"/>
          </w:tcPr>
          <w:p w14:paraId="36D94881" w14:textId="4DC2AB41" w:rsidR="00BC1D31" w:rsidRPr="00123B21" w:rsidRDefault="00564B96" w:rsidP="001E401B">
            <w:r>
              <w:t xml:space="preserve">Study on “Identifying Regulatory </w:t>
            </w:r>
            <w:r w:rsidR="00581DEB">
              <w:t xml:space="preserve">Challenges and Opportunities of </w:t>
            </w:r>
            <w:r>
              <w:t>AI in Health</w:t>
            </w:r>
            <w:r w:rsidR="00987D36">
              <w:t>.</w:t>
            </w:r>
            <w:r>
              <w:t>”</w:t>
            </w:r>
          </w:p>
        </w:tc>
      </w:tr>
      <w:tr w:rsidR="00E03557" w:rsidRPr="00E03557" w14:paraId="07942B43" w14:textId="77777777" w:rsidTr="00590D62">
        <w:trPr>
          <w:cantSplit/>
          <w:jc w:val="center"/>
        </w:trPr>
        <w:tc>
          <w:tcPr>
            <w:tcW w:w="1700" w:type="dxa"/>
            <w:gridSpan w:val="2"/>
            <w:tcBorders>
              <w:bottom w:val="single" w:sz="6" w:space="0" w:color="auto"/>
            </w:tcBorders>
          </w:tcPr>
          <w:p w14:paraId="70346023" w14:textId="77777777" w:rsidR="00E03557" w:rsidRPr="00E03557" w:rsidRDefault="00E03557" w:rsidP="00E0355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24590EA9" w14:textId="77777777" w:rsidR="00E03557" w:rsidRPr="00564B96" w:rsidRDefault="00564B96" w:rsidP="001E401B">
            <w:r>
              <w:rPr>
                <w:lang w:val="en-US"/>
              </w:rPr>
              <w:t>Discussion</w:t>
            </w:r>
          </w:p>
        </w:tc>
      </w:tr>
      <w:bookmarkEnd w:id="0"/>
      <w:bookmarkEnd w:id="10"/>
      <w:tr w:rsidR="00987D36" w:rsidRPr="00E03557" w14:paraId="53DF209A" w14:textId="77777777" w:rsidTr="001E401B">
        <w:trPr>
          <w:cantSplit/>
          <w:jc w:val="center"/>
        </w:trPr>
        <w:tc>
          <w:tcPr>
            <w:tcW w:w="1700" w:type="dxa"/>
            <w:gridSpan w:val="2"/>
            <w:tcBorders>
              <w:top w:val="single" w:sz="6" w:space="0" w:color="auto"/>
              <w:bottom w:val="single" w:sz="6" w:space="0" w:color="auto"/>
            </w:tcBorders>
          </w:tcPr>
          <w:p w14:paraId="5A4C4FDA" w14:textId="77777777" w:rsidR="00987D36" w:rsidRPr="00E03557" w:rsidRDefault="00987D36" w:rsidP="00987D36">
            <w:pPr>
              <w:rPr>
                <w:b/>
                <w:bCs/>
              </w:rPr>
            </w:pPr>
            <w:r w:rsidRPr="00E03557">
              <w:rPr>
                <w:b/>
                <w:bCs/>
              </w:rPr>
              <w:t>Contact:</w:t>
            </w:r>
          </w:p>
        </w:tc>
        <w:tc>
          <w:tcPr>
            <w:tcW w:w="3829" w:type="dxa"/>
            <w:gridSpan w:val="2"/>
            <w:tcBorders>
              <w:top w:val="single" w:sz="6" w:space="0" w:color="auto"/>
              <w:bottom w:val="single" w:sz="6" w:space="0" w:color="auto"/>
            </w:tcBorders>
          </w:tcPr>
          <w:p w14:paraId="3CA045F9" w14:textId="574698AB" w:rsidR="00987D36" w:rsidRPr="001E401B" w:rsidRDefault="00987D36" w:rsidP="001E401B">
            <w:r w:rsidRPr="00170374">
              <w:t xml:space="preserve">Devendra Kumar </w:t>
            </w:r>
            <w:proofErr w:type="spellStart"/>
            <w:r w:rsidRPr="00170374">
              <w:t>Nim</w:t>
            </w:r>
            <w:proofErr w:type="spellEnd"/>
            <w:r w:rsidRPr="00170374">
              <w:br/>
              <w:t>National Institute of Communication Finance (DoT)</w:t>
            </w:r>
            <w:r w:rsidRPr="00170374">
              <w:br/>
              <w:t>India</w:t>
            </w:r>
          </w:p>
        </w:tc>
        <w:tc>
          <w:tcPr>
            <w:tcW w:w="4111" w:type="dxa"/>
            <w:tcBorders>
              <w:top w:val="single" w:sz="6" w:space="0" w:color="auto"/>
              <w:bottom w:val="single" w:sz="6" w:space="0" w:color="auto"/>
            </w:tcBorders>
          </w:tcPr>
          <w:p w14:paraId="6BA92AE2" w14:textId="70EA282E" w:rsidR="00987D36" w:rsidRPr="00564B96" w:rsidRDefault="00987D36" w:rsidP="001E401B">
            <w:r w:rsidRPr="00170374">
              <w:t xml:space="preserve">Tel: </w:t>
            </w:r>
            <w:r w:rsidRPr="00170374">
              <w:tab/>
              <w:t>+</w:t>
            </w:r>
            <w:r>
              <w:t>911126502668</w:t>
            </w:r>
            <w:r w:rsidRPr="00170374">
              <w:br/>
              <w:t xml:space="preserve">Fax: </w:t>
            </w:r>
            <w:r w:rsidRPr="00170374">
              <w:tab/>
              <w:t>+</w:t>
            </w:r>
            <w:r>
              <w:t>911126502457</w:t>
            </w:r>
            <w:r w:rsidRPr="00170374">
              <w:br/>
              <w:t xml:space="preserve">Email: </w:t>
            </w:r>
            <w:hyperlink r:id="rId11" w:history="1">
              <w:r w:rsidR="001E401B" w:rsidRPr="00B046FA">
                <w:rPr>
                  <w:rStyle w:val="Hyperlink"/>
                </w:rPr>
                <w:t>devendrakumar.nim@gov.in</w:t>
              </w:r>
            </w:hyperlink>
            <w:r w:rsidR="001E401B">
              <w:t xml:space="preserve"> </w:t>
            </w:r>
          </w:p>
        </w:tc>
      </w:tr>
      <w:tr w:rsidR="00987D36" w:rsidRPr="00E03557" w14:paraId="7E0CBE0E" w14:textId="77777777" w:rsidTr="001E401B">
        <w:trPr>
          <w:cantSplit/>
          <w:jc w:val="center"/>
        </w:trPr>
        <w:tc>
          <w:tcPr>
            <w:tcW w:w="1700" w:type="dxa"/>
            <w:gridSpan w:val="2"/>
            <w:tcBorders>
              <w:top w:val="single" w:sz="6" w:space="0" w:color="auto"/>
              <w:bottom w:val="single" w:sz="6" w:space="0" w:color="auto"/>
            </w:tcBorders>
          </w:tcPr>
          <w:p w14:paraId="31F2A191" w14:textId="77777777" w:rsidR="00987D36" w:rsidRPr="00E03557" w:rsidRDefault="00987D36" w:rsidP="00987D36">
            <w:pPr>
              <w:rPr>
                <w:b/>
                <w:bCs/>
              </w:rPr>
            </w:pPr>
            <w:r w:rsidRPr="00E03557">
              <w:rPr>
                <w:b/>
                <w:bCs/>
              </w:rPr>
              <w:t>Contact:</w:t>
            </w:r>
          </w:p>
        </w:tc>
        <w:tc>
          <w:tcPr>
            <w:tcW w:w="3829" w:type="dxa"/>
            <w:gridSpan w:val="2"/>
            <w:tcBorders>
              <w:top w:val="single" w:sz="6" w:space="0" w:color="auto"/>
              <w:bottom w:val="single" w:sz="6" w:space="0" w:color="auto"/>
            </w:tcBorders>
          </w:tcPr>
          <w:p w14:paraId="442D078D" w14:textId="77777777" w:rsidR="00987D36" w:rsidRPr="00BC1D31" w:rsidRDefault="00987D36" w:rsidP="001E401B">
            <w:pPr>
              <w:rPr>
                <w:highlight w:val="yellow"/>
              </w:rPr>
            </w:pPr>
            <w:r w:rsidRPr="00170374">
              <w:t>Vinod Kotwal</w:t>
            </w:r>
            <w:r w:rsidRPr="00170374">
              <w:br/>
              <w:t>Department of Telecommunications</w:t>
            </w:r>
            <w:r w:rsidRPr="00170374">
              <w:br/>
              <w:t>India</w:t>
            </w:r>
          </w:p>
        </w:tc>
        <w:tc>
          <w:tcPr>
            <w:tcW w:w="4111" w:type="dxa"/>
            <w:tcBorders>
              <w:top w:val="single" w:sz="6" w:space="0" w:color="auto"/>
              <w:bottom w:val="single" w:sz="6" w:space="0" w:color="auto"/>
            </w:tcBorders>
          </w:tcPr>
          <w:p w14:paraId="0E8777D4" w14:textId="42654633" w:rsidR="00987D36" w:rsidRPr="00BC1D31" w:rsidRDefault="00987D36" w:rsidP="001E401B">
            <w:pPr>
              <w:rPr>
                <w:highlight w:val="yellow"/>
              </w:rPr>
            </w:pPr>
            <w:r w:rsidRPr="00170374">
              <w:t xml:space="preserve">Tel: </w:t>
            </w:r>
            <w:r w:rsidRPr="00170374">
              <w:tab/>
              <w:t>+911123372136</w:t>
            </w:r>
            <w:r w:rsidRPr="00170374">
              <w:br/>
              <w:t xml:space="preserve">Email: </w:t>
            </w:r>
            <w:r w:rsidRPr="00170374">
              <w:tab/>
            </w:r>
            <w:hyperlink r:id="rId12" w:history="1">
              <w:r w:rsidR="001E401B" w:rsidRPr="00B046FA">
                <w:rPr>
                  <w:rStyle w:val="Hyperlink"/>
                </w:rPr>
                <w:t>vinod.kotwal@nic.in</w:t>
              </w:r>
            </w:hyperlink>
            <w:r w:rsidR="001E401B">
              <w:t xml:space="preserve"> </w:t>
            </w:r>
          </w:p>
        </w:tc>
      </w:tr>
      <w:tr w:rsidR="00987D36" w:rsidRPr="00E03557" w14:paraId="3887937C" w14:textId="77777777" w:rsidTr="001E401B">
        <w:trPr>
          <w:cantSplit/>
          <w:jc w:val="center"/>
        </w:trPr>
        <w:tc>
          <w:tcPr>
            <w:tcW w:w="1700" w:type="dxa"/>
            <w:gridSpan w:val="2"/>
            <w:tcBorders>
              <w:top w:val="single" w:sz="6" w:space="0" w:color="auto"/>
              <w:bottom w:val="single" w:sz="6" w:space="0" w:color="auto"/>
            </w:tcBorders>
          </w:tcPr>
          <w:p w14:paraId="49E40836" w14:textId="77777777" w:rsidR="00987D36" w:rsidRPr="00E03557" w:rsidRDefault="00987D36" w:rsidP="00987D36">
            <w:pPr>
              <w:rPr>
                <w:b/>
                <w:bCs/>
              </w:rPr>
            </w:pPr>
            <w:r w:rsidRPr="00E03557">
              <w:rPr>
                <w:b/>
                <w:bCs/>
              </w:rPr>
              <w:t>Contact:</w:t>
            </w:r>
          </w:p>
        </w:tc>
        <w:tc>
          <w:tcPr>
            <w:tcW w:w="3829" w:type="dxa"/>
            <w:gridSpan w:val="2"/>
            <w:tcBorders>
              <w:top w:val="single" w:sz="6" w:space="0" w:color="auto"/>
              <w:bottom w:val="single" w:sz="6" w:space="0" w:color="auto"/>
            </w:tcBorders>
          </w:tcPr>
          <w:p w14:paraId="4C1BD376" w14:textId="1044F33A" w:rsidR="00987D36" w:rsidRPr="00BC1D31" w:rsidRDefault="00987D36" w:rsidP="001E401B">
            <w:pPr>
              <w:rPr>
                <w:highlight w:val="yellow"/>
              </w:rPr>
            </w:pPr>
            <w:r w:rsidRPr="00564B96">
              <w:t>Rajeev Roy</w:t>
            </w:r>
            <w:r w:rsidRPr="00564B96">
              <w:br/>
              <w:t>ICMR</w:t>
            </w:r>
            <w:r w:rsidRPr="00564B96">
              <w:br/>
              <w:t>India</w:t>
            </w:r>
          </w:p>
        </w:tc>
        <w:tc>
          <w:tcPr>
            <w:tcW w:w="4111" w:type="dxa"/>
            <w:tcBorders>
              <w:top w:val="single" w:sz="6" w:space="0" w:color="auto"/>
              <w:bottom w:val="single" w:sz="6" w:space="0" w:color="auto"/>
            </w:tcBorders>
          </w:tcPr>
          <w:p w14:paraId="628C3985" w14:textId="3306BF23" w:rsidR="00987D36" w:rsidRPr="00BC1D31" w:rsidRDefault="00987D36" w:rsidP="001E401B">
            <w:pPr>
              <w:rPr>
                <w:highlight w:val="yellow"/>
              </w:rPr>
            </w:pPr>
            <w:r w:rsidRPr="00987D36">
              <w:t>Email:</w:t>
            </w:r>
            <w:r>
              <w:t xml:space="preserve"> </w:t>
            </w:r>
            <w:hyperlink r:id="rId13" w:history="1">
              <w:r w:rsidR="001E401B" w:rsidRPr="00B046FA">
                <w:rPr>
                  <w:rStyle w:val="Hyperlink"/>
                </w:rPr>
                <w:t>Rajeev.roy@gov.in</w:t>
              </w:r>
            </w:hyperlink>
            <w:r w:rsidR="001E401B">
              <w:t xml:space="preserve"> </w:t>
            </w:r>
          </w:p>
        </w:tc>
      </w:tr>
    </w:tbl>
    <w:p w14:paraId="4431D2AA"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32EE1528" w14:textId="77777777" w:rsidTr="00E03557">
        <w:trPr>
          <w:cantSplit/>
          <w:jc w:val="center"/>
        </w:trPr>
        <w:tc>
          <w:tcPr>
            <w:tcW w:w="1701" w:type="dxa"/>
          </w:tcPr>
          <w:p w14:paraId="466B9CB3" w14:textId="77777777" w:rsidR="00E03557" w:rsidRPr="00E03557" w:rsidRDefault="00E03557" w:rsidP="00E03557">
            <w:pPr>
              <w:rPr>
                <w:b/>
                <w:bCs/>
              </w:rPr>
            </w:pPr>
            <w:r w:rsidRPr="00E03557">
              <w:rPr>
                <w:b/>
                <w:bCs/>
              </w:rPr>
              <w:t>Abstract:</w:t>
            </w:r>
          </w:p>
        </w:tc>
        <w:tc>
          <w:tcPr>
            <w:tcW w:w="7939" w:type="dxa"/>
          </w:tcPr>
          <w:p w14:paraId="7A874850" w14:textId="586832A2" w:rsidR="00E03557" w:rsidRPr="00BC1D31" w:rsidRDefault="00170374" w:rsidP="001E401B">
            <w:pPr>
              <w:rPr>
                <w:highlight w:val="yellow"/>
              </w:rPr>
            </w:pPr>
            <w:r w:rsidRPr="00170374">
              <w:t xml:space="preserve">Driven by </w:t>
            </w:r>
            <w:r>
              <w:t xml:space="preserve">growth of big data and the </w:t>
            </w:r>
            <w:r w:rsidRPr="00170374">
              <w:t>machine learning techniques</w:t>
            </w:r>
            <w:r>
              <w:t>, Artificial</w:t>
            </w:r>
            <w:r w:rsidRPr="00170374">
              <w:t xml:space="preserve"> intelligence (AI) is rapidly moving to change the healthcare system.</w:t>
            </w:r>
            <w:r>
              <w:t xml:space="preserve"> T</w:t>
            </w:r>
            <w:r w:rsidRPr="00170374">
              <w:t>ools</w:t>
            </w:r>
            <w:r>
              <w:t xml:space="preserve"> based on AI are being developed </w:t>
            </w:r>
            <w:r w:rsidRPr="00170374">
              <w:t>to improv</w:t>
            </w:r>
            <w:r>
              <w:t xml:space="preserve">e the process of diagnosis, clinical care, </w:t>
            </w:r>
            <w:r w:rsidRPr="00170374">
              <w:t>to advance medical r</w:t>
            </w:r>
            <w:r>
              <w:t>esearch, and to improve efficiency</w:t>
            </w:r>
            <w:r w:rsidRPr="00170374">
              <w:t>.</w:t>
            </w:r>
            <w:r>
              <w:t xml:space="preserve"> These </w:t>
            </w:r>
            <w:r w:rsidRPr="00170374">
              <w:t>tools rely on algorithms, programs created from healthcare data that can make predictions or recommendations.</w:t>
            </w:r>
            <w:r w:rsidR="0017729B">
              <w:rPr>
                <w:rFonts w:eastAsia="Times New Roman"/>
              </w:rPr>
              <w:t xml:space="preserve"> Big data enables AI algorithms to uncover more fine-grained patterns and make more timely and accurat</w:t>
            </w:r>
            <w:r w:rsidR="00987D36">
              <w:rPr>
                <w:rFonts w:eastAsia="Times New Roman"/>
              </w:rPr>
              <w:t>e predictions than ever before. However, these developments are posing new challenges that require new regulatory frameworks to be put in place.</w:t>
            </w:r>
          </w:p>
        </w:tc>
      </w:tr>
    </w:tbl>
    <w:p w14:paraId="72AE6F2D" w14:textId="77777777" w:rsidR="00E03557" w:rsidRPr="0017729B" w:rsidRDefault="0017729B" w:rsidP="001E401B">
      <w:pPr>
        <w:pStyle w:val="Heading1"/>
      </w:pPr>
      <w:r w:rsidRPr="0017729B">
        <w:t>Introduction</w:t>
      </w:r>
    </w:p>
    <w:p w14:paraId="28EC14C6" w14:textId="77777777" w:rsidR="0017729B" w:rsidRDefault="00712B3A" w:rsidP="001E401B">
      <w:pPr>
        <w:rPr>
          <w:rFonts w:eastAsia="Cambria"/>
          <w:color w:val="000000"/>
        </w:rPr>
      </w:pPr>
      <w:r w:rsidRPr="00712B3A">
        <w:t>Medical Science, like many other fields, is experiencing a confluence of two recent developments: the rise of big data, and the growth of sophisticated machine learning</w:t>
      </w:r>
      <w:r w:rsidR="004020DD">
        <w:t xml:space="preserve"> (ML)</w:t>
      </w:r>
      <w:r w:rsidRPr="00712B3A">
        <w:t>/</w:t>
      </w:r>
      <w:r w:rsidR="004020DD">
        <w:t>artificial intelligence (</w:t>
      </w:r>
      <w:r w:rsidRPr="00712B3A">
        <w:t>AI</w:t>
      </w:r>
      <w:r w:rsidR="004020DD">
        <w:t>)</w:t>
      </w:r>
      <w:r w:rsidRPr="00712B3A">
        <w:t xml:space="preserve"> techniques that can be used to find </w:t>
      </w:r>
      <w:r w:rsidR="004020DD">
        <w:t xml:space="preserve">complex patterns in big </w:t>
      </w:r>
      <w:r w:rsidRPr="00712B3A">
        <w:t>data.</w:t>
      </w:r>
      <w:r w:rsidRPr="00712B3A">
        <w:rPr>
          <w:rFonts w:eastAsia="Cambria"/>
          <w:color w:val="000000"/>
        </w:rPr>
        <w:t xml:space="preserve"> Big data has been ascribed a number of definitions and characteristics. The most popular definition of big data was put forth in a report by Meta (now Gartner)</w:t>
      </w:r>
      <w:r w:rsidRPr="00712B3A">
        <w:rPr>
          <w:rStyle w:val="FootnoteReference"/>
          <w:rFonts w:eastAsia="Cambria"/>
          <w:color w:val="000000"/>
        </w:rPr>
        <w:footnoteReference w:id="1"/>
      </w:r>
      <w:r w:rsidRPr="00712B3A">
        <w:rPr>
          <w:rFonts w:eastAsia="Cambria"/>
          <w:color w:val="000000"/>
        </w:rPr>
        <w:t xml:space="preserve"> in 2001, which looks at it in terms of the three 3V’s—</w:t>
      </w:r>
      <w:r w:rsidRPr="00712B3A">
        <w:rPr>
          <w:rFonts w:eastAsia="Cambria"/>
          <w:b/>
          <w:i/>
          <w:color w:val="000000"/>
        </w:rPr>
        <w:t xml:space="preserve">volume, velocity and </w:t>
      </w:r>
      <w:r w:rsidRPr="00712B3A">
        <w:rPr>
          <w:rFonts w:eastAsia="Cambria"/>
          <w:b/>
          <w:i/>
          <w:color w:val="000000"/>
        </w:rPr>
        <w:lastRenderedPageBreak/>
        <w:t>variety</w:t>
      </w:r>
      <w:r w:rsidRPr="00712B3A">
        <w:rPr>
          <w:rFonts w:eastAsia="Cambria"/>
          <w:color w:val="000000"/>
        </w:rPr>
        <w:t xml:space="preserve">. Besides 3V’s- </w:t>
      </w:r>
      <w:r w:rsidRPr="00712B3A">
        <w:rPr>
          <w:rFonts w:eastAsia="Cambria"/>
          <w:i/>
          <w:color w:val="000000"/>
        </w:rPr>
        <w:t>volume, velocity and variety</w:t>
      </w:r>
      <w:r w:rsidRPr="00712B3A">
        <w:rPr>
          <w:rFonts w:eastAsia="Cambria"/>
          <w:color w:val="000000"/>
        </w:rPr>
        <w:t xml:space="preserve">, other defining characteristics of big data articulated by different commentators are— </w:t>
      </w:r>
      <w:r w:rsidRPr="00712B3A">
        <w:rPr>
          <w:rFonts w:eastAsia="Cambria"/>
          <w:i/>
          <w:color w:val="000000"/>
        </w:rPr>
        <w:t>veracity</w:t>
      </w:r>
      <w:r w:rsidRPr="00712B3A">
        <w:rPr>
          <w:rStyle w:val="FootnoteReference"/>
          <w:rFonts w:eastAsia="Cambria"/>
          <w:i/>
          <w:color w:val="000000"/>
        </w:rPr>
        <w:footnoteReference w:id="2"/>
      </w:r>
      <w:r w:rsidRPr="00712B3A">
        <w:rPr>
          <w:rFonts w:eastAsia="Cambria"/>
          <w:i/>
          <w:color w:val="000000"/>
        </w:rPr>
        <w:t>, value</w:t>
      </w:r>
      <w:r w:rsidRPr="00712B3A">
        <w:rPr>
          <w:rStyle w:val="FootnoteReference"/>
          <w:rFonts w:eastAsia="Cambria"/>
          <w:i/>
          <w:color w:val="000000"/>
        </w:rPr>
        <w:footnoteReference w:id="3"/>
      </w:r>
      <w:r w:rsidRPr="00712B3A">
        <w:rPr>
          <w:rFonts w:eastAsia="Cambria"/>
          <w:i/>
          <w:color w:val="000000"/>
        </w:rPr>
        <w:t>, complexity</w:t>
      </w:r>
      <w:r w:rsidRPr="00712B3A">
        <w:rPr>
          <w:rStyle w:val="FootnoteReference"/>
          <w:rFonts w:eastAsia="Cambria"/>
          <w:i/>
          <w:color w:val="000000"/>
        </w:rPr>
        <w:footnoteReference w:id="4"/>
      </w:r>
      <w:r w:rsidRPr="00712B3A">
        <w:rPr>
          <w:rFonts w:eastAsia="Cambria"/>
          <w:i/>
          <w:color w:val="000000"/>
        </w:rPr>
        <w:t xml:space="preserve"> </w:t>
      </w:r>
      <w:r w:rsidRPr="00712B3A">
        <w:rPr>
          <w:rFonts w:eastAsia="Cambria"/>
          <w:color w:val="000000"/>
        </w:rPr>
        <w:t>and</w:t>
      </w:r>
      <w:r w:rsidRPr="00712B3A">
        <w:rPr>
          <w:rFonts w:eastAsia="Cambria"/>
          <w:i/>
          <w:color w:val="000000"/>
        </w:rPr>
        <w:t xml:space="preserve"> variability</w:t>
      </w:r>
      <w:r w:rsidRPr="00712B3A">
        <w:rPr>
          <w:rStyle w:val="FootnoteReference"/>
          <w:rFonts w:eastAsia="Cambria"/>
          <w:i/>
          <w:color w:val="000000"/>
        </w:rPr>
        <w:footnoteReference w:id="5"/>
      </w:r>
      <w:r w:rsidRPr="00712B3A">
        <w:rPr>
          <w:rFonts w:eastAsia="Cambria"/>
          <w:color w:val="000000"/>
        </w:rPr>
        <w:t>. Big data is thus not just a collection of data but also a term encompassing the use of   techniques to capture, process, analyse and visualize huge chunk of da</w:t>
      </w:r>
      <w:r w:rsidR="004020DD">
        <w:rPr>
          <w:rFonts w:eastAsia="Cambria"/>
          <w:color w:val="000000"/>
        </w:rPr>
        <w:t xml:space="preserve">ta in a reasonable time frame. </w:t>
      </w:r>
      <w:r w:rsidRPr="00712B3A">
        <w:rPr>
          <w:rFonts w:eastAsia="Cambria"/>
          <w:color w:val="000000"/>
        </w:rPr>
        <w:t>It therefore, decodes the untouched data to derive new insight by analysts, researchers and business people thereby facilitating breakthroughs in many fields.</w:t>
      </w:r>
    </w:p>
    <w:p w14:paraId="03E5BA7D" w14:textId="77777777" w:rsidR="00712B3A" w:rsidRDefault="00712B3A" w:rsidP="001E401B">
      <w:r>
        <w:t xml:space="preserve">In medicine, the data </w:t>
      </w:r>
      <w:r w:rsidR="004020DD">
        <w:t xml:space="preserve">can </w:t>
      </w:r>
      <w:r>
        <w:t xml:space="preserve">come from many sources: electronic health records, test reports following </w:t>
      </w:r>
      <w:r w:rsidR="004020DD">
        <w:t xml:space="preserve">use of </w:t>
      </w:r>
      <w:r>
        <w:t>different diagnostic tools, medical literature, clinical trials, insurance claims data, pharmacy records, information entered by patients into their smartphones for tracking their health and fitness levels etc.</w:t>
      </w:r>
    </w:p>
    <w:p w14:paraId="1F2FF6A0" w14:textId="77777777" w:rsidR="003F0DFA" w:rsidRDefault="004020DD" w:rsidP="001E401B">
      <w:r>
        <w:t xml:space="preserve">The increase in ML/AI is driven by simultaneous evolution of computational power and statistical methods to handle exponential collation and manipulation of data.  Whenever an algorithm transforms itself into new actionable intelligence based on data, machine learning takes place. </w:t>
      </w:r>
    </w:p>
    <w:p w14:paraId="0E1507DC" w14:textId="77777777" w:rsidR="0017729B" w:rsidRDefault="0017729B" w:rsidP="001E401B">
      <w:pPr>
        <w:pStyle w:val="Heading1"/>
      </w:pPr>
      <w:r w:rsidRPr="0017729B">
        <w:t>Discussion</w:t>
      </w:r>
    </w:p>
    <w:p w14:paraId="57DB2B15" w14:textId="089305D4" w:rsidR="003F0DFA" w:rsidRDefault="003F0DFA" w:rsidP="001E401B">
      <w:pPr>
        <w:rPr>
          <w:bCs/>
        </w:rPr>
      </w:pPr>
      <w:r>
        <w:t>So far as medical data is concerned, algorithms can make predictions based on data on —how long is a patient expected to live given his collection of symptoms, and does that picture of a patch of skin look like a benign or a cancerous lesion? — but typically, these techniques cannot explain why or how they reach the conclusion they do.</w:t>
      </w:r>
      <w:r w:rsidRPr="003F0DFA">
        <w:rPr>
          <w:bCs/>
        </w:rPr>
        <w:t xml:space="preserve"> </w:t>
      </w:r>
      <w:r w:rsidRPr="00CB7108">
        <w:rPr>
          <w:bCs/>
        </w:rPr>
        <w:t>Presently most AI solutions suffer from what is commonly known as the “black box phenomena”, with little or no understanding of what happens in between and only</w:t>
      </w:r>
      <w:r>
        <w:rPr>
          <w:bCs/>
        </w:rPr>
        <w:t xml:space="preserve"> the input data and results being</w:t>
      </w:r>
      <w:r w:rsidRPr="00CB7108">
        <w:rPr>
          <w:bCs/>
        </w:rPr>
        <w:t xml:space="preserve"> the known factors.</w:t>
      </w:r>
      <w:r>
        <w:rPr>
          <w:bCs/>
        </w:rPr>
        <w:t xml:space="preserve"> This is </w:t>
      </w:r>
      <w:r w:rsidR="00987D36">
        <w:rPr>
          <w:bCs/>
        </w:rPr>
        <w:t xml:space="preserve">equally </w:t>
      </w:r>
      <w:r>
        <w:rPr>
          <w:bCs/>
        </w:rPr>
        <w:t>applicable in the case of AI applications in health</w:t>
      </w:r>
      <w:r w:rsidR="00987D36">
        <w:rPr>
          <w:bCs/>
        </w:rPr>
        <w:t xml:space="preserve"> too</w:t>
      </w:r>
      <w:r>
        <w:rPr>
          <w:bCs/>
        </w:rPr>
        <w:t>.</w:t>
      </w:r>
    </w:p>
    <w:p w14:paraId="0E10AC42" w14:textId="77777777" w:rsidR="00F02F72" w:rsidRDefault="00F02F72" w:rsidP="001E401B">
      <w:r>
        <w:t>Also, there are questions on: to what degree can doctors delegate the task of diagnosing medical conditions to intelligent scanning systems without exposing themselves to increased liability for malpractice if the system makes an error?</w:t>
      </w:r>
    </w:p>
    <w:p w14:paraId="30AD1B79" w14:textId="21A485FC" w:rsidR="003F0DFA" w:rsidRDefault="002241B9" w:rsidP="001E401B">
      <w:pPr>
        <w:rPr>
          <w:bCs/>
        </w:rPr>
      </w:pPr>
      <w:r w:rsidRPr="00CB7108">
        <w:rPr>
          <w:bCs/>
        </w:rPr>
        <w:t>Current medical devices also</w:t>
      </w:r>
      <w:r w:rsidR="003F0DFA">
        <w:rPr>
          <w:bCs/>
        </w:rPr>
        <w:t xml:space="preserve"> include software inside them.</w:t>
      </w:r>
      <w:r w:rsidR="003F0DFA" w:rsidRPr="00CB7108">
        <w:rPr>
          <w:bCs/>
        </w:rPr>
        <w:t xml:space="preserve"> Hence</w:t>
      </w:r>
      <w:r w:rsidR="003F0DFA">
        <w:rPr>
          <w:bCs/>
        </w:rPr>
        <w:t>, the extant</w:t>
      </w:r>
      <w:r w:rsidRPr="00CB7108">
        <w:rPr>
          <w:bCs/>
        </w:rPr>
        <w:t xml:space="preserve"> medical devices regulation </w:t>
      </w:r>
      <w:r w:rsidR="003F0DFA" w:rsidRPr="00CB7108">
        <w:rPr>
          <w:bCs/>
        </w:rPr>
        <w:t>includes</w:t>
      </w:r>
      <w:r w:rsidRPr="00CB7108">
        <w:rPr>
          <w:bCs/>
        </w:rPr>
        <w:t xml:space="preserve"> software within their scope, de</w:t>
      </w:r>
      <w:r w:rsidR="003F0DFA">
        <w:rPr>
          <w:bCs/>
        </w:rPr>
        <w:t xml:space="preserve">pending upon the intended use. </w:t>
      </w:r>
      <w:r w:rsidRPr="00CB7108">
        <w:rPr>
          <w:bCs/>
        </w:rPr>
        <w:t>This software can be stand alone or incorpor</w:t>
      </w:r>
      <w:r w:rsidR="003F0DFA">
        <w:rPr>
          <w:bCs/>
        </w:rPr>
        <w:t xml:space="preserve">ated into an existing </w:t>
      </w:r>
      <w:r w:rsidR="00987D36">
        <w:rPr>
          <w:bCs/>
        </w:rPr>
        <w:t>device.</w:t>
      </w:r>
      <w:r w:rsidR="00987D36" w:rsidRPr="00CB7108">
        <w:rPr>
          <w:bCs/>
        </w:rPr>
        <w:t xml:space="preserve"> Standards</w:t>
      </w:r>
      <w:r w:rsidRPr="00CB7108">
        <w:rPr>
          <w:bCs/>
        </w:rPr>
        <w:t xml:space="preserve"> covering the application of traditional software as a medical device (SAMD) have bee</w:t>
      </w:r>
      <w:r w:rsidR="003F0DFA">
        <w:rPr>
          <w:bCs/>
        </w:rPr>
        <w:t xml:space="preserve">n developed over recent years. </w:t>
      </w:r>
      <w:r w:rsidRPr="00CB7108">
        <w:rPr>
          <w:bCs/>
        </w:rPr>
        <w:t xml:space="preserve">However, AI solutions </w:t>
      </w:r>
      <w:r w:rsidR="003F0DFA">
        <w:rPr>
          <w:bCs/>
        </w:rPr>
        <w:t xml:space="preserve">have </w:t>
      </w:r>
      <w:r w:rsidRPr="00CB7108">
        <w:rPr>
          <w:bCs/>
        </w:rPr>
        <w:t xml:space="preserve">introduced new set of challenges that have not </w:t>
      </w:r>
      <w:r w:rsidR="003F0DFA">
        <w:rPr>
          <w:bCs/>
        </w:rPr>
        <w:t xml:space="preserve">been considered previously and </w:t>
      </w:r>
      <w:r w:rsidR="00F02F72">
        <w:rPr>
          <w:bCs/>
        </w:rPr>
        <w:t xml:space="preserve">some </w:t>
      </w:r>
      <w:r w:rsidR="003F0DFA">
        <w:rPr>
          <w:bCs/>
        </w:rPr>
        <w:t>important ones are:</w:t>
      </w:r>
    </w:p>
    <w:p w14:paraId="7C03ACF9" w14:textId="0B93216D" w:rsidR="003F0DFA" w:rsidRPr="00CB7108" w:rsidRDefault="003F0DFA" w:rsidP="001E401B">
      <w:pPr>
        <w:overflowPunct w:val="0"/>
        <w:autoSpaceDE w:val="0"/>
        <w:autoSpaceDN w:val="0"/>
        <w:adjustRightInd w:val="0"/>
        <w:ind w:left="567" w:hanging="567"/>
        <w:textAlignment w:val="baseline"/>
        <w:rPr>
          <w:bCs/>
        </w:rPr>
      </w:pPr>
      <w:r>
        <w:rPr>
          <w:bCs/>
        </w:rPr>
        <w:t>(</w:t>
      </w:r>
      <w:proofErr w:type="spellStart"/>
      <w:r>
        <w:rPr>
          <w:bCs/>
        </w:rPr>
        <w:t>i</w:t>
      </w:r>
      <w:proofErr w:type="spellEnd"/>
      <w:r w:rsidR="001E401B">
        <w:rPr>
          <w:bCs/>
        </w:rPr>
        <w:t>)</w:t>
      </w:r>
      <w:r w:rsidR="001E401B">
        <w:rPr>
          <w:bCs/>
        </w:rPr>
        <w:tab/>
      </w:r>
      <w:r w:rsidRPr="003F0DFA">
        <w:rPr>
          <w:b/>
          <w:bCs/>
        </w:rPr>
        <w:t>E</w:t>
      </w:r>
      <w:r w:rsidR="002241B9" w:rsidRPr="003F0DFA">
        <w:rPr>
          <w:b/>
          <w:bCs/>
        </w:rPr>
        <w:t>thical and privacy concerns largely on collection and inappropriate use of data</w:t>
      </w:r>
      <w:r w:rsidRPr="003F0DFA">
        <w:rPr>
          <w:b/>
          <w:bCs/>
        </w:rPr>
        <w:t>:</w:t>
      </w:r>
      <w:r>
        <w:rPr>
          <w:bCs/>
        </w:rPr>
        <w:t xml:space="preserve"> </w:t>
      </w:r>
      <w:r w:rsidR="002241B9" w:rsidRPr="00CB7108">
        <w:rPr>
          <w:bCs/>
        </w:rPr>
        <w:t xml:space="preserve"> </w:t>
      </w:r>
      <w:r w:rsidRPr="00CB7108">
        <w:rPr>
          <w:bCs/>
        </w:rPr>
        <w:t>AI models, solutions and other applications depend on generation, collection and processing of large amount of data on individual e</w:t>
      </w:r>
      <w:r w:rsidR="00F02F72">
        <w:rPr>
          <w:bCs/>
        </w:rPr>
        <w:t xml:space="preserve">ntity and community behaviour. </w:t>
      </w:r>
      <w:r w:rsidRPr="00CB7108">
        <w:rPr>
          <w:bCs/>
        </w:rPr>
        <w:t>Data collection without proper consent, privacy of personal data, inherent collection biases and resilient risk of privacy and discrimination are some of the issues requiring deliberation and proper recourse.</w:t>
      </w:r>
    </w:p>
    <w:p w14:paraId="340FB941" w14:textId="1A4C67A3" w:rsidR="003F0DFA" w:rsidRDefault="00F02F72" w:rsidP="001E401B">
      <w:pPr>
        <w:overflowPunct w:val="0"/>
        <w:autoSpaceDE w:val="0"/>
        <w:autoSpaceDN w:val="0"/>
        <w:adjustRightInd w:val="0"/>
        <w:ind w:left="567" w:hanging="567"/>
        <w:textAlignment w:val="baseline"/>
        <w:rPr>
          <w:bCs/>
        </w:rPr>
      </w:pPr>
      <w:r>
        <w:rPr>
          <w:bCs/>
        </w:rPr>
        <w:t>(ii</w:t>
      </w:r>
      <w:r w:rsidR="001E401B">
        <w:rPr>
          <w:bCs/>
        </w:rPr>
        <w:t>)</w:t>
      </w:r>
      <w:r w:rsidR="001E401B">
        <w:rPr>
          <w:bCs/>
        </w:rPr>
        <w:tab/>
      </w:r>
      <w:r w:rsidR="003F0DFA">
        <w:rPr>
          <w:bCs/>
        </w:rPr>
        <w:t xml:space="preserve">Issues of security arising </w:t>
      </w:r>
      <w:r w:rsidR="003F0DFA" w:rsidRPr="00CB7108">
        <w:rPr>
          <w:bCs/>
        </w:rPr>
        <w:t>from</w:t>
      </w:r>
      <w:r w:rsidR="002241B9" w:rsidRPr="00CB7108">
        <w:rPr>
          <w:bCs/>
        </w:rPr>
        <w:t xml:space="preserve"> the implication and the consequent </w:t>
      </w:r>
      <w:r w:rsidR="003F0DFA">
        <w:rPr>
          <w:bCs/>
        </w:rPr>
        <w:t>accountability of any AI system</w:t>
      </w:r>
    </w:p>
    <w:p w14:paraId="5A42C28F" w14:textId="60F03C88" w:rsidR="007D4335" w:rsidRDefault="00F02F72" w:rsidP="001E401B">
      <w:pPr>
        <w:overflowPunct w:val="0"/>
        <w:autoSpaceDE w:val="0"/>
        <w:autoSpaceDN w:val="0"/>
        <w:adjustRightInd w:val="0"/>
        <w:ind w:left="567" w:hanging="567"/>
        <w:textAlignment w:val="baseline"/>
        <w:rPr>
          <w:bCs/>
        </w:rPr>
      </w:pPr>
      <w:r>
        <w:rPr>
          <w:bCs/>
        </w:rPr>
        <w:t>(iii</w:t>
      </w:r>
      <w:r w:rsidR="001E401B">
        <w:rPr>
          <w:bCs/>
        </w:rPr>
        <w:t>)</w:t>
      </w:r>
      <w:r w:rsidR="001E401B">
        <w:rPr>
          <w:bCs/>
        </w:rPr>
        <w:tab/>
      </w:r>
      <w:r w:rsidR="007D4335" w:rsidRPr="00CB7108">
        <w:rPr>
          <w:bCs/>
        </w:rPr>
        <w:t>Level of autonom</w:t>
      </w:r>
      <w:r>
        <w:rPr>
          <w:bCs/>
        </w:rPr>
        <w:t>y introduced by AI technologies</w:t>
      </w:r>
    </w:p>
    <w:p w14:paraId="4E2EE0E2" w14:textId="2553D3BA" w:rsidR="007D4335" w:rsidRDefault="00F02F72" w:rsidP="001E401B">
      <w:pPr>
        <w:overflowPunct w:val="0"/>
        <w:autoSpaceDE w:val="0"/>
        <w:autoSpaceDN w:val="0"/>
        <w:adjustRightInd w:val="0"/>
        <w:ind w:left="567" w:hanging="567"/>
        <w:textAlignment w:val="baseline"/>
        <w:rPr>
          <w:bCs/>
        </w:rPr>
      </w:pPr>
      <w:r>
        <w:rPr>
          <w:bCs/>
        </w:rPr>
        <w:t>(iv</w:t>
      </w:r>
      <w:r w:rsidR="001E401B">
        <w:rPr>
          <w:bCs/>
        </w:rPr>
        <w:t>)</w:t>
      </w:r>
      <w:r w:rsidR="001E401B">
        <w:rPr>
          <w:bCs/>
        </w:rPr>
        <w:tab/>
      </w:r>
      <w:r w:rsidR="007D4335" w:rsidRPr="00CB7108">
        <w:rPr>
          <w:bCs/>
        </w:rPr>
        <w:t>Ability of continuous learning systems to change their output o</w:t>
      </w:r>
      <w:r>
        <w:rPr>
          <w:bCs/>
        </w:rPr>
        <w:t>vertime in response to new data</w:t>
      </w:r>
    </w:p>
    <w:p w14:paraId="77761E62" w14:textId="1FD651C5" w:rsidR="007D4335" w:rsidRDefault="00F02F72" w:rsidP="001E401B">
      <w:pPr>
        <w:overflowPunct w:val="0"/>
        <w:autoSpaceDE w:val="0"/>
        <w:autoSpaceDN w:val="0"/>
        <w:adjustRightInd w:val="0"/>
        <w:ind w:left="567" w:hanging="567"/>
        <w:textAlignment w:val="baseline"/>
        <w:rPr>
          <w:bCs/>
        </w:rPr>
      </w:pPr>
      <w:r>
        <w:rPr>
          <w:bCs/>
        </w:rPr>
        <w:lastRenderedPageBreak/>
        <w:t>(v</w:t>
      </w:r>
      <w:r w:rsidR="001E401B">
        <w:rPr>
          <w:bCs/>
        </w:rPr>
        <w:t>)</w:t>
      </w:r>
      <w:r w:rsidR="001E401B">
        <w:rPr>
          <w:bCs/>
        </w:rPr>
        <w:tab/>
      </w:r>
      <w:r w:rsidR="007D4335" w:rsidRPr="00CB7108">
        <w:rPr>
          <w:bCs/>
        </w:rPr>
        <w:t xml:space="preserve">Ability to expand and understand </w:t>
      </w:r>
      <w:r>
        <w:rPr>
          <w:bCs/>
        </w:rPr>
        <w:t>how the output has been reached</w:t>
      </w:r>
    </w:p>
    <w:p w14:paraId="09787F1B" w14:textId="6AD30D48" w:rsidR="007D4335" w:rsidRDefault="00F02F72" w:rsidP="001E401B">
      <w:pPr>
        <w:overflowPunct w:val="0"/>
        <w:autoSpaceDE w:val="0"/>
        <w:autoSpaceDN w:val="0"/>
        <w:adjustRightInd w:val="0"/>
        <w:ind w:left="567" w:hanging="567"/>
        <w:textAlignment w:val="baseline"/>
        <w:rPr>
          <w:bCs/>
        </w:rPr>
      </w:pPr>
      <w:r>
        <w:rPr>
          <w:bCs/>
        </w:rPr>
        <w:t>(vi</w:t>
      </w:r>
      <w:r w:rsidR="001E401B">
        <w:rPr>
          <w:bCs/>
        </w:rPr>
        <w:t>)</w:t>
      </w:r>
      <w:r w:rsidR="001E401B">
        <w:rPr>
          <w:bCs/>
        </w:rPr>
        <w:tab/>
      </w:r>
      <w:r w:rsidR="007D4335" w:rsidRPr="00CB7108">
        <w:rPr>
          <w:bCs/>
        </w:rPr>
        <w:t>Transparency</w:t>
      </w:r>
      <w:r>
        <w:rPr>
          <w:bCs/>
        </w:rPr>
        <w:t xml:space="preserve"> </w:t>
      </w:r>
      <w:proofErr w:type="gramStart"/>
      <w:r>
        <w:rPr>
          <w:bCs/>
        </w:rPr>
        <w:t>with regard to</w:t>
      </w:r>
      <w:proofErr w:type="gramEnd"/>
      <w:r>
        <w:rPr>
          <w:bCs/>
        </w:rPr>
        <w:t xml:space="preserve"> design of algorithms</w:t>
      </w:r>
    </w:p>
    <w:p w14:paraId="6EB0D8B1" w14:textId="592F6A09" w:rsidR="007D4335" w:rsidRPr="00CB7108" w:rsidRDefault="00F02F72" w:rsidP="001E401B">
      <w:pPr>
        <w:overflowPunct w:val="0"/>
        <w:autoSpaceDE w:val="0"/>
        <w:autoSpaceDN w:val="0"/>
        <w:adjustRightInd w:val="0"/>
        <w:ind w:left="567" w:hanging="567"/>
        <w:textAlignment w:val="baseline"/>
        <w:rPr>
          <w:bCs/>
        </w:rPr>
      </w:pPr>
      <w:r>
        <w:rPr>
          <w:bCs/>
        </w:rPr>
        <w:t>(vii</w:t>
      </w:r>
      <w:r w:rsidR="001E401B">
        <w:rPr>
          <w:bCs/>
        </w:rPr>
        <w:t>)</w:t>
      </w:r>
      <w:r w:rsidR="001E401B">
        <w:rPr>
          <w:bCs/>
        </w:rPr>
        <w:tab/>
      </w:r>
      <w:r>
        <w:rPr>
          <w:bCs/>
        </w:rPr>
        <w:t>Quality of data input</w:t>
      </w:r>
    </w:p>
    <w:p w14:paraId="74082B55" w14:textId="77777777" w:rsidR="00F02F72" w:rsidRDefault="0017729B" w:rsidP="001E401B">
      <w:pPr>
        <w:pStyle w:val="Heading1"/>
      </w:pPr>
      <w:r w:rsidRPr="0017729B">
        <w:t>Conclusion</w:t>
      </w:r>
    </w:p>
    <w:p w14:paraId="787354CF" w14:textId="494BAC3F" w:rsidR="004020DD" w:rsidRPr="00F02F72" w:rsidRDefault="00F02F72" w:rsidP="001E401B">
      <w:pPr>
        <w:rPr>
          <w:b/>
        </w:rPr>
      </w:pPr>
      <w:r>
        <w:rPr>
          <w:bCs/>
        </w:rPr>
        <w:t>All these emerging challenges in the use of AI in health c</w:t>
      </w:r>
      <w:r w:rsidR="004020DD" w:rsidRPr="00CB7108">
        <w:rPr>
          <w:bCs/>
        </w:rPr>
        <w:t xml:space="preserve">hallenges </w:t>
      </w:r>
      <w:r>
        <w:rPr>
          <w:bCs/>
        </w:rPr>
        <w:t xml:space="preserve">are met with a regulatory vacuum. It </w:t>
      </w:r>
      <w:proofErr w:type="gramStart"/>
      <w:r>
        <w:rPr>
          <w:bCs/>
        </w:rPr>
        <w:t>is</w:t>
      </w:r>
      <w:proofErr w:type="gramEnd"/>
      <w:r>
        <w:rPr>
          <w:bCs/>
        </w:rPr>
        <w:t xml:space="preserve"> therefore, i</w:t>
      </w:r>
      <w:r w:rsidR="004020DD" w:rsidRPr="00CB7108">
        <w:rPr>
          <w:bCs/>
        </w:rPr>
        <w:t xml:space="preserve">mportant that a </w:t>
      </w:r>
      <w:r>
        <w:rPr>
          <w:bCs/>
        </w:rPr>
        <w:t xml:space="preserve">comprehensive </w:t>
      </w:r>
      <w:r w:rsidR="004020DD" w:rsidRPr="00CB7108">
        <w:rPr>
          <w:bCs/>
        </w:rPr>
        <w:t xml:space="preserve">study is conducted on identifying </w:t>
      </w:r>
      <w:r w:rsidR="00581DEB">
        <w:rPr>
          <w:bCs/>
        </w:rPr>
        <w:t xml:space="preserve">regulatory challenges and </w:t>
      </w:r>
      <w:r w:rsidR="00581DEB" w:rsidRPr="00CB7108">
        <w:rPr>
          <w:bCs/>
        </w:rPr>
        <w:t xml:space="preserve">opportunities </w:t>
      </w:r>
      <w:r w:rsidR="00581DEB">
        <w:rPr>
          <w:bCs/>
        </w:rPr>
        <w:t xml:space="preserve">of </w:t>
      </w:r>
      <w:r w:rsidR="004020DD" w:rsidRPr="00CB7108">
        <w:rPr>
          <w:bCs/>
        </w:rPr>
        <w:t>AI</w:t>
      </w:r>
      <w:r w:rsidR="00581DEB">
        <w:rPr>
          <w:bCs/>
        </w:rPr>
        <w:t xml:space="preserve"> in</w:t>
      </w:r>
      <w:r w:rsidR="0080450E">
        <w:rPr>
          <w:bCs/>
        </w:rPr>
        <w:t xml:space="preserve"> health, </w:t>
      </w:r>
      <w:r w:rsidR="004020DD" w:rsidRPr="00CB7108">
        <w:rPr>
          <w:bCs/>
        </w:rPr>
        <w:t>wh</w:t>
      </w:r>
      <w:r w:rsidR="0080450E">
        <w:rPr>
          <w:bCs/>
        </w:rPr>
        <w:t>ich is also the mandate of the Working G</w:t>
      </w:r>
      <w:r w:rsidR="004020DD" w:rsidRPr="00CB7108">
        <w:rPr>
          <w:bCs/>
        </w:rPr>
        <w:t>roup on “regulatory consideration of AI on health</w:t>
      </w:r>
      <w:r w:rsidR="0080450E">
        <w:rPr>
          <w:bCs/>
        </w:rPr>
        <w:t>” of the FGAI4Health.</w:t>
      </w:r>
      <w:r w:rsidR="00987D36">
        <w:rPr>
          <w:bCs/>
        </w:rPr>
        <w:t xml:space="preserve"> This would be useful while framing regulatory frameworks for AI on health.</w:t>
      </w:r>
    </w:p>
    <w:p w14:paraId="6765FAC8" w14:textId="77777777" w:rsidR="003429F2" w:rsidRDefault="00BC1D31" w:rsidP="003F0DFA">
      <w:pPr>
        <w:spacing w:after="20"/>
        <w:jc w:val="center"/>
      </w:pPr>
      <w:r>
        <w:t>___________________________</w:t>
      </w:r>
      <w:bookmarkStart w:id="11" w:name="_GoBack"/>
      <w:bookmarkEnd w:id="11"/>
    </w:p>
    <w:sectPr w:rsidR="003429F2" w:rsidSect="001E401B">
      <w:headerReference w:type="default" r:id="rId14"/>
      <w:pgSz w:w="11907" w:h="16840" w:code="9"/>
      <w:pgMar w:top="851"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F5B56" w14:textId="77777777" w:rsidR="00E3339F" w:rsidRDefault="00E3339F" w:rsidP="007B7733">
      <w:pPr>
        <w:spacing w:before="0"/>
      </w:pPr>
      <w:r>
        <w:separator/>
      </w:r>
    </w:p>
  </w:endnote>
  <w:endnote w:type="continuationSeparator" w:id="0">
    <w:p w14:paraId="1CBC0C44" w14:textId="77777777" w:rsidR="00E3339F" w:rsidRDefault="00E3339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D2796" w14:textId="77777777" w:rsidR="00E3339F" w:rsidRDefault="00E3339F" w:rsidP="007B7733">
      <w:pPr>
        <w:spacing w:before="0"/>
      </w:pPr>
      <w:r>
        <w:separator/>
      </w:r>
    </w:p>
  </w:footnote>
  <w:footnote w:type="continuationSeparator" w:id="0">
    <w:p w14:paraId="0AD7734F" w14:textId="77777777" w:rsidR="00E3339F" w:rsidRDefault="00E3339F" w:rsidP="007B7733">
      <w:pPr>
        <w:spacing w:before="0"/>
      </w:pPr>
      <w:r>
        <w:continuationSeparator/>
      </w:r>
    </w:p>
  </w:footnote>
  <w:footnote w:id="1">
    <w:p w14:paraId="1341BBAE" w14:textId="77777777" w:rsidR="00712B3A" w:rsidRPr="00B931EA" w:rsidRDefault="00712B3A" w:rsidP="00712B3A">
      <w:pPr>
        <w:pStyle w:val="FootnoteText"/>
        <w:jc w:val="both"/>
        <w:rPr>
          <w:rFonts w:asciiTheme="majorHAnsi" w:hAnsiTheme="majorHAnsi"/>
        </w:rPr>
      </w:pPr>
      <w:r w:rsidRPr="00B931EA">
        <w:rPr>
          <w:rStyle w:val="FootnoteReference"/>
          <w:rFonts w:asciiTheme="majorHAnsi" w:hAnsiTheme="majorHAnsi"/>
        </w:rPr>
        <w:footnoteRef/>
      </w:r>
      <w:r w:rsidRPr="00B931EA">
        <w:rPr>
          <w:rFonts w:asciiTheme="majorHAnsi" w:hAnsiTheme="majorHAnsi"/>
        </w:rPr>
        <w:t xml:space="preserve"> </w:t>
      </w:r>
      <w:hyperlink r:id="rId1" w:history="1">
        <w:r w:rsidRPr="00B931EA">
          <w:rPr>
            <w:rStyle w:val="Hyperlink"/>
            <w:rFonts w:asciiTheme="majorHAnsi" w:hAnsiTheme="majorHAnsi"/>
          </w:rPr>
          <w:t>http://www.gartner.com/it-glossary/big-data/</w:t>
        </w:r>
      </w:hyperlink>
    </w:p>
    <w:p w14:paraId="5BC9BF93" w14:textId="77777777" w:rsidR="00712B3A" w:rsidRPr="00B931EA" w:rsidRDefault="00712B3A" w:rsidP="00712B3A">
      <w:pPr>
        <w:pStyle w:val="FootnoteText"/>
        <w:jc w:val="both"/>
        <w:rPr>
          <w:rFonts w:asciiTheme="majorHAnsi" w:hAnsiTheme="majorHAnsi"/>
          <w:lang w:val="en-IN"/>
        </w:rPr>
      </w:pPr>
    </w:p>
  </w:footnote>
  <w:footnote w:id="2">
    <w:p w14:paraId="65C76189" w14:textId="77777777" w:rsidR="00712B3A" w:rsidRPr="00987D36" w:rsidRDefault="00712B3A" w:rsidP="00712B3A">
      <w:pPr>
        <w:pStyle w:val="FootnoteText"/>
        <w:jc w:val="both"/>
      </w:pPr>
      <w:r w:rsidRPr="00B931EA">
        <w:rPr>
          <w:rStyle w:val="FootnoteReference"/>
          <w:rFonts w:asciiTheme="majorHAnsi" w:hAnsiTheme="majorHAnsi"/>
        </w:rPr>
        <w:footnoteRef/>
      </w:r>
      <w:r w:rsidRPr="00B931EA">
        <w:rPr>
          <w:rFonts w:asciiTheme="majorHAnsi" w:hAnsiTheme="majorHAnsi"/>
        </w:rPr>
        <w:t xml:space="preserve"> </w:t>
      </w:r>
      <w:r w:rsidRPr="00987D36">
        <w:t>Added by IBM</w:t>
      </w:r>
    </w:p>
  </w:footnote>
  <w:footnote w:id="3">
    <w:p w14:paraId="2CF5BDA1" w14:textId="77777777" w:rsidR="00712B3A" w:rsidRPr="00987D36" w:rsidRDefault="00712B3A" w:rsidP="00712B3A">
      <w:pPr>
        <w:pStyle w:val="FootnoteText"/>
        <w:jc w:val="both"/>
      </w:pPr>
      <w:r w:rsidRPr="00987D36">
        <w:rPr>
          <w:rStyle w:val="FootnoteReference"/>
        </w:rPr>
        <w:footnoteRef/>
      </w:r>
      <w:r w:rsidRPr="00987D36">
        <w:t xml:space="preserve"> Added by Oracle</w:t>
      </w:r>
    </w:p>
  </w:footnote>
  <w:footnote w:id="4">
    <w:p w14:paraId="6A78A2CD" w14:textId="77777777" w:rsidR="00712B3A" w:rsidRPr="00987D36" w:rsidRDefault="00712B3A" w:rsidP="00712B3A">
      <w:pPr>
        <w:pStyle w:val="FootnoteText"/>
        <w:jc w:val="both"/>
      </w:pPr>
      <w:r w:rsidRPr="00987D36">
        <w:rPr>
          <w:rStyle w:val="FootnoteReference"/>
        </w:rPr>
        <w:footnoteRef/>
      </w:r>
      <w:r w:rsidRPr="00987D36">
        <w:t xml:space="preserve"> Added by SAS</w:t>
      </w:r>
    </w:p>
  </w:footnote>
  <w:footnote w:id="5">
    <w:p w14:paraId="310A8018" w14:textId="77777777" w:rsidR="00712B3A" w:rsidRPr="00987D36" w:rsidRDefault="00712B3A" w:rsidP="00712B3A">
      <w:pPr>
        <w:pStyle w:val="FootnoteText"/>
        <w:jc w:val="both"/>
      </w:pPr>
      <w:r w:rsidRPr="00987D36">
        <w:rPr>
          <w:rStyle w:val="FootnoteReference"/>
        </w:rPr>
        <w:footnoteRef/>
      </w:r>
      <w:r w:rsidRPr="00987D36">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B839F" w14:textId="4743A5E5" w:rsidR="007B7733" w:rsidRDefault="007B7733" w:rsidP="005E2231">
    <w:pPr>
      <w:pStyle w:val="Header"/>
      <w:rPr>
        <w:lang w:val="pt-BR"/>
      </w:rPr>
    </w:pPr>
    <w:r>
      <w:t xml:space="preserve">- </w:t>
    </w:r>
    <w:r>
      <w:fldChar w:fldCharType="begin"/>
    </w:r>
    <w:r>
      <w:instrText xml:space="preserve"> PAGE  \* MERGEFORMAT </w:instrText>
    </w:r>
    <w:r>
      <w:fldChar w:fldCharType="separate"/>
    </w:r>
    <w:r w:rsidR="00182862">
      <w:rPr>
        <w:noProof/>
      </w:rPr>
      <w:t>3</w:t>
    </w:r>
    <w:r>
      <w:rPr>
        <w:noProof/>
      </w:rPr>
      <w:fldChar w:fldCharType="end"/>
    </w:r>
    <w:r>
      <w:rPr>
        <w:lang w:val="pt-BR"/>
      </w:rPr>
      <w:t xml:space="preserve"> -</w:t>
    </w:r>
  </w:p>
  <w:p w14:paraId="5DF53637" w14:textId="053AD348"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1E401B">
      <w:rPr>
        <w:noProof/>
      </w:rPr>
      <w:t>FG-AI4H-E-021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FC6D41"/>
    <w:multiLevelType w:val="hybridMultilevel"/>
    <w:tmpl w:val="51989F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0MzY2NTYxtzA2MzJW0lEKTi0uzszPAykwqgUAUsvToSwAAAA="/>
  </w:docVars>
  <w:rsids>
    <w:rsidRoot w:val="00E03557"/>
    <w:rsid w:val="000002CE"/>
    <w:rsid w:val="00000339"/>
    <w:rsid w:val="00000BA4"/>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124F"/>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0ED"/>
    <w:rsid w:val="000F67F1"/>
    <w:rsid w:val="00103F3E"/>
    <w:rsid w:val="00106AAB"/>
    <w:rsid w:val="00110480"/>
    <w:rsid w:val="001113C7"/>
    <w:rsid w:val="00112783"/>
    <w:rsid w:val="00114606"/>
    <w:rsid w:val="00115910"/>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0374"/>
    <w:rsid w:val="00172670"/>
    <w:rsid w:val="00176C2F"/>
    <w:rsid w:val="0017729B"/>
    <w:rsid w:val="00182862"/>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401B"/>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41B9"/>
    <w:rsid w:val="00226A0F"/>
    <w:rsid w:val="00230922"/>
    <w:rsid w:val="002313E5"/>
    <w:rsid w:val="002341B0"/>
    <w:rsid w:val="00242B8D"/>
    <w:rsid w:val="00255DCF"/>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4D91"/>
    <w:rsid w:val="002A6E11"/>
    <w:rsid w:val="002B27EF"/>
    <w:rsid w:val="002B4844"/>
    <w:rsid w:val="002B49FE"/>
    <w:rsid w:val="002B4C67"/>
    <w:rsid w:val="002C69A4"/>
    <w:rsid w:val="002C6A7F"/>
    <w:rsid w:val="002D0969"/>
    <w:rsid w:val="002D372B"/>
    <w:rsid w:val="002D51EF"/>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53B3"/>
    <w:rsid w:val="003D0967"/>
    <w:rsid w:val="003D2C2B"/>
    <w:rsid w:val="003D3C3E"/>
    <w:rsid w:val="003D58F8"/>
    <w:rsid w:val="003D7964"/>
    <w:rsid w:val="003E152B"/>
    <w:rsid w:val="003E21BA"/>
    <w:rsid w:val="003E440C"/>
    <w:rsid w:val="003F0DFA"/>
    <w:rsid w:val="003F5E9C"/>
    <w:rsid w:val="003F6921"/>
    <w:rsid w:val="003F7CBB"/>
    <w:rsid w:val="00401AE5"/>
    <w:rsid w:val="00401CDB"/>
    <w:rsid w:val="004020DD"/>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64B96"/>
    <w:rsid w:val="00574F82"/>
    <w:rsid w:val="00575F9B"/>
    <w:rsid w:val="005771A3"/>
    <w:rsid w:val="0057782F"/>
    <w:rsid w:val="005815CC"/>
    <w:rsid w:val="00581DEB"/>
    <w:rsid w:val="00583141"/>
    <w:rsid w:val="0058633E"/>
    <w:rsid w:val="00590C8C"/>
    <w:rsid w:val="00590D62"/>
    <w:rsid w:val="00593191"/>
    <w:rsid w:val="00593340"/>
    <w:rsid w:val="005A2A95"/>
    <w:rsid w:val="005B02DE"/>
    <w:rsid w:val="005B0D58"/>
    <w:rsid w:val="005B1C8B"/>
    <w:rsid w:val="005B29FD"/>
    <w:rsid w:val="005B5835"/>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339BD"/>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50A"/>
    <w:rsid w:val="00707C72"/>
    <w:rsid w:val="0071032C"/>
    <w:rsid w:val="0071243A"/>
    <w:rsid w:val="00712802"/>
    <w:rsid w:val="00712B3A"/>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4335"/>
    <w:rsid w:val="007D7074"/>
    <w:rsid w:val="007E1D1A"/>
    <w:rsid w:val="007F107B"/>
    <w:rsid w:val="007F5562"/>
    <w:rsid w:val="0080450E"/>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87D36"/>
    <w:rsid w:val="00993F54"/>
    <w:rsid w:val="009961B2"/>
    <w:rsid w:val="009A0558"/>
    <w:rsid w:val="009A0FF0"/>
    <w:rsid w:val="009A629B"/>
    <w:rsid w:val="009B20B2"/>
    <w:rsid w:val="009B3D53"/>
    <w:rsid w:val="009B7695"/>
    <w:rsid w:val="009B7E38"/>
    <w:rsid w:val="009C17D4"/>
    <w:rsid w:val="009C1C09"/>
    <w:rsid w:val="009C4A33"/>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4FED"/>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84DB0"/>
    <w:rsid w:val="00C939FC"/>
    <w:rsid w:val="00C9502D"/>
    <w:rsid w:val="00C97908"/>
    <w:rsid w:val="00CA0B6A"/>
    <w:rsid w:val="00CA0E12"/>
    <w:rsid w:val="00CA1EC3"/>
    <w:rsid w:val="00CA318C"/>
    <w:rsid w:val="00CA577E"/>
    <w:rsid w:val="00CA6505"/>
    <w:rsid w:val="00CA7227"/>
    <w:rsid w:val="00CB588D"/>
    <w:rsid w:val="00CB7108"/>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0D2"/>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075ED"/>
    <w:rsid w:val="00E133E2"/>
    <w:rsid w:val="00E150D6"/>
    <w:rsid w:val="00E16A67"/>
    <w:rsid w:val="00E203FE"/>
    <w:rsid w:val="00E223A9"/>
    <w:rsid w:val="00E232FF"/>
    <w:rsid w:val="00E254A6"/>
    <w:rsid w:val="00E27939"/>
    <w:rsid w:val="00E27E41"/>
    <w:rsid w:val="00E3339F"/>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A7C59"/>
    <w:rsid w:val="00EB000D"/>
    <w:rsid w:val="00EB22C2"/>
    <w:rsid w:val="00EB2D68"/>
    <w:rsid w:val="00EB5397"/>
    <w:rsid w:val="00EB6D19"/>
    <w:rsid w:val="00EB6E6A"/>
    <w:rsid w:val="00EC00CA"/>
    <w:rsid w:val="00EC2769"/>
    <w:rsid w:val="00EC4AAC"/>
    <w:rsid w:val="00EC7043"/>
    <w:rsid w:val="00EC7452"/>
    <w:rsid w:val="00EC784D"/>
    <w:rsid w:val="00ED4081"/>
    <w:rsid w:val="00ED5BA8"/>
    <w:rsid w:val="00EF23EE"/>
    <w:rsid w:val="00EF32A4"/>
    <w:rsid w:val="00EF39B8"/>
    <w:rsid w:val="00EF3E94"/>
    <w:rsid w:val="00EF591D"/>
    <w:rsid w:val="00F00872"/>
    <w:rsid w:val="00F01F9E"/>
    <w:rsid w:val="00F02A93"/>
    <w:rsid w:val="00F02F72"/>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A28EC4"/>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01B"/>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UnresolvedMention">
    <w:name w:val="Unresolved Mention"/>
    <w:basedOn w:val="DefaultParagraphFont"/>
    <w:uiPriority w:val="99"/>
    <w:semiHidden/>
    <w:unhideWhenUsed/>
    <w:rsid w:val="001E4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ajeev.roy@gov.i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nod.kotwal@nic.i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vendrakumar.nim@gov.i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gartner.com/it-glossary/big-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9FF14-427F-4EDD-92AF-971C7AC6A483}"/>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22</TotalTime>
  <Pages>2</Pages>
  <Words>866</Words>
  <Characters>4955</Characters>
  <Application>Microsoft Office Word</Application>
  <DocSecurity>0</DocSecurity>
  <Lines>109</Lines>
  <Paragraphs>45</Paragraphs>
  <ScaleCrop>false</ScaleCrop>
  <HeadingPairs>
    <vt:vector size="2" baseType="variant">
      <vt:variant>
        <vt:lpstr>Title</vt:lpstr>
      </vt:variant>
      <vt:variant>
        <vt:i4>1</vt:i4>
      </vt:variant>
    </vt:vector>
  </HeadingPairs>
  <TitlesOfParts>
    <vt:vector size="1" baseType="lpstr">
      <vt:lpstr>Study on “Identifying Regulatory Challenges and Opportunities of AI in Health.”</vt:lpstr>
    </vt:vector>
  </TitlesOfParts>
  <Manager>ITU-T</Manager>
  <Company>International Telecommunication Union (ITU)</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on “Identifying Regulatory Challenges and Opportunities of AI in Health.”</dc:title>
  <dc:subject/>
  <dc:creator>National Institute of Communication Finance (NICF), Department of Telecommunications, Indian Council of Medical Research (ICMR), India</dc:creator>
  <cp:keywords/>
  <dc:description>FG-AI4H-E-021  For: Geneva, 30 May – 1 June 2019_x000d_Document date: ITU-T Focus Group on AI for Health_x000d_Saved by ITU51013388 at 18:18:34 on 24/05/2019</dc:description>
  <cp:lastModifiedBy>Revision</cp:lastModifiedBy>
  <cp:revision>11</cp:revision>
  <cp:lastPrinted>2011-04-05T14:28:00Z</cp:lastPrinted>
  <dcterms:created xsi:type="dcterms:W3CDTF">2019-05-22T12:24:00Z</dcterms:created>
  <dcterms:modified xsi:type="dcterms:W3CDTF">2019-05-24T16:18:00Z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FG-AI4H-E-021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WG-RC</vt:lpwstr>
  </property>
  <property fmtid="{D5CDD505-2E9C-101B-9397-08002B2CF9AE}" pid="7" name="Docdest">
    <vt:lpwstr>Geneva, 30 May – 1 June 2019</vt:lpwstr>
  </property>
  <property fmtid="{D5CDD505-2E9C-101B-9397-08002B2CF9AE}" pid="8" name="Docauthor">
    <vt:lpwstr>National Institute of Communication Finance (NICF), Department of Telecommunications, Indian Council of Medical Research (ICMR), India</vt:lpwstr>
  </property>
</Properties>
</file>